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CF-4/SG, incorporated with German technological insights, stands as a superior-performance engine oil committed to safeguarding bothnaturally aspirated and turbo charged diesel engines in a broad spectrum of service settings. It aligns with the stipulations of the API CF-4, CF, and SG performance group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