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SN/CF, engineered by German technology, this top-notch fuel-saving multigrade motor oil stands out due to its advanced manufacturing processes. It's meticulously crafted to amplify and safeguard the efficiency of exhaust emission reduction systems in the latest passenger and light commercial vehicles, be it diesel or gasoline-powered.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Enhances both short-term and long-term engine performance</w:t>
        <w:br/>
        <w:t>• Provides comprehensive protection across various engine speeds, conditions, and temperatures</w:t>
        <w:br/>
        <w:t>• Decreases engine deposits for improved engine responsiveness</w:t>
        <w:br/>
        <w:t>• Maintains peak performance even under high-stress conditions</w:t>
        <w:br/>
        <w:t>• Independently verified to enhance engine efficiency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A5/B5-21</w:t>
        <w:br/>
        <w:t>• Ford WSS-M2C913-D</w:t>
        <w:br/>
        <w:t>• Jaguar Land Rover STJLR.03.5003</w:t>
        <w:br/>
        <w:t>• Renault RN 0700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