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SP, a manifestation of German engineering, this elite low-friction engine oil is perfect for all-year-round usage in gasoline and diesel engines, inclusive of those equipped with diesel particulate filters (DPF) and exhaust-gas turbochargers. A concoction of unique base oils and synthetic techniques, bolstered by the newest additive solutions, ensures it offers unparalleled wear resistance, curtails both oil and fuel consumption, and facilitates swift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engine cleanliness</w:t>
        <w:br/>
        <w:t>• Excellent wear protection</w:t>
        <w:br/>
        <w:t>• High lubrication reliability</w:t>
        <w:br/>
        <w:t>• Prolonged engine service life</w:t>
        <w:br/>
        <w:t>• Smooth engine operation</w:t>
        <w:br/>
        <w:t>• Optimal resistance to aging</w:t>
        <w:br/>
        <w:t>• Emission reduction</w:t>
        <w:br/>
        <w:t>• Instant lubrication following a cold start</w:t>
        <w:br/>
        <w:t>• Reduced fuel consumption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ACEA C2/C3-21</w:t>
        <w:br/>
        <w:t>• BMW LL-04</w:t>
        <w:br/>
        <w:t>• MB-229.31/229.51/229.52</w:t>
        <w:br/>
        <w:t>• Opel OV 040 1547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