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5W-40 SN/CF</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5W-40 SN/CF conceived with German engineering insights, is a state-of-the-art synthetic-based engine oil. It's expertly crafted to maintain optimal engine performance through its superior wear defense, cleansing ability, and comprehensive efficiency.</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Outstanding engine cleanliness</w:t>
        <w:br/>
        <w:t xml:space="preserve">• Exceptional thermal stability and oxidation resistance </w:t>
        <w:br/>
        <w:t xml:space="preserve">• Sustained engine component protection </w:t>
        <w:br/>
        <w:t>• Optimized fuel consumption</w:t>
        <w:br/>
        <w:t>• Minimized harmful exhaust emissions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SN/CF</w:t>
        <w:br/>
        <w:t>• ACEA A3/B4-21</w:t>
        <w:br/>
        <w:t>• MB-226.5</w:t>
        <w:br/>
        <w:t>• MB-229.3</w:t>
        <w:br/>
        <w:t>• VW 502.00/505.00</w:t>
        <w:br/>
        <w:t>• Renault RN 0700/0710</w:t>
        <w:br/>
        <w:t>• Porsche A40</w:t>
        <w:br/>
        <w:t>• PSA B71 2296</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TL/EO-0013/01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