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M-14G2K</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GOST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M-14G2k is a summer-grade mineral engine oil crafted from highly refined base oils paired with an advanced additive system. Its focus is to lubricate four-stroke transport diesel engines, particularly suitable for autotractor diesel engines operating under moderate to severe conditions.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16E823" w14:textId="77777777" w:rsidR="00E71C43" w:rsidRDefault="00E71C43"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Stable components for extended service life and equipment reliability</w:t>
        <w:br/>
        <w:t>• High performance assurance</w:t>
        <w:br/>
        <w:t>• Formulated with consideration of equipment conditions in CIS countries</w:t>
        <w:br/>
        <w:t>• Compatible with current stuffing box materials, safeguarding engines against leaks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350"/>
        <w:gridCol w:w="1620"/>
        <w:gridCol w:w="3510"/>
      </w:tblGrid>
      <w:tr w:rsidR="00FB2123" w:rsidRPr="00FB2123" w14:paraId="39142277" w14:textId="77777777" w:rsidTr="00FB2123">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7B25BF6F" w14:textId="77777777" w:rsidR="00FB2123" w:rsidRPr="00FB2123" w:rsidRDefault="00FB2123" w:rsidP="00FB2123">
            <w:pPr>
              <w:spacing w:after="0" w:line="240" w:lineRule="auto"/>
              <w:jc w:val="center"/>
              <w:rPr>
                <w:rFonts w:ascii="Arial" w:eastAsia="Times New Roman" w:hAnsi="Arial" w:cs="Arial"/>
                <w:b/>
                <w:bCs/>
                <w:color w:val="000000"/>
                <w:sz w:val="20"/>
                <w:szCs w:val="20"/>
              </w:rPr>
            </w:pPr>
            <w:r w:rsidRPr="00FB2123">
              <w:rPr>
                <w:rFonts w:ascii="Arial" w:eastAsia="Times New Roman" w:hAnsi="Arial" w:cs="Arial"/>
                <w:b/>
                <w:bCs/>
                <w:color w:val="000000"/>
                <w:sz w:val="20"/>
                <w:szCs w:val="20"/>
              </w:rPr>
              <w:t>Property</w:t>
            </w:r>
          </w:p>
        </w:tc>
        <w:tc>
          <w:tcPr>
            <w:tcW w:w="1350" w:type="dxa"/>
            <w:tcBorders>
              <w:top w:val="single" w:sz="4" w:space="0" w:color="auto"/>
              <w:left w:val="nil"/>
              <w:bottom w:val="single" w:sz="4" w:space="0" w:color="auto"/>
              <w:right w:val="single" w:sz="4" w:space="0" w:color="auto"/>
            </w:tcBorders>
            <w:shd w:val="clear" w:color="000000" w:fill="F2F2F2"/>
            <w:vAlign w:val="center"/>
            <w:hideMark/>
          </w:tcPr>
          <w:p w14:paraId="722DFF74" w14:textId="77777777" w:rsidR="00FB2123" w:rsidRPr="00FB2123" w:rsidRDefault="00FB2123" w:rsidP="00FB2123">
            <w:pPr>
              <w:spacing w:after="0" w:line="240" w:lineRule="auto"/>
              <w:jc w:val="center"/>
              <w:rPr>
                <w:rFonts w:ascii="Arial" w:eastAsia="Times New Roman" w:hAnsi="Arial" w:cs="Arial"/>
                <w:b/>
                <w:bCs/>
                <w:color w:val="000000"/>
                <w:sz w:val="20"/>
                <w:szCs w:val="20"/>
              </w:rPr>
            </w:pPr>
            <w:r w:rsidRPr="00FB2123">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69AE0856" w14:textId="77777777" w:rsidR="00FB2123" w:rsidRPr="00FB2123" w:rsidRDefault="00FB2123" w:rsidP="00FB2123">
            <w:pPr>
              <w:spacing w:after="0" w:line="240" w:lineRule="auto"/>
              <w:jc w:val="center"/>
              <w:rPr>
                <w:rFonts w:ascii="Arial" w:eastAsia="Times New Roman" w:hAnsi="Arial" w:cs="Arial"/>
                <w:b/>
                <w:bCs/>
                <w:color w:val="000000"/>
                <w:sz w:val="20"/>
                <w:szCs w:val="20"/>
              </w:rPr>
            </w:pPr>
            <w:r w:rsidRPr="00FB2123">
              <w:rPr>
                <w:rFonts w:ascii="Arial" w:eastAsia="Times New Roman" w:hAnsi="Arial" w:cs="Arial"/>
                <w:b/>
                <w:bCs/>
                <w:color w:val="000000"/>
                <w:sz w:val="20"/>
                <w:szCs w:val="20"/>
              </w:rPr>
              <w:t>Test method</w:t>
            </w:r>
          </w:p>
        </w:tc>
        <w:tc>
          <w:tcPr>
            <w:tcW w:w="3510" w:type="dxa"/>
            <w:tcBorders>
              <w:top w:val="single" w:sz="4" w:space="0" w:color="auto"/>
              <w:left w:val="nil"/>
              <w:bottom w:val="single" w:sz="4" w:space="0" w:color="auto"/>
              <w:right w:val="single" w:sz="4" w:space="0" w:color="auto"/>
            </w:tcBorders>
            <w:shd w:val="clear" w:color="000000" w:fill="F2F2F2"/>
            <w:vAlign w:val="center"/>
            <w:hideMark/>
          </w:tcPr>
          <w:p w14:paraId="5482CD8B" w14:textId="77777777" w:rsidR="00FB2123" w:rsidRPr="00FB2123" w:rsidRDefault="00FB2123" w:rsidP="00FB2123">
            <w:pPr>
              <w:spacing w:after="0" w:line="240" w:lineRule="auto"/>
              <w:jc w:val="center"/>
              <w:rPr>
                <w:rFonts w:ascii="Arial" w:eastAsia="Times New Roman" w:hAnsi="Arial" w:cs="Arial"/>
                <w:b/>
                <w:bCs/>
                <w:color w:val="000000"/>
                <w:sz w:val="20"/>
                <w:szCs w:val="20"/>
              </w:rPr>
            </w:pPr>
            <w:r w:rsidRPr="00FB2123">
              <w:rPr>
                <w:rFonts w:ascii="Arial" w:eastAsia="Times New Roman" w:hAnsi="Arial" w:cs="Arial"/>
                <w:b/>
                <w:bCs/>
                <w:color w:val="000000"/>
                <w:sz w:val="20"/>
                <w:szCs w:val="20"/>
              </w:rPr>
              <w:t>Typical value</w:t>
            </w:r>
          </w:p>
        </w:tc>
      </w:tr>
      <w:tr w:rsidR="00FB2123" w:rsidRPr="00FB2123" w14:paraId="32648AB4"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7B0852"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Density at 20°C</w:t>
            </w:r>
          </w:p>
        </w:tc>
        <w:tc>
          <w:tcPr>
            <w:tcW w:w="1350" w:type="dxa"/>
            <w:tcBorders>
              <w:top w:val="nil"/>
              <w:left w:val="nil"/>
              <w:bottom w:val="single" w:sz="4" w:space="0" w:color="auto"/>
              <w:right w:val="single" w:sz="4" w:space="0" w:color="auto"/>
            </w:tcBorders>
            <w:shd w:val="clear" w:color="auto" w:fill="auto"/>
            <w:vAlign w:val="center"/>
            <w:hideMark/>
          </w:tcPr>
          <w:p w14:paraId="0EFB0A82"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kg/m</w:t>
            </w:r>
            <w:r w:rsidRPr="00FB2123">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shd w:val="clear" w:color="auto" w:fill="auto"/>
            <w:vAlign w:val="center"/>
            <w:hideMark/>
          </w:tcPr>
          <w:p w14:paraId="4FCED319"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3900</w:t>
            </w:r>
          </w:p>
        </w:tc>
        <w:tc>
          <w:tcPr>
            <w:tcW w:w="3510" w:type="dxa"/>
            <w:tcBorders>
              <w:top w:val="nil"/>
              <w:left w:val="nil"/>
              <w:bottom w:val="single" w:sz="4" w:space="0" w:color="auto"/>
              <w:right w:val="single" w:sz="4" w:space="0" w:color="auto"/>
            </w:tcBorders>
            <w:shd w:val="clear" w:color="auto" w:fill="auto"/>
            <w:vAlign w:val="center"/>
            <w:hideMark/>
          </w:tcPr>
          <w:p w14:paraId="4C8556EC"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484475B6"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629F59A"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Kinematic Viscosity at 100°C</w:t>
            </w:r>
          </w:p>
        </w:tc>
        <w:tc>
          <w:tcPr>
            <w:tcW w:w="1350" w:type="dxa"/>
            <w:tcBorders>
              <w:top w:val="nil"/>
              <w:left w:val="nil"/>
              <w:bottom w:val="single" w:sz="4" w:space="0" w:color="auto"/>
              <w:right w:val="single" w:sz="4" w:space="0" w:color="auto"/>
            </w:tcBorders>
            <w:shd w:val="clear" w:color="auto" w:fill="auto"/>
            <w:vAlign w:val="center"/>
            <w:hideMark/>
          </w:tcPr>
          <w:p w14:paraId="22C00976"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mm</w:t>
            </w:r>
            <w:r w:rsidRPr="00FB2123">
              <w:rPr>
                <w:rFonts w:ascii="Arial" w:eastAsia="Times New Roman" w:hAnsi="Arial" w:cs="Arial"/>
                <w:color w:val="000000"/>
                <w:sz w:val="20"/>
                <w:szCs w:val="20"/>
                <w:vertAlign w:val="superscript"/>
              </w:rPr>
              <w:t>2</w:t>
            </w:r>
            <w:r w:rsidRPr="00FB2123">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3C37B8A7"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33</w:t>
            </w:r>
          </w:p>
        </w:tc>
        <w:tc>
          <w:tcPr>
            <w:tcW w:w="3510" w:type="dxa"/>
            <w:tcBorders>
              <w:top w:val="nil"/>
              <w:left w:val="nil"/>
              <w:bottom w:val="single" w:sz="4" w:space="0" w:color="auto"/>
              <w:right w:val="single" w:sz="4" w:space="0" w:color="auto"/>
            </w:tcBorders>
            <w:shd w:val="clear" w:color="auto" w:fill="auto"/>
            <w:vAlign w:val="center"/>
            <w:hideMark/>
          </w:tcPr>
          <w:p w14:paraId="40B3AEC4"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764A273F"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5649F29"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 xml:space="preserve">Viscosity Index </w:t>
            </w:r>
          </w:p>
        </w:tc>
        <w:tc>
          <w:tcPr>
            <w:tcW w:w="1350" w:type="dxa"/>
            <w:tcBorders>
              <w:top w:val="nil"/>
              <w:left w:val="nil"/>
              <w:bottom w:val="single" w:sz="4" w:space="0" w:color="auto"/>
              <w:right w:val="single" w:sz="4" w:space="0" w:color="auto"/>
            </w:tcBorders>
            <w:shd w:val="clear" w:color="auto" w:fill="auto"/>
            <w:vAlign w:val="center"/>
            <w:hideMark/>
          </w:tcPr>
          <w:p w14:paraId="003AABC9"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65DCE0DC"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25371</w:t>
            </w:r>
          </w:p>
        </w:tc>
        <w:tc>
          <w:tcPr>
            <w:tcW w:w="3510" w:type="dxa"/>
            <w:tcBorders>
              <w:top w:val="nil"/>
              <w:left w:val="nil"/>
              <w:bottom w:val="single" w:sz="4" w:space="0" w:color="auto"/>
              <w:right w:val="single" w:sz="4" w:space="0" w:color="auto"/>
            </w:tcBorders>
            <w:shd w:val="clear" w:color="auto" w:fill="auto"/>
            <w:vAlign w:val="center"/>
            <w:hideMark/>
          </w:tcPr>
          <w:p w14:paraId="65AB4385"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35CEC715"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5D0853D"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TBN (HclO4)</w:t>
            </w:r>
          </w:p>
        </w:tc>
        <w:tc>
          <w:tcPr>
            <w:tcW w:w="1350" w:type="dxa"/>
            <w:tcBorders>
              <w:top w:val="nil"/>
              <w:left w:val="nil"/>
              <w:bottom w:val="single" w:sz="4" w:space="0" w:color="auto"/>
              <w:right w:val="single" w:sz="4" w:space="0" w:color="auto"/>
            </w:tcBorders>
            <w:shd w:val="clear" w:color="auto" w:fill="auto"/>
            <w:vAlign w:val="center"/>
            <w:hideMark/>
          </w:tcPr>
          <w:p w14:paraId="7B94379E"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mg KOH /g</w:t>
            </w:r>
          </w:p>
        </w:tc>
        <w:tc>
          <w:tcPr>
            <w:tcW w:w="1620" w:type="dxa"/>
            <w:tcBorders>
              <w:top w:val="nil"/>
              <w:left w:val="nil"/>
              <w:bottom w:val="single" w:sz="4" w:space="0" w:color="auto"/>
              <w:right w:val="single" w:sz="4" w:space="0" w:color="auto"/>
            </w:tcBorders>
            <w:shd w:val="clear" w:color="auto" w:fill="auto"/>
            <w:vAlign w:val="center"/>
            <w:hideMark/>
          </w:tcPr>
          <w:p w14:paraId="0026AD07"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11362</w:t>
            </w:r>
          </w:p>
        </w:tc>
        <w:tc>
          <w:tcPr>
            <w:tcW w:w="3510" w:type="dxa"/>
            <w:tcBorders>
              <w:top w:val="nil"/>
              <w:left w:val="nil"/>
              <w:bottom w:val="single" w:sz="4" w:space="0" w:color="auto"/>
              <w:right w:val="single" w:sz="4" w:space="0" w:color="auto"/>
            </w:tcBorders>
            <w:shd w:val="clear" w:color="auto" w:fill="auto"/>
            <w:vAlign w:val="center"/>
            <w:hideMark/>
          </w:tcPr>
          <w:p w14:paraId="66C88622"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7D8B69A8"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8B834BD"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Sulfated Ash</w:t>
            </w:r>
          </w:p>
        </w:tc>
        <w:tc>
          <w:tcPr>
            <w:tcW w:w="1350" w:type="dxa"/>
            <w:tcBorders>
              <w:top w:val="nil"/>
              <w:left w:val="nil"/>
              <w:bottom w:val="single" w:sz="4" w:space="0" w:color="auto"/>
              <w:right w:val="single" w:sz="4" w:space="0" w:color="auto"/>
            </w:tcBorders>
            <w:shd w:val="clear" w:color="auto" w:fill="auto"/>
            <w:vAlign w:val="center"/>
            <w:hideMark/>
          </w:tcPr>
          <w:p w14:paraId="2DCC14C6"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0945A8CE"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12417</w:t>
            </w:r>
          </w:p>
        </w:tc>
        <w:tc>
          <w:tcPr>
            <w:tcW w:w="3510" w:type="dxa"/>
            <w:tcBorders>
              <w:top w:val="nil"/>
              <w:left w:val="nil"/>
              <w:bottom w:val="single" w:sz="4" w:space="0" w:color="auto"/>
              <w:right w:val="single" w:sz="4" w:space="0" w:color="auto"/>
            </w:tcBorders>
            <w:shd w:val="clear" w:color="auto" w:fill="auto"/>
            <w:vAlign w:val="center"/>
            <w:hideMark/>
          </w:tcPr>
          <w:p w14:paraId="50699524"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12820F38"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8613B3A"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Flash Point (COC)</w:t>
            </w:r>
          </w:p>
        </w:tc>
        <w:tc>
          <w:tcPr>
            <w:tcW w:w="1350" w:type="dxa"/>
            <w:tcBorders>
              <w:top w:val="nil"/>
              <w:left w:val="nil"/>
              <w:bottom w:val="single" w:sz="4" w:space="0" w:color="auto"/>
              <w:right w:val="single" w:sz="4" w:space="0" w:color="auto"/>
            </w:tcBorders>
            <w:shd w:val="clear" w:color="auto" w:fill="auto"/>
            <w:vAlign w:val="center"/>
            <w:hideMark/>
          </w:tcPr>
          <w:p w14:paraId="752A212B"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6C476D8C"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4333</w:t>
            </w:r>
          </w:p>
        </w:tc>
        <w:tc>
          <w:tcPr>
            <w:tcW w:w="3510" w:type="dxa"/>
            <w:tcBorders>
              <w:top w:val="nil"/>
              <w:left w:val="nil"/>
              <w:bottom w:val="single" w:sz="4" w:space="0" w:color="auto"/>
              <w:right w:val="single" w:sz="4" w:space="0" w:color="auto"/>
            </w:tcBorders>
            <w:shd w:val="clear" w:color="auto" w:fill="auto"/>
            <w:vAlign w:val="center"/>
            <w:hideMark/>
          </w:tcPr>
          <w:p w14:paraId="0B4288AD"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3E04A93D"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28E9DEE"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 xml:space="preserve">Pour Point </w:t>
            </w:r>
          </w:p>
        </w:tc>
        <w:tc>
          <w:tcPr>
            <w:tcW w:w="1350" w:type="dxa"/>
            <w:tcBorders>
              <w:top w:val="nil"/>
              <w:left w:val="nil"/>
              <w:bottom w:val="single" w:sz="4" w:space="0" w:color="auto"/>
              <w:right w:val="single" w:sz="4" w:space="0" w:color="auto"/>
            </w:tcBorders>
            <w:shd w:val="clear" w:color="auto" w:fill="auto"/>
            <w:vAlign w:val="center"/>
            <w:hideMark/>
          </w:tcPr>
          <w:p w14:paraId="544D6AFB"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390E0FE0"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20287</w:t>
            </w:r>
          </w:p>
        </w:tc>
        <w:tc>
          <w:tcPr>
            <w:tcW w:w="3510" w:type="dxa"/>
            <w:tcBorders>
              <w:top w:val="nil"/>
              <w:left w:val="nil"/>
              <w:bottom w:val="single" w:sz="4" w:space="0" w:color="auto"/>
              <w:right w:val="single" w:sz="4" w:space="0" w:color="auto"/>
            </w:tcBorders>
            <w:shd w:val="clear" w:color="auto" w:fill="auto"/>
            <w:vAlign w:val="center"/>
            <w:hideMark/>
          </w:tcPr>
          <w:p w14:paraId="6B83E568"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0368D828" w14:textId="77777777" w:rsidR="00E71C43" w:rsidRDefault="00E71C43" w:rsidP="00A2388E">
      <w:pPr>
        <w:shd w:val="clear" w:color="auto" w:fill="FFFFFF"/>
        <w:spacing w:after="0" w:line="276" w:lineRule="auto"/>
        <w:rPr>
          <w:rFonts w:ascii="Arial" w:hAnsi="Arial" w:cs="Arial"/>
          <w:b/>
          <w:bCs/>
          <w:color w:val="C00000"/>
        </w:rPr>
      </w:pPr>
    </w:p>
    <w:p w14:paraId="7C34FC53" w14:textId="77777777" w:rsidR="00D43D9D" w:rsidRPr="00597FD4" w:rsidRDefault="00D43D9D" w:rsidP="00D43D9D">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17C100B4" w14:textId="77777777" w:rsidR="00D43D9D" w:rsidRDefault="00D43D9D" w:rsidP="00D43D9D">
      <w:pPr>
        <w:shd w:val="clear" w:color="auto" w:fill="FFFFFF"/>
        <w:spacing w:after="0" w:line="276" w:lineRule="auto"/>
        <w:rPr>
          <w:rFonts w:ascii="Arial" w:hAnsi="Arial" w:cs="Arial"/>
        </w:rPr>
      </w:pPr>
      <w:r>
        <w:rPr>
          <w:rFonts w:ascii="Arial" w:hAnsi="Arial"/>
        </w:rPr>
        <w:t>• API CC</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22E68" w14:textId="77777777" w:rsidR="00CE5D40" w:rsidRDefault="00CE5D40" w:rsidP="00314087">
      <w:pPr>
        <w:spacing w:after="0" w:line="240" w:lineRule="auto"/>
      </w:pPr>
      <w:r>
        <w:separator/>
      </w:r>
    </w:p>
  </w:endnote>
  <w:endnote w:type="continuationSeparator" w:id="0">
    <w:p w14:paraId="411B9F87" w14:textId="77777777" w:rsidR="00CE5D40" w:rsidRDefault="00CE5D4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09647" w14:textId="77777777" w:rsidR="00CE5D40" w:rsidRDefault="00CE5D40" w:rsidP="00314087">
      <w:pPr>
        <w:spacing w:after="0" w:line="240" w:lineRule="auto"/>
      </w:pPr>
      <w:r>
        <w:separator/>
      </w:r>
    </w:p>
  </w:footnote>
  <w:footnote w:type="continuationSeparator" w:id="0">
    <w:p w14:paraId="6F1E8AD4" w14:textId="77777777" w:rsidR="00CE5D40" w:rsidRDefault="00CE5D4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TL/GO-0005/02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0612"/>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D623D"/>
    <w:rsid w:val="00CE5D40"/>
    <w:rsid w:val="00CE739E"/>
    <w:rsid w:val="00D02729"/>
    <w:rsid w:val="00D175EF"/>
    <w:rsid w:val="00D43268"/>
    <w:rsid w:val="00D43D9D"/>
    <w:rsid w:val="00D43DFE"/>
    <w:rsid w:val="00D46B01"/>
    <w:rsid w:val="00D60726"/>
    <w:rsid w:val="00D6183E"/>
    <w:rsid w:val="00DA554E"/>
    <w:rsid w:val="00DB51BC"/>
    <w:rsid w:val="00E030DC"/>
    <w:rsid w:val="00E06684"/>
    <w:rsid w:val="00E07D44"/>
    <w:rsid w:val="00E174A0"/>
    <w:rsid w:val="00E51210"/>
    <w:rsid w:val="00E71C43"/>
    <w:rsid w:val="00E81120"/>
    <w:rsid w:val="00E83531"/>
    <w:rsid w:val="00E959B6"/>
    <w:rsid w:val="00EC0F6C"/>
    <w:rsid w:val="00EC746D"/>
    <w:rsid w:val="00ED7802"/>
    <w:rsid w:val="00EE14EF"/>
    <w:rsid w:val="00EF26A3"/>
    <w:rsid w:val="00EF3231"/>
    <w:rsid w:val="00F068E4"/>
    <w:rsid w:val="00F103BE"/>
    <w:rsid w:val="00F34214"/>
    <w:rsid w:val="00F448EA"/>
    <w:rsid w:val="00F63433"/>
    <w:rsid w:val="00F842B1"/>
    <w:rsid w:val="00FA4FCC"/>
    <w:rsid w:val="00FB212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254795">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2</Pages>
  <Words>423</Words>
  <Characters>2414</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2023-09-21T06:39:00Z</dcterms:modified>
</cp:coreProperties>
</file>