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100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100 signifies a high-performance anti-wear hydraulic oil made from premium quality raffinates, all meticulously tailored through German technology and engineering. This formulation is engineered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ASTM D6158 (HV)</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TL/HO-0018/01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