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MOM - Industrialisasi Kakao Lampung: Rasionalisasi Konsep dan Plan B</w:t>
      </w:r>
    </w:p>
    <w:p>
      <w:pPr>
        <w:jc w:val="both"/>
      </w:pPr>
      <w:r>
        <w:rPr>
          <w:b/>
        </w:rPr>
        <w:t>Status</w:t>
      </w:r>
      <w:r>
        <w:t>: Disusun dari rekaman pertemuan. Koreksi dan tambahan dipersilakan.</w:t>
      </w:r>
    </w:p>
    <w:p>
      <w:pPr>
        <w:jc w:val="both"/>
      </w:pPr>
      <w:r>
        <w:rPr>
          <w:b/>
        </w:rPr>
        <w:t>Tanggal</w:t>
      </w:r>
      <w:r>
        <w:t>: Senin, 17 Agustus 2026</w:t>
      </w:r>
    </w:p>
    <w:p>
      <w:pPr>
        <w:jc w:val="both"/>
      </w:pPr>
      <w:r>
        <w:rPr>
          <w:b/>
        </w:rPr>
        <w:t>Waktu</w:t>
      </w:r>
      <w:r>
        <w:t>: 19:46 - 20:33 WIB (rekaman 45 menit 41 detik)</w:t>
      </w:r>
    </w:p>
    <w:p>
      <w:pPr>
        <w:jc w:val="both"/>
      </w:pPr>
      <w:r>
        <w:rPr>
          <w:b/>
        </w:rPr>
        <w:t>Format</w:t>
      </w:r>
      <w:r>
        <w:t>: Daring</w:t>
      </w:r>
    </w:p>
    <w:p>
      <w:pPr>
        <w:jc w:val="both"/>
      </w:pPr>
      <w:r>
        <w:rPr>
          <w:b/>
        </w:rPr>
        <w:t>Konteks</w:t>
      </w:r>
      <w:r>
        <w:t>: Rencana hilirisasi kakao di Lampung. Proposal mitra sebelumnya (Tomi) dinilai tidak bankable, sehingga dibuka jalur alternatif bersama tim Arif dan Yuyun.</w:t>
      </w:r>
    </w:p>
    <w:p>
      <w:pPr>
        <w:jc w:val="both"/>
      </w:pPr>
      <w:r>
        <w:rPr>
          <w:b/>
        </w:rPr>
        <w:t>Distribusi</w:t>
      </w:r>
      <w:r>
        <w:t>: Terbatas. Notulen ini dibagikan hanya kepada peserta yang hadir.</w:t>
      </w:r>
    </w:p>
    <w:p>
      <w:pPr>
        <w:pStyle w:val="Heading2"/>
      </w:pPr>
      <w:r>
        <w:t>Peserta</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Nama</w:t>
            </w:r>
          </w:p>
        </w:tc>
        <w:tc>
          <w:tcPr>
            <w:tcW w:type="dxa" w:w="4320"/>
          </w:tcPr>
          <w:p>
            <w:r>
              <w:rPr>
                <w:b/>
              </w:rPr>
              <w:t>Peran dalam pembahasan</w:t>
            </w:r>
          </w:p>
        </w:tc>
      </w:tr>
      <w:tr>
        <w:tc>
          <w:tcPr>
            <w:tcW w:type="dxa" w:w="4320"/>
          </w:tcPr>
          <w:p>
            <w:r>
              <w:t>Hariyadi</w:t>
            </w:r>
          </w:p>
        </w:tc>
        <w:tc>
          <w:tcPr>
            <w:tcW w:type="dxa" w:w="4320"/>
          </w:tcPr>
          <w:p>
            <w:r>
              <w:t>Sisi perbankan, pemilik akses ke pimpinan bank dan skema pembiayaan</w:t>
            </w:r>
          </w:p>
        </w:tc>
      </w:tr>
      <w:tr>
        <w:tc>
          <w:tcPr>
            <w:tcW w:type="dxa" w:w="4320"/>
          </w:tcPr>
          <w:p>
            <w:r>
              <w:t>Yuyun Kurniawan</w:t>
            </w:r>
          </w:p>
        </w:tc>
        <w:tc>
          <w:tcPr>
            <w:tcW w:type="dxa" w:w="4320"/>
          </w:tcPr>
          <w:p>
            <w:r>
              <w:t>Rantai pasok, agroforestri, jalur Kadin dan kehutanan</w:t>
            </w:r>
          </w:p>
        </w:tc>
      </w:tr>
      <w:tr>
        <w:tc>
          <w:tcPr>
            <w:tcW w:type="dxa" w:w="4320"/>
          </w:tcPr>
          <w:p>
            <w:r>
              <w:t>Arif Rachman</w:t>
            </w:r>
          </w:p>
        </w:tc>
        <w:tc>
          <w:tcPr>
            <w:tcW w:type="dxa" w:w="4320"/>
          </w:tcPr>
          <w:p>
            <w:r>
              <w:t>Fasilitas pengolahan eksisting di Pesawaran, jaringan buyer dan GIZ</w:t>
            </w:r>
          </w:p>
        </w:tc>
      </w:tr>
    </w:tbl>
    <w:p/>
    <w:p>
      <w:pPr>
        <w:jc w:val="both"/>
      </w:pPr>
      <w:r>
        <w:rPr>
          <w:i/>
        </w:rPr>
        <w:t>Catatan: label pembicara pada transkrip otomatis tertukar antar bagian. Pemetaan di atas disusun dari isi pembicaraan, mohon dikoreksi bila ada yang meleset.</w:t>
      </w:r>
    </w:p>
    <w:p>
      <w:pPr>
        <w:pStyle w:val="Heading2"/>
      </w:pPr>
      <w:r>
        <w:t>Agenda</w:t>
      </w:r>
    </w:p>
    <w:p>
      <w:pPr>
        <w:pStyle w:val="ListNumber"/>
      </w:pPr>
      <w:r>
        <w:t>Latar belakang dan posisi proposal lama</w:t>
      </w:r>
    </w:p>
    <w:p>
      <w:pPr>
        <w:pStyle w:val="ListNumber"/>
      </w:pPr>
      <w:r>
        <w:t>Kelemahan hitungan pada proposal Tomi</w:t>
      </w:r>
    </w:p>
    <w:p>
      <w:pPr>
        <w:pStyle w:val="ListNumber"/>
      </w:pPr>
      <w:r>
        <w:t>Konsep Plan B dan tahapannya</w:t>
      </w:r>
    </w:p>
    <w:p>
      <w:pPr>
        <w:pStyle w:val="ListNumber"/>
      </w:pPr>
      <w:r>
        <w:t>Skema pembiayaan dan syarat kelayakan bank</w:t>
      </w:r>
    </w:p>
    <w:p>
      <w:pPr>
        <w:pStyle w:val="ListNumber"/>
      </w:pPr>
      <w:r>
        <w:t>Teknologi mesin dan jaringan buyer</w:t>
      </w:r>
    </w:p>
    <w:p>
      <w:pPr>
        <w:pStyle w:val="ListNumber"/>
      </w:pPr>
      <w:r>
        <w:t>Ritme koordinasi ke depan</w:t>
      </w:r>
    </w:p>
    <w:p>
      <w:pPr>
        <w:pStyle w:val="Heading2"/>
      </w:pPr>
      <w:r>
        <w:t>Pembahasan</w:t>
      </w:r>
    </w:p>
    <w:p>
      <w:pPr>
        <w:pStyle w:val="Heading3"/>
      </w:pPr>
      <w:r>
        <w:t>1. Titik berangkat</w:t>
      </w:r>
    </w:p>
    <w:p>
      <w:pPr>
        <w:jc w:val="both"/>
      </w:pPr>
      <w:r>
        <w:t>Lampung kini peringkat ketiga nasional sebagai produsen biji kakao, turun dari peringkat kedua. Ketersediaan bahan tetap dinilai cukup besar sebagai dasar hilirisasi.</w:t>
      </w:r>
    </w:p>
    <w:p>
      <w:pPr>
        <w:jc w:val="both"/>
      </w:pPr>
      <w:r>
        <w:t>Cita-cita awalnya membangun pabrik dengan bahan baku 15.000 ton dan output 10.000 ton setara cocoa liquor, ditambah butter dan powder. Dari ground breaking, pabrik paling cepat berdiri 2 tahun lagi.</w:t>
      </w:r>
    </w:p>
    <w:p>
      <w:pPr>
        <w:jc w:val="both"/>
      </w:pPr>
      <w:r>
        <w:t>Kerja sama dengan mitra sebelumnya sudah berjalan sejak NDA sekitar Maret, tetapi progresnya sangat lambat. Ketika hendak diakselerasi, profil yang bersangkutan ternyata tidak memenuhi syarat perbankan.</w:t>
      </w:r>
    </w:p>
    <w:p>
      <w:pPr>
        <w:pStyle w:val="Heading3"/>
      </w:pPr>
      <w:r>
        <w:t>2. Kelemahan proposal lama</w:t>
      </w:r>
    </w:p>
    <w:p>
      <w:pPr>
        <w:jc w:val="both"/>
      </w:pPr>
      <w:r>
        <w:t>Beberapa hal yang disepakati bermasalah:</w:t>
      </w:r>
    </w:p>
    <w:p>
      <w:pPr>
        <w:pStyle w:val="ListBullet"/>
      </w:pPr>
      <w:r>
        <w:t>Harga liquor dipakai Rp350.000, sementara harga normal sekitar Rp150.000 dan di bawah Rp200.000.</w:t>
      </w:r>
    </w:p>
    <w:p>
      <w:pPr>
        <w:pStyle w:val="ListBullet"/>
      </w:pPr>
      <w:r>
        <w:t>Basis harga biji memakai angka tahun lalu, saat gagal panen di Afrika mengerek harga dari kisaran 60-70 ke 180-200. Ini outlier statistik dan tidak layak jadi benchmark.</w:t>
      </w:r>
    </w:p>
    <w:p>
      <w:pPr>
        <w:pStyle w:val="ListBullet"/>
      </w:pPr>
      <w:r>
        <w:t>Tidak ada referensi atau rujukan untuk angka-angka yang dipakai.</w:t>
      </w:r>
    </w:p>
    <w:p>
      <w:pPr>
        <w:pStyle w:val="ListBullet"/>
      </w:pPr>
      <w:r>
        <w:t>Asumsi 100% organik dan fermentasi dinilai berat, bukan mustahil tetapi tidak realistis di awal.</w:t>
      </w:r>
    </w:p>
    <w:p>
      <w:pPr>
        <w:pStyle w:val="ListBullet"/>
      </w:pPr>
      <w:r>
        <w:t>Belum ada LOI atau kontrak jual beli dengan calon buyer, sehingga sisi pasar menggantung.</w:t>
      </w:r>
    </w:p>
    <w:p>
      <w:pPr>
        <w:pStyle w:val="ListBullet"/>
      </w:pPr>
      <w:r>
        <w:t>Konsep lahir dari pemikiran satu orang tanpa dukungan subject matter expert lain.</w:t>
      </w:r>
    </w:p>
    <w:p>
      <w:pPr>
        <w:jc w:val="both"/>
      </w:pPr>
      <w:r>
        <w:t>Konsekuensinya, seluruh asumsi kelayakan proyek harus dibongkar dan disusun ulang. Ke depan setiap angka dalam proposal wajib mencantumkan rujukan.</w:t>
      </w:r>
    </w:p>
    <w:p>
      <w:pPr>
        <w:pStyle w:val="Heading3"/>
      </w:pPr>
      <w:r>
        <w:t>3. Konsep Plan B</w:t>
      </w:r>
    </w:p>
    <w:p>
      <w:pPr>
        <w:jc w:val="both"/>
      </w:pPr>
      <w:r>
        <w:t>Alih-alih membangun dari nol, pendekatannya adalah scale up dari yang sudah ada.</w:t>
      </w:r>
    </w:p>
    <w:p>
      <w:pPr>
        <w:jc w:val="both"/>
      </w:pPr>
      <w:r>
        <w:rPr>
          <w:b/>
        </w:rPr>
        <w:t>Tahun 1 sampai 2, sebelum pabrik berdiri:</w:t>
      </w:r>
    </w:p>
    <w:tbl>
      <w:tblPr>
        <w:tblStyle w:val="LightGrid-Accent1"/>
        <w:tblW w:type="auto" w:w="0"/>
        <w:tblLook w:firstColumn="1" w:firstRow="1" w:lastColumn="0" w:lastRow="0" w:noHBand="0" w:noVBand="1" w:val="04A0"/>
      </w:tblPr>
      <w:tblGrid>
        <w:gridCol w:w="4320"/>
        <w:gridCol w:w="4320"/>
      </w:tblGrid>
      <w:tr>
        <w:tc>
          <w:tcPr>
            <w:tcW w:type="dxa" w:w="4320"/>
          </w:tcPr>
          <w:p>
            <w:r>
              <w:rPr>
                <w:b/>
              </w:rPr>
              <w:t>Periode</w:t>
            </w:r>
          </w:p>
        </w:tc>
        <w:tc>
          <w:tcPr>
            <w:tcW w:type="dxa" w:w="4320"/>
          </w:tcPr>
          <w:p>
            <w:r>
              <w:rPr>
                <w:b/>
              </w:rPr>
              <w:t>Fokus</w:t>
            </w:r>
          </w:p>
        </w:tc>
      </w:tr>
      <w:tr>
        <w:tc>
          <w:tcPr>
            <w:tcW w:type="dxa" w:w="4320"/>
          </w:tcPr>
          <w:p>
            <w:r>
              <w:t>Bulan 1-6</w:t>
            </w:r>
          </w:p>
        </w:tc>
        <w:tc>
          <w:tcPr>
            <w:tcW w:type="dxa" w:w="4320"/>
          </w:tcPr>
          <w:p>
            <w:r>
              <w:t>Engagement dengan petani dan pengumpul, membaca pola bisnis pengumpul yang selama ini terikat pemain besar</w:t>
            </w:r>
          </w:p>
        </w:tc>
      </w:tr>
      <w:tr>
        <w:tc>
          <w:tcPr>
            <w:tcW w:type="dxa" w:w="4320"/>
          </w:tcPr>
          <w:p>
            <w:r>
              <w:t>Bulan 6-12</w:t>
            </w:r>
          </w:p>
        </w:tc>
        <w:tc>
          <w:tcPr>
            <w:tcW w:type="dxa" w:w="4320"/>
          </w:tcPr>
          <w:p>
            <w:r>
              <w:t>Infrastruktur fermentasi skala medium mulai berjalan (setup butuh 2-3 bulan, dibangun paralel sejak awal)</w:t>
            </w:r>
          </w:p>
        </w:tc>
      </w:tr>
      <w:tr>
        <w:tc>
          <w:tcPr>
            <w:tcW w:type="dxa" w:w="4320"/>
          </w:tcPr>
          <w:p>
            <w:r>
              <w:t>Tahun ke-2</w:t>
            </w:r>
          </w:p>
        </w:tc>
        <w:tc>
          <w:tcPr>
            <w:tcW w:type="dxa" w:w="4320"/>
          </w:tcPr>
          <w:p>
            <w:r>
              <w:t>Uji coba fermentasi dan penyusunan formula</w:t>
            </w:r>
          </w:p>
        </w:tc>
      </w:tr>
    </w:tbl>
    <w:p/>
    <w:p>
      <w:pPr>
        <w:jc w:val="both"/>
      </w:pPr>
      <w:r>
        <w:t>Fasilitas pengolahan yang sudah ada di Pesawaran dipakai sebagai sarana R&amp;D. Alasannya, kalau formula baru dicari setelah pabrik berdiri, investasi menganggur terlalu lama. Karakteristik biji berbeda antar daerah, sehingga treatment yang cocok untuk biji Lampung belum tentu cocok untuk biji Pesawaran. Di wilayah Pesawaran hampir tidak ada yang melakukan fermentasi, jadi uji coba sendiri tidak terhindarkan. Secara paralel dicari biji fermentasi yang sudah ada di Lampung untuk diolah lebih dulu, supaya saat berbicara dengan investor sudah ada produk fisik yang bisa dilihat dan dicicipi.</w:t>
      </w:r>
    </w:p>
    <w:p>
      <w:pPr>
        <w:jc w:val="both"/>
      </w:pPr>
      <w:r>
        <w:t>Kapasitas perlu diturunkan ke angka yang realistis, misalnya 5.000 sampai 7.500 ton, berbasis statistik 5 sampai 10 tahun terakhir. Angkanya sengaja dibuat berbeda dari angka psikologis yang dipakai proposal lama.</w:t>
      </w:r>
    </w:p>
    <w:p>
      <w:pPr>
        <w:pStyle w:val="Heading3"/>
      </w:pPr>
      <w:r>
        <w:t>4. Pembiayaan dan syarat kelayakan</w:t>
      </w:r>
    </w:p>
    <w:p>
      <w:pPr>
        <w:jc w:val="both"/>
      </w:pPr>
      <w:r>
        <w:t>Skema yang sebelumnya disiapkan adalah Export Credit Agency: mesin dijamin Euler Hermes dari Pemerintah Federal Jerman, bahan baku dijamin pemerintah Swiss lewat PO finance. Dengan penjaminan itu Deutsche Bank bersedia mengucurkan dana. Selama ada kontrak jual beli, dana bahan baku bisa ditarik di depan.</w:t>
      </w:r>
    </w:p>
    <w:p>
      <w:pPr>
        <w:jc w:val="both"/>
      </w:pPr>
      <w:r>
        <w:t>Syaratnya, feasibility study harus disusun kantor akuntan publik terakreditasi yang biasa menjadi mitra bank asing, ditambah izin-izin prinsip industri.</w:t>
      </w:r>
    </w:p>
    <w:p>
      <w:pPr>
        <w:jc w:val="both"/>
      </w:pPr>
      <w:r>
        <w:t>Dua hal yang selalu jadi pertimbangan bank:</w:t>
      </w:r>
    </w:p>
    <w:p>
      <w:pPr>
        <w:pStyle w:val="ListNumber"/>
      </w:pPr>
      <w:r>
        <w:rPr>
          <w:b/>
        </w:rPr>
        <w:t>Jaminan pasar</w:t>
      </w:r>
      <w:r>
        <w:t xml:space="preserve"> yang memenuhi standar Eropa, termasuk sensitivitas terhadap deforestasi, pekerja anak, dan fair trade.</w:t>
      </w:r>
    </w:p>
    <w:p>
      <w:pPr>
        <w:pStyle w:val="ListNumber"/>
      </w:pPr>
      <w:r>
        <w:rPr>
          <w:b/>
        </w:rPr>
        <w:t>Jaminan pasokan</w:t>
      </w:r>
      <w:r>
        <w:t xml:space="preserve"> di atas kapasitas minimum pabrik. Utilisasi harus di atas 60%, di bawah itu pabrik rugi dan tidak sanggup bayar angsuran.</w:t>
      </w:r>
    </w:p>
    <w:p>
      <w:pPr>
        <w:jc w:val="both"/>
      </w:pPr>
      <w:r>
        <w:rPr>
          <w:b/>
        </w:rPr>
        <w:t>Konsep kawasan industri</w:t>
      </w:r>
      <w:r>
        <w:t>: aturan pemerintah mensyaratkan minimum 50 hektar. Yang dibangun lebih dulu adalah fermentation center, gudang bahan baku, generator, water plant, waste water plant, dan asrama karyawan. Manfaatnya insentif pajak, fasilitas impor ekspor, dan stimulus pemerintah, sekaligus menyiapkan lahan untuk industri turunan seperti farmasi dan kosmetik. Kawasan membuat feasibility study jauh lebih punya nilai jual di mata bank.</w:t>
      </w:r>
    </w:p>
    <w:p>
      <w:pPr>
        <w:jc w:val="both"/>
      </w:pPr>
      <w:r>
        <w:rPr>
          <w:b/>
        </w:rPr>
        <w:t>Family office Jerman</w:t>
      </w:r>
      <w:r>
        <w:t>: seorang narasumber dengan latar Price Waterhouse Cooper yang lama di Jerman menilai banyak family office akan antusias bila diberi kesempatan melihat proyek ini, dan siap dikompensasi dengan saham. Fasilitas golden visa Indonesia bisa menjadi pintunya, terutama untuk dana bridging.</w:t>
      </w:r>
    </w:p>
    <w:p>
      <w:pPr>
        <w:pStyle w:val="Heading3"/>
      </w:pPr>
      <w:r>
        <w:t>5. Teknologi dan pasar</w:t>
      </w:r>
    </w:p>
    <w:p>
      <w:pPr>
        <w:jc w:val="both"/>
      </w:pPr>
      <w:r>
        <w:t>Proposal lama langsung mengunci mesin Buhler dan masuk terlalu teknis, padahal kontrak jual beli bahkan LOI belum ada sama sekali.</w:t>
      </w:r>
    </w:p>
    <w:p>
      <w:pPr>
        <w:jc w:val="both"/>
      </w:pPr>
      <w:r>
        <w:t>Pandangan yang disepakati: pilihan mesin sebaiknya mengikuti preferensi pasar, karena buyer kerap punya preferensi teknologi tertentu. Kalau buyer punya preferensi, itu bisa dipakai sebagai pengikat komitmen kontrak. Mesin berkualitas tinggi tanpa pasar justru menjadi beban.</w:t>
      </w:r>
    </w:p>
    <w:p>
      <w:pPr>
        <w:jc w:val="both"/>
      </w:pPr>
      <w:r>
        <w:t>Penjajakan ke Buhler tetap dibuka, tetapi lewat jalur yang wajar, yaitu melalui ekosistem pabrik Pesawaran yang sudah berjalan, dengan kapasitas yang sesuai rencana baru.</w:t>
      </w:r>
    </w:p>
    <w:p>
      <w:pPr>
        <w:jc w:val="both"/>
      </w:pPr>
      <w:r>
        <w:t>Pendekatan ke buyer dilakukan sebagai operasi senyap, tidak terbuka ke publik, supaya kompetitor tidak lebih dulu memasang strategi. Momen pertemuan dengan delegasi dan importir Jerman dapat dipakai untuk mengukur komitmen serapan mereka.</w:t>
      </w:r>
    </w:p>
    <w:p>
      <w:pPr>
        <w:pStyle w:val="Heading3"/>
      </w:pPr>
      <w:r>
        <w:t>6. Pasokan lewat jalur konsesi</w:t>
      </w:r>
    </w:p>
    <w:p>
      <w:pPr>
        <w:jc w:val="both"/>
      </w:pPr>
      <w:r>
        <w:t>Untuk stabilitas pasokan, ketergantungan pada petani individual dikurangi. Beberapa konsesi kehutanan sedang didorong membangun ekosistem agroforestri dengan kakao sebagai komoditas unggulan, dan mereka bingung mencari mitra pasar. Bila bisa masuk di titik itu, beban memastikan bahan organik dan terfermentasi berkurang separuh jalan, sehingga fokus bisa digeser ke hilirisasi dan pasar. Penjajakan sedang berjalan lewat Kadin dan kehutanan.</w:t>
      </w:r>
    </w:p>
    <w:p>
      <w:pPr>
        <w:pStyle w:val="Heading2"/>
      </w:pPr>
      <w:r>
        <w:t>Keputusan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Keputusan</w:t>
            </w:r>
          </w:p>
        </w:tc>
        <w:tc>
          <w:tcPr>
            <w:tcW w:type="dxa" w:w="2880"/>
          </w:tcPr>
          <w:p>
            <w:r>
              <w:rPr>
                <w:b/>
              </w:rPr>
              <w:t>Alasan</w:t>
            </w:r>
          </w:p>
        </w:tc>
      </w:tr>
      <w:tr>
        <w:tc>
          <w:tcPr>
            <w:tcW w:type="dxa" w:w="2880"/>
          </w:tcPr>
          <w:p>
            <w:r>
              <w:t>1</w:t>
            </w:r>
          </w:p>
        </w:tc>
        <w:tc>
          <w:tcPr>
            <w:tcW w:type="dxa" w:w="2880"/>
          </w:tcPr>
          <w:p>
            <w:r>
              <w:t>Proposal lama tidak dilanjutkan, disusun proposal baru yang down to earth</w:t>
            </w:r>
          </w:p>
        </w:tc>
        <w:tc>
          <w:tcPr>
            <w:tcW w:type="dxa" w:w="2880"/>
          </w:tcPr>
          <w:p>
            <w:r>
              <w:t>Profil mitra tidak bankable dan hitungannya tidak akurat</w:t>
            </w:r>
          </w:p>
        </w:tc>
      </w:tr>
      <w:tr>
        <w:tc>
          <w:tcPr>
            <w:tcW w:type="dxa" w:w="2880"/>
          </w:tcPr>
          <w:p>
            <w:r>
              <w:t>2</w:t>
            </w:r>
          </w:p>
        </w:tc>
        <w:tc>
          <w:tcPr>
            <w:tcW w:type="dxa" w:w="2880"/>
          </w:tcPr>
          <w:p>
            <w:r>
              <w:t>Setiap angka dalam proposal wajib mencantumkan rujukan</w:t>
            </w:r>
          </w:p>
        </w:tc>
        <w:tc>
          <w:tcPr>
            <w:tcW w:type="dxa" w:w="2880"/>
          </w:tcPr>
          <w:p>
            <w:r>
              <w:t>Menghindari asumsi kelayakan runtuh saat diuji pimpinan bank</w:t>
            </w:r>
          </w:p>
        </w:tc>
      </w:tr>
      <w:tr>
        <w:tc>
          <w:tcPr>
            <w:tcW w:type="dxa" w:w="2880"/>
          </w:tcPr>
          <w:p>
            <w:r>
              <w:t>3</w:t>
            </w:r>
          </w:p>
        </w:tc>
        <w:tc>
          <w:tcPr>
            <w:tcW w:type="dxa" w:w="2880"/>
          </w:tcPr>
          <w:p>
            <w:r>
              <w:t>Fasilitas Pesawaran dipakai sebagai sarana R&amp;D sebelum pabrik berdiri</w:t>
            </w:r>
          </w:p>
        </w:tc>
        <w:tc>
          <w:tcPr>
            <w:tcW w:type="dxa" w:w="2880"/>
          </w:tcPr>
          <w:p>
            <w:r>
              <w:t>Supaya investasi pabrik tidak menganggur menunggu formula</w:t>
            </w:r>
          </w:p>
        </w:tc>
      </w:tr>
      <w:tr>
        <w:tc>
          <w:tcPr>
            <w:tcW w:type="dxa" w:w="2880"/>
          </w:tcPr>
          <w:p>
            <w:r>
              <w:t>4</w:t>
            </w:r>
          </w:p>
        </w:tc>
        <w:tc>
          <w:tcPr>
            <w:tcW w:type="dxa" w:w="2880"/>
          </w:tcPr>
          <w:p>
            <w:r>
              <w:t>Kapasitas diturunkan ke angka realistis berbasis data 5-10 tahun</w:t>
            </w:r>
          </w:p>
        </w:tc>
        <w:tc>
          <w:tcPr>
            <w:tcW w:type="dxa" w:w="2880"/>
          </w:tcPr>
          <w:p>
            <w:r>
              <w:t>Agar kelayakan bisa dipertahankan di hadapan komite kredit</w:t>
            </w:r>
          </w:p>
        </w:tc>
      </w:tr>
      <w:tr>
        <w:tc>
          <w:tcPr>
            <w:tcW w:type="dxa" w:w="2880"/>
          </w:tcPr>
          <w:p>
            <w:r>
              <w:t>5</w:t>
            </w:r>
          </w:p>
        </w:tc>
        <w:tc>
          <w:tcPr>
            <w:tcW w:type="dxa" w:w="2880"/>
          </w:tcPr>
          <w:p>
            <w:r>
              <w:t>Konsep kawasan industri 50 hektar dipertahankan</w:t>
            </w:r>
          </w:p>
        </w:tc>
        <w:tc>
          <w:tcPr>
            <w:tcW w:type="dxa" w:w="2880"/>
          </w:tcPr>
          <w:p>
            <w:r>
              <w:t>Insentif pajak, fasilitas ekspor impor, dan nilai jual ke bank</w:t>
            </w:r>
          </w:p>
        </w:tc>
      </w:tr>
      <w:tr>
        <w:tc>
          <w:tcPr>
            <w:tcW w:type="dxa" w:w="2880"/>
          </w:tcPr>
          <w:p>
            <w:r>
              <w:t>6</w:t>
            </w:r>
          </w:p>
        </w:tc>
        <w:tc>
          <w:tcPr>
            <w:tcW w:type="dxa" w:w="2880"/>
          </w:tcPr>
          <w:p>
            <w:r>
              <w:t>Koordinasi rutin mingguan, Senin malam, memakai tautan yang sama</w:t>
            </w:r>
          </w:p>
        </w:tc>
        <w:tc>
          <w:tcPr>
            <w:tcW w:type="dxa" w:w="2880"/>
          </w:tcPr>
          <w:p>
            <w:r>
              <w:t>Menjaga momentum dan menyediakan progres bertahap untuk pimpinan bank</w:t>
            </w:r>
          </w:p>
        </w:tc>
      </w:tr>
      <w:tr>
        <w:tc>
          <w:tcPr>
            <w:tcW w:type="dxa" w:w="2880"/>
          </w:tcPr>
          <w:p>
            <w:r>
              <w:t>7</w:t>
            </w:r>
          </w:p>
        </w:tc>
        <w:tc>
          <w:tcPr>
            <w:tcW w:type="dxa" w:w="2880"/>
          </w:tcPr>
          <w:p>
            <w:r>
              <w:t>Notulen tiap sesi dibuat maksimal 5 poin highlight</w:t>
            </w:r>
          </w:p>
        </w:tc>
        <w:tc>
          <w:tcPr>
            <w:tcW w:type="dxa" w:w="2880"/>
          </w:tcPr>
          <w:p>
            <w:r>
              <w:t>Permintaan Hariyadi, supaya tugas masing-masing pihak tertangkap</w:t>
            </w:r>
          </w:p>
        </w:tc>
      </w:tr>
    </w:tbl>
    <w:p/>
    <w:p>
      <w:pPr>
        <w:pStyle w:val="Heading2"/>
      </w:pPr>
      <w:r>
        <w:t>Tindak Lanjut Pekan Depan (maksimal 5, sesuai permintaan Hariyadi)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Tindak lanjut</w:t>
            </w:r>
          </w:p>
        </w:tc>
        <w:tc>
          <w:tcPr>
            <w:tcW w:type="dxa" w:w="2160"/>
          </w:tcPr>
          <w:p>
            <w:r>
              <w:rPr>
                <w:b/>
              </w:rPr>
              <w:t>Penanggung jawab</w:t>
            </w:r>
          </w:p>
        </w:tc>
        <w:tc>
          <w:tcPr>
            <w:tcW w:type="dxa" w:w="2160"/>
          </w:tcPr>
          <w:p>
            <w:r>
              <w:rPr>
                <w:b/>
              </w:rPr>
              <w:t>Target</w:t>
            </w:r>
          </w:p>
        </w:tc>
      </w:tr>
      <w:tr>
        <w:tc>
          <w:tcPr>
            <w:tcW w:type="dxa" w:w="2160"/>
          </w:tcPr>
          <w:p>
            <w:r>
              <w:t>1</w:t>
            </w:r>
          </w:p>
        </w:tc>
        <w:tc>
          <w:tcPr>
            <w:tcW w:type="dxa" w:w="2160"/>
          </w:tcPr>
          <w:p>
            <w:r>
              <w:t>Draf versi 1: ringkasan dan hitungan yang dirasionalkan, lengkap dengan rujukan harga</w:t>
            </w:r>
          </w:p>
        </w:tc>
        <w:tc>
          <w:tcPr>
            <w:tcW w:type="dxa" w:w="2160"/>
          </w:tcPr>
          <w:p>
            <w:r>
              <w:t>Arif dan Yuyun</w:t>
            </w:r>
          </w:p>
        </w:tc>
        <w:tc>
          <w:tcPr>
            <w:tcW w:type="dxa" w:w="2160"/>
          </w:tcPr>
          <w:p>
            <w:r>
              <w:t>Sebelum sesi Senin, 24 Agustus</w:t>
            </w:r>
          </w:p>
        </w:tc>
      </w:tr>
      <w:tr>
        <w:tc>
          <w:tcPr>
            <w:tcW w:type="dxa" w:w="2160"/>
          </w:tcPr>
          <w:p>
            <w:r>
              <w:t>2</w:t>
            </w:r>
          </w:p>
        </w:tc>
        <w:tc>
          <w:tcPr>
            <w:tcW w:type="dxa" w:w="2160"/>
          </w:tcPr>
          <w:p>
            <w:r>
              <w:t>Tetapkan kapasitas realistis (kisaran 5.000-7.500 ton) berbasis statistik 5-10 tahun</w:t>
            </w:r>
          </w:p>
        </w:tc>
        <w:tc>
          <w:tcPr>
            <w:tcW w:type="dxa" w:w="2160"/>
          </w:tcPr>
          <w:p>
            <w:r>
              <w:t>Arif dan Yuyun</w:t>
            </w:r>
          </w:p>
        </w:tc>
        <w:tc>
          <w:tcPr>
            <w:tcW w:type="dxa" w:w="2160"/>
          </w:tcPr>
          <w:p>
            <w:r>
              <w:t>Masuk dalam draf versi 1</w:t>
            </w:r>
          </w:p>
        </w:tc>
      </w:tr>
      <w:tr>
        <w:tc>
          <w:tcPr>
            <w:tcW w:type="dxa" w:w="2160"/>
          </w:tcPr>
          <w:p>
            <w:r>
              <w:t>3</w:t>
            </w:r>
          </w:p>
        </w:tc>
        <w:tc>
          <w:tcPr>
            <w:tcW w:type="dxa" w:w="2160"/>
          </w:tcPr>
          <w:p>
            <w:r>
              <w:t>Bagikan kontak sales manager Buhler Indonesia, lalu penjajakan lewat jalur pabrik Pesawaran</w:t>
            </w:r>
          </w:p>
        </w:tc>
        <w:tc>
          <w:tcPr>
            <w:tcW w:type="dxa" w:w="2160"/>
          </w:tcPr>
          <w:p>
            <w:r>
              <w:t>Hariyadi menyerahkan kontak, Arif menjajaki</w:t>
            </w:r>
          </w:p>
        </w:tc>
        <w:tc>
          <w:tcPr>
            <w:tcW w:type="dxa" w:w="2160"/>
          </w:tcPr>
          <w:p>
            <w:r>
              <w:t>Pekan ini</w:t>
            </w:r>
          </w:p>
        </w:tc>
      </w:tr>
      <w:tr>
        <w:tc>
          <w:tcPr>
            <w:tcW w:type="dxa" w:w="2160"/>
          </w:tcPr>
          <w:p>
            <w:r>
              <w:t>4</w:t>
            </w:r>
          </w:p>
        </w:tc>
        <w:tc>
          <w:tcPr>
            <w:tcW w:type="dxa" w:w="2160"/>
          </w:tcPr>
          <w:p>
            <w:r>
              <w:t>Tindak lanjuti telepon dari kontak buyer Jerman dan identifikasi buyer lain untuk konsorsium</w:t>
            </w:r>
          </w:p>
        </w:tc>
        <w:tc>
          <w:tcPr>
            <w:tcW w:type="dxa" w:w="2160"/>
          </w:tcPr>
          <w:p>
            <w:r>
              <w:t>Arif</w:t>
            </w:r>
          </w:p>
        </w:tc>
        <w:tc>
          <w:tcPr>
            <w:tcW w:type="dxa" w:w="2160"/>
          </w:tcPr>
          <w:p>
            <w:r>
              <w:t>Laporkan hasil di sesi Senin</w:t>
            </w:r>
          </w:p>
        </w:tc>
      </w:tr>
      <w:tr>
        <w:tc>
          <w:tcPr>
            <w:tcW w:type="dxa" w:w="2160"/>
          </w:tcPr>
          <w:p>
            <w:r>
              <w:t>5</w:t>
            </w:r>
          </w:p>
        </w:tc>
        <w:tc>
          <w:tcPr>
            <w:tcW w:type="dxa" w:w="2160"/>
          </w:tcPr>
          <w:p>
            <w:r>
              <w:t>Lanjutkan penjajakan pasokan lewat Kadin dan konsesi kehutanan berbasis agroforestri kakao</w:t>
            </w:r>
          </w:p>
        </w:tc>
        <w:tc>
          <w:tcPr>
            <w:tcW w:type="dxa" w:w="2160"/>
          </w:tcPr>
          <w:p>
            <w:r>
              <w:t>Yuyun</w:t>
            </w:r>
          </w:p>
        </w:tc>
        <w:tc>
          <w:tcPr>
            <w:tcW w:type="dxa" w:w="2160"/>
          </w:tcPr>
          <w:p>
            <w:r>
              <w:t>Laporkan progres di sesi Senin</w:t>
            </w:r>
          </w:p>
        </w:tc>
      </w:tr>
    </w:tbl>
    <w:p/>
    <w:p>
      <w:pPr>
        <w:pStyle w:val="Heading2"/>
      </w:pPr>
      <w:r>
        <w:t>Pertemuan Berikutnya</w:t>
      </w:r>
    </w:p>
    <w:p>
      <w:pPr>
        <w:pStyle w:val="ListBullet"/>
      </w:pPr>
      <w:r>
        <w:rPr>
          <w:b/>
        </w:rPr>
        <w:t>Waktu</w:t>
      </w:r>
      <w:r>
        <w:t>: Senin, 24 Agustus 2026, malam</w:t>
      </w:r>
    </w:p>
    <w:p>
      <w:pPr>
        <w:pStyle w:val="ListBullet"/>
      </w:pPr>
      <w:r>
        <w:rPr>
          <w:b/>
        </w:rPr>
        <w:t>Tautan</w:t>
      </w:r>
      <w:r>
        <w:t>: sama dengan sesi ini</w:t>
      </w:r>
    </w:p>
    <w:p>
      <w:pPr>
        <w:pStyle w:val="ListBullet"/>
      </w:pPr>
      <w:r>
        <w:rPr>
          <w:b/>
        </w:rPr>
        <w:t>Agenda</w:t>
      </w:r>
      <w:r>
        <w:t>: Pembahasan draf versi 1, hasil penjajakan Buhler, dan perkembangan sisi buyer</w:t>
      </w:r>
    </w:p>
    <w:p>
      <w:pPr>
        <w:pStyle w:val="Heading2"/>
      </w:pPr>
      <w:r>
        <w:t>Catatan Terbuka</w:t>
      </w:r>
    </w:p>
    <w:p>
      <w:pPr>
        <w:pStyle w:val="ListBullet"/>
      </w:pPr>
      <w:r>
        <w:t>Nama "Siatung" pada rekaman tidak dapat dipastikan ejaannya. Yang bersangkutan dinilai punya kapasitas membantu mitra lama tetapi memilih tidak terlibat, dan hal ini dianggap patut dicermati.</w:t>
      </w:r>
    </w:p>
    <w:p>
      <w:pPr>
        <w:pStyle w:val="ListBullet"/>
      </w:pPr>
      <w:r>
        <w:t>GIZ secara terpisah mendorong pengajuan proposal pengolahan kakao. Jalur ini belum digarap.</w:t>
      </w:r>
    </w:p>
    <w:p>
      <w:pPr>
        <w:pStyle w:val="ListBullet"/>
      </w:pPr>
      <w:r>
        <w:t>Forum tempat bertemu delegasi Jerman disebut sekilas dalam rekaman tetapi namanya tidak tertangkap jelas, perlu dikonfirmasi.</w:t>
      </w:r>
    </w:p>
    <w:p>
      <w:pPr>
        <w:pStyle w:val="Heading2"/>
      </w:pPr>
      <w:r>
        <w:t>Riwayat Revisi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Revisi</w:t>
            </w:r>
          </w:p>
        </w:tc>
        <w:tc>
          <w:tcPr>
            <w:tcW w:type="dxa" w:w="2880"/>
          </w:tcPr>
          <w:p>
            <w:r>
              <w:rPr>
                <w:b/>
              </w:rPr>
              <w:t>Tanggal</w:t>
            </w:r>
          </w:p>
        </w:tc>
        <w:tc>
          <w:tcPr>
            <w:tcW w:type="dxa" w:w="2880"/>
          </w:tcPr>
          <w:p>
            <w:r>
              <w:rPr>
                <w:b/>
              </w:rPr>
              <w:t>Ringkasan</w:t>
            </w:r>
          </w:p>
        </w:tc>
      </w:tr>
      <w:tr>
        <w:tc>
          <w:tcPr>
            <w:tcW w:type="dxa" w:w="2880"/>
          </w:tcPr>
          <w:p>
            <w:r>
              <w:t>v1.0</w:t>
            </w:r>
          </w:p>
        </w:tc>
        <w:tc>
          <w:tcPr>
            <w:tcW w:type="dxa" w:w="2880"/>
          </w:tcPr>
          <w:p>
            <w:r>
              <w:t>2026-08-17</w:t>
            </w:r>
          </w:p>
        </w:tc>
        <w:tc>
          <w:tcPr>
            <w:tcW w:type="dxa" w:w="2880"/>
          </w:tcPr>
          <w:p>
            <w:r>
              <w:t>Draf awal dari rekaman lokal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