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40"/>
      </w:pPr>
      <w:r>
        <w:rPr>
          <w:rFonts w:ascii="Arial" w:hAnsi="Arial" w:eastAsia="Arial"/>
          <w:b/>
          <w:color w:val="E4F0E5"/>
          <w:sz w:val="22"/>
        </w:rPr>
        <w:t>2026 Shenzhen International FinTech Competition</w:t>
      </w:r>
    </w:p>
    <w:p>
      <w:pPr>
        <w:spacing w:after="0"/>
      </w:pPr>
      <w:r>
        <w:rPr>
          <w:rFonts w:ascii="Arial" w:hAnsi="Arial" w:eastAsia="Arial"/>
          <w:b w:val="0"/>
          <w:color w:val="B4C8B9"/>
          <w:sz w:val="20"/>
        </w:rPr>
        <w:t>International Track  |  Topic F  Agent Wallet</w:t>
      </w:r>
    </w:p>
    <w:p>
      <w:pPr>
        <w:pStyle w:val="Title"/>
        <w:spacing w:before="700" w:after="320"/>
      </w:pPr>
      <w:r>
        <w:drawing>
          <wp:inline xmlns:a="http://schemas.openxmlformats.org/drawingml/2006/main" xmlns:pic="http://schemas.openxmlformats.org/drawingml/2006/picture">
            <wp:extent cx="502920" cy="525780"/>
            <wp:docPr id="1" name="Picture 1" descr="Mandate website logo: lowercase m in a rounded outline with an upward lime arrow"/>
            <wp:cNvGraphicFramePr>
              <a:graphicFrameLocks noChangeAspect="1"/>
            </wp:cNvGraphicFramePr>
            <a:graphic>
              <a:graphicData uri="http://schemas.openxmlformats.org/drawingml/2006/picture">
                <pic:pic>
                  <pic:nvPicPr>
                    <pic:cNvPr id="0" name="brand-mark.png"/>
                    <pic:cNvPicPr/>
                  </pic:nvPicPr>
                  <pic:blipFill>
                    <a:blip r:embed="rId11"/>
                    <a:stretch>
                      <a:fillRect/>
                    </a:stretch>
                  </pic:blipFill>
                  <pic:spPr>
                    <a:xfrm>
                      <a:off x="0" y="0"/>
                      <a:ext cx="502920" cy="525780"/>
                    </a:xfrm>
                    <a:prstGeom prst="rect"/>
                  </pic:spPr>
                </pic:pic>
              </a:graphicData>
            </a:graphic>
          </wp:inline>
        </w:drawing>
      </w:r>
      <w:r>
        <w:rPr>
          <w:rFonts w:ascii="Arial" w:hAnsi="Arial" w:eastAsia="Arial"/>
          <w:b/>
          <w:color w:val="E4F0E5"/>
          <w:sz w:val="98"/>
        </w:rPr>
        <w:t xml:space="preserve"> mandate</w:t>
      </w:r>
      <w:r>
        <w:rPr>
          <w:rFonts w:ascii="Arial" w:hAnsi="Arial" w:eastAsia="Arial"/>
          <w:b/>
          <w:color w:val="D7EF9A"/>
          <w:sz w:val="98"/>
        </w:rPr>
        <w:t>.</w:t>
      </w:r>
    </w:p>
    <w:p>
      <w:pPr>
        <w:pStyle w:val="Subtitle"/>
        <w:spacing w:after="240"/>
      </w:pPr>
      <w:r>
        <w:rPr>
          <w:rFonts w:ascii="Arial" w:hAnsi="Arial" w:eastAsia="Arial"/>
          <w:b w:val="0"/>
          <w:i w:val="0"/>
          <w:color w:val="FFFFFF"/>
          <w:sz w:val="58"/>
        </w:rPr>
        <w:t>Execution Evidence</w:t>
      </w:r>
    </w:p>
    <w:p>
      <w:pPr>
        <w:spacing w:after="0"/>
      </w:pPr>
      <w:r>
        <w:rPr>
          <w:rFonts w:ascii="Arial" w:hAnsi="Arial" w:eastAsia="Arial"/>
          <w:b w:val="0"/>
          <w:color w:val="B4C8B9"/>
          <w:sz w:val="24"/>
        </w:rPr>
        <w:t>Recorded payments, transaction register and verification guide</w:t>
      </w:r>
    </w:p>
    <w:p>
      <w:pPr>
        <w:spacing w:before="1840" w:after="120"/>
      </w:pPr>
      <w:r>
        <w:rPr>
          <w:rFonts w:ascii="Arial" w:hAnsi="Arial" w:eastAsia="Arial"/>
          <w:b/>
          <w:color w:val="153F31"/>
          <w:sz w:val="36"/>
        </w:rPr>
        <w:t>ChainSentinel</w:t>
      </w:r>
      <w:r>
        <w:rPr>
          <w:rFonts w:ascii="Arial" w:hAnsi="Arial" w:eastAsia="Arial"/>
          <w:b w:val="0"/>
          <w:color w:val="53694B"/>
          <w:sz w:val="22"/>
        </w:rPr>
        <w:t xml:space="preserve">    Bangladesh</w:t>
      </w:r>
    </w:p>
    <w:p>
      <w:pPr>
        <w:spacing w:after="300"/>
      </w:pPr>
      <w:r>
        <w:rPr>
          <w:rFonts w:ascii="Arial" w:hAnsi="Arial" w:eastAsia="Arial"/>
          <w:b/>
          <w:color w:val="53694B"/>
          <w:sz w:val="18"/>
        </w:rPr>
        <w:t>TEAM MEMBERS</w:t>
      </w:r>
    </w:p>
    <w:p>
      <w:pPr>
        <w:keepLines/>
        <w:tabs>
          <w:tab w:pos="9734" w:val="right"/>
        </w:tabs>
        <w:spacing w:line="288" w:lineRule="auto" w:after="320"/>
      </w:pPr>
      <w:r>
        <w:rPr>
          <w:rFonts w:ascii="Arial" w:hAnsi="Arial" w:eastAsia="Arial"/>
          <w:b/>
          <w:color w:val="153F31"/>
          <w:sz w:val="22"/>
        </w:rPr>
        <w:t>MD ARIF SHEKH</w:t>
      </w:r>
      <w:r>
        <w:rPr>
          <w:rFonts w:ascii="Arial" w:hAnsi="Arial" w:eastAsia="Arial"/>
          <w:b w:val="0"/>
          <w:color w:val="53694B"/>
          <w:sz w:val="19"/>
        </w:rPr>
        <w:tab/>
        <w:t>Team Leader</w:t>
      </w:r>
      <w:r>
        <w:rPr>
          <w:rFonts w:ascii="Arial" w:hAnsi="Arial" w:eastAsia="Arial"/>
          <w:b w:val="0"/>
          <w:color w:val="000000"/>
          <w:sz w:val="19"/>
        </w:rPr>
        <w:br/>
        <w:t>Computer Science and Engineering  |  Undergraduate Year 4</w:t>
      </w:r>
      <w:r>
        <w:rPr>
          <w:rFonts w:ascii="Arial" w:hAnsi="Arial" w:eastAsia="Arial"/>
          <w:b w:val="0"/>
          <w:color w:val="444444"/>
          <w:sz w:val="19"/>
        </w:rPr>
        <w:br/>
        <w:t>International University of Business Agriculture and Technology (IUBAT)</w:t>
      </w:r>
    </w:p>
    <w:p>
      <w:pPr>
        <w:keepLines/>
        <w:tabs>
          <w:tab w:pos="9734" w:val="right"/>
        </w:tabs>
        <w:spacing w:line="288" w:lineRule="auto" w:after="320"/>
      </w:pPr>
      <w:r>
        <w:rPr>
          <w:rFonts w:ascii="Arial" w:hAnsi="Arial" w:eastAsia="Arial"/>
          <w:b/>
          <w:color w:val="153F31"/>
          <w:sz w:val="22"/>
        </w:rPr>
        <w:t>MD MEHERAB HOSSAIN TALUKDER</w:t>
      </w:r>
      <w:r>
        <w:rPr>
          <w:rFonts w:ascii="Arial" w:hAnsi="Arial" w:eastAsia="Arial"/>
          <w:b w:val="0"/>
          <w:color w:val="53694B"/>
          <w:sz w:val="19"/>
        </w:rPr>
        <w:tab/>
        <w:t>Team Member</w:t>
      </w:r>
      <w:r>
        <w:rPr>
          <w:rFonts w:ascii="Arial" w:hAnsi="Arial" w:eastAsia="Arial"/>
          <w:b w:val="0"/>
          <w:color w:val="000000"/>
          <w:sz w:val="19"/>
        </w:rPr>
        <w:br/>
        <w:t>Computer Science and Engineering  |  Undergraduate Year 4</w:t>
      </w:r>
      <w:r>
        <w:rPr>
          <w:rFonts w:ascii="Arial" w:hAnsi="Arial" w:eastAsia="Arial"/>
          <w:b w:val="0"/>
          <w:color w:val="444444"/>
          <w:sz w:val="19"/>
        </w:rPr>
        <w:br/>
        <w:t>International University of Business Agriculture and Technology (IUBAT)</w:t>
      </w:r>
    </w:p>
    <w:p>
      <w:pPr>
        <w:keepLines/>
        <w:tabs>
          <w:tab w:pos="9734" w:val="right"/>
        </w:tabs>
        <w:spacing w:line="288" w:lineRule="auto" w:after="320"/>
      </w:pPr>
      <w:r>
        <w:rPr>
          <w:rFonts w:ascii="Arial" w:hAnsi="Arial" w:eastAsia="Arial"/>
          <w:b/>
          <w:color w:val="153F31"/>
          <w:sz w:val="22"/>
        </w:rPr>
        <w:t>IRIN KHATUN</w:t>
      </w:r>
      <w:r>
        <w:rPr>
          <w:rFonts w:ascii="Arial" w:hAnsi="Arial" w:eastAsia="Arial"/>
          <w:b w:val="0"/>
          <w:color w:val="53694B"/>
          <w:sz w:val="19"/>
        </w:rPr>
        <w:tab/>
        <w:t>Team Member</w:t>
      </w:r>
      <w:r>
        <w:rPr>
          <w:rFonts w:ascii="Arial" w:hAnsi="Arial" w:eastAsia="Arial"/>
          <w:b w:val="0"/>
          <w:color w:val="000000"/>
          <w:sz w:val="19"/>
        </w:rPr>
        <w:br/>
        <w:t>Accounting &amp; Information Systems  |  Undergraduate Year 4</w:t>
      </w:r>
      <w:r>
        <w:rPr>
          <w:rFonts w:ascii="Arial" w:hAnsi="Arial" w:eastAsia="Arial"/>
          <w:b w:val="0"/>
          <w:color w:val="444444"/>
          <w:sz w:val="19"/>
        </w:rPr>
        <w:br/>
        <w:t>Jagannath University</w:t>
      </w:r>
    </w:p>
    <w:p>
      <w:pPr>
        <w:spacing w:before="260" w:after="160"/>
      </w:pPr>
      <w:r>
        <w:rPr>
          <w:rFonts w:ascii="Arial" w:hAnsi="Arial" w:eastAsia="Arial"/>
          <w:b w:val="0"/>
          <w:color w:val="000000"/>
          <w:sz w:val="21"/>
        </w:rPr>
        <w:t>20 October 2026</w:t>
      </w:r>
    </w:p>
    <w:p>
      <w:r>
        <w:rPr>
          <w:rFonts w:ascii="Arial" w:hAnsi="Arial" w:eastAsia="Arial"/>
          <w:b w:val="0"/>
          <w:color w:val="555555"/>
          <w:sz w:val="18"/>
        </w:rPr>
        <w:t>Local chain and Ethereum Sepolia  |  Synthetic bills and MDT test tokens</w:t>
      </w:r>
    </w:p>
    <w:p>
      <w:r>
        <w:br w:type="page"/>
      </w:r>
    </w:p>
    <w:p>
      <w:pPr>
        <w:pStyle w:val="Heading1"/>
      </w:pPr>
      <w:r>
        <w:t>01 Evidence Summary</w:t>
      </w:r>
    </w:p>
    <w:p>
      <w:r>
        <w:t>This report is the measurement record for Mandate: the approved task, the saved public transactions, the tested outcomes and their limits. It provides the hashes and evidence locations needed to verify each claim. The companion Technical Report explains the implementation; the Security Self-Assessment assesses its safeguards.</w:t>
      </w:r>
    </w:p>
    <w:p>
      <w:pPr>
        <w:pStyle w:val="Heading2"/>
      </w:pPr>
      <w:r>
        <w:t>Selected topic and scenario</w:t>
      </w:r>
    </w:p>
    <w:p>
      <w:r>
        <w:t>The recorded scenario is Orbit Studio supplier payments under International Track Topic F. Public evidence uses Ethereum Sepolia, chain 11155111; local evaluation uses disposable chain 31337. MDT has six decimal places and no cash value. Organizer acceptance of Sepolia evidence is unresolved.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736"/>
        <w:gridCol w:w="6998"/>
      </w:tblGrid>
      <w:tr>
        <w:trPr>
          <w:tblHeader/>
          <w:cantSplit/>
        </w:trPr>
        <w:tc>
          <w:tcPr>
            <w:tcW w:type="dxa" w:w="2736"/>
            <w:vAlign w:val="center"/>
            <w:shd w:fill="E8EEF5"/>
          </w:tcPr>
          <w:p>
            <w:pPr>
              <w:keepNext w:val="0"/>
              <w:spacing w:after="0" w:line="259" w:lineRule="auto"/>
            </w:pPr>
            <w:r>
              <w:rPr>
                <w:rFonts w:ascii="Arial" w:hAnsi="Arial" w:eastAsia="Arial"/>
                <w:b/>
                <w:color w:val="000000"/>
                <w:sz w:val="19"/>
              </w:rPr>
              <w:t>Recorded item</w:t>
            </w:r>
          </w:p>
        </w:tc>
        <w:tc>
          <w:tcPr>
            <w:tcW w:type="dxa" w:w="6998"/>
            <w:vAlign w:val="center"/>
            <w:shd w:fill="E8EEF5"/>
          </w:tcPr>
          <w:p>
            <w:pPr>
              <w:keepNext w:val="0"/>
              <w:spacing w:after="0" w:line="259" w:lineRule="auto"/>
            </w:pPr>
            <w:r>
              <w:rPr>
                <w:rFonts w:ascii="Arial" w:hAnsi="Arial" w:eastAsia="Arial"/>
                <w:b/>
                <w:color w:val="000000"/>
                <w:sz w:val="19"/>
              </w:rPr>
              <w:t>Outcome</w:t>
            </w:r>
          </w:p>
        </w:tc>
      </w:tr>
      <w:tr>
        <w:trPr>
          <w:cantSplit/>
        </w:trPr>
        <w:tc>
          <w:tcPr>
            <w:tcW w:type="dxa" w:w="2736"/>
            <w:vAlign w:val="center"/>
            <w:shd w:fill="FFFFFF"/>
          </w:tcPr>
          <w:p>
            <w:pPr>
              <w:keepNext w:val="0"/>
              <w:spacing w:after="0" w:line="259" w:lineRule="auto"/>
            </w:pPr>
            <w:r>
              <w:rPr>
                <w:rFonts w:ascii="Arial" w:hAnsi="Arial" w:eastAsia="Arial"/>
                <w:b w:val="0"/>
                <w:color w:val="000000"/>
                <w:sz w:val="19"/>
              </w:rPr>
              <w:t>Approved bill total</w:t>
            </w:r>
          </w:p>
        </w:tc>
        <w:tc>
          <w:tcPr>
            <w:tcW w:type="dxa" w:w="6998"/>
            <w:vAlign w:val="center"/>
            <w:shd w:fill="FFFFFF"/>
          </w:tcPr>
          <w:p>
            <w:pPr>
              <w:keepNext w:val="0"/>
              <w:spacing w:after="0" w:line="259" w:lineRule="auto"/>
            </w:pPr>
            <w:r>
              <w:rPr>
                <w:rFonts w:ascii="Arial" w:hAnsi="Arial" w:eastAsia="Arial"/>
                <w:b w:val="0"/>
                <w:color w:val="000000"/>
                <w:sz w:val="19"/>
              </w:rPr>
              <w:t>425 MDT across HOST-1001, ART-2001 and HOST-1002</w:t>
            </w:r>
          </w:p>
        </w:tc>
      </w:tr>
      <w:tr>
        <w:trPr>
          <w:cantSplit/>
        </w:trPr>
        <w:tc>
          <w:tcPr>
            <w:tcW w:type="dxa" w:w="2736"/>
            <w:vAlign w:val="center"/>
            <w:shd w:fill="F7F9FB"/>
          </w:tcPr>
          <w:p>
            <w:pPr>
              <w:keepNext w:val="0"/>
              <w:spacing w:after="0" w:line="259" w:lineRule="auto"/>
            </w:pPr>
            <w:r>
              <w:rPr>
                <w:rFonts w:ascii="Arial" w:hAnsi="Arial" w:eastAsia="Arial"/>
                <w:b w:val="0"/>
                <w:color w:val="000000"/>
                <w:sz w:val="19"/>
              </w:rPr>
              <w:t>Completed batch</w:t>
            </w:r>
          </w:p>
        </w:tc>
        <w:tc>
          <w:tcPr>
            <w:tcW w:type="dxa" w:w="6998"/>
            <w:vAlign w:val="center"/>
            <w:shd w:fill="F7F9FB"/>
          </w:tcPr>
          <w:p>
            <w:pPr>
              <w:keepNext w:val="0"/>
              <w:spacing w:after="0" w:line="259" w:lineRule="auto"/>
            </w:pPr>
            <w:r>
              <w:rPr>
                <w:rFonts w:ascii="Arial" w:hAnsi="Arial" w:eastAsia="Arial"/>
                <w:b w:val="0"/>
                <w:color w:val="000000"/>
                <w:sz w:val="19"/>
              </w:rPr>
              <w:t>350 MDT: HOST-1001 200; ART-2001 150</w:t>
            </w:r>
          </w:p>
        </w:tc>
      </w:tr>
      <w:tr>
        <w:trPr>
          <w:cantSplit/>
        </w:trPr>
        <w:tc>
          <w:tcPr>
            <w:tcW w:type="dxa" w:w="2736"/>
            <w:vAlign w:val="center"/>
            <w:shd w:fill="FFFFFF"/>
          </w:tcPr>
          <w:p>
            <w:pPr>
              <w:keepNext w:val="0"/>
              <w:spacing w:after="0" w:line="259" w:lineRule="auto"/>
            </w:pPr>
            <w:r>
              <w:rPr>
                <w:rFonts w:ascii="Arial" w:hAnsi="Arial" w:eastAsia="Arial"/>
                <w:b w:val="0"/>
                <w:color w:val="000000"/>
                <w:sz w:val="19"/>
              </w:rPr>
              <w:t>Deferred bill</w:t>
            </w:r>
          </w:p>
        </w:tc>
        <w:tc>
          <w:tcPr>
            <w:tcW w:type="dxa" w:w="6998"/>
            <w:vAlign w:val="center"/>
            <w:shd w:fill="FFFFFF"/>
          </w:tcPr>
          <w:p>
            <w:pPr>
              <w:keepNext w:val="0"/>
              <w:spacing w:after="0" w:line="259" w:lineRule="auto"/>
            </w:pPr>
            <w:r>
              <w:rPr>
                <w:rFonts w:ascii="Arial" w:hAnsi="Arial" w:eastAsia="Arial"/>
                <w:b w:val="0"/>
                <w:color w:val="000000"/>
                <w:sz w:val="19"/>
              </w:rPr>
              <w:t>HOST-1002 75 MDT; cumulative 425 would exceed the 400 MDT UTC-day cap</w:t>
            </w:r>
          </w:p>
        </w:tc>
      </w:tr>
      <w:tr>
        <w:trPr>
          <w:cantSplit/>
        </w:trPr>
        <w:tc>
          <w:tcPr>
            <w:tcW w:type="dxa" w:w="2736"/>
            <w:vAlign w:val="center"/>
            <w:shd w:fill="F7F9FB"/>
          </w:tcPr>
          <w:p>
            <w:pPr>
              <w:keepNext w:val="0"/>
              <w:spacing w:after="0" w:line="259" w:lineRule="auto"/>
            </w:pPr>
            <w:r>
              <w:rPr>
                <w:rFonts w:ascii="Arial" w:hAnsi="Arial" w:eastAsia="Arial"/>
                <w:b w:val="0"/>
                <w:color w:val="000000"/>
                <w:sz w:val="19"/>
              </w:rPr>
              <w:t>Vault balance and reserve</w:t>
            </w:r>
          </w:p>
        </w:tc>
        <w:tc>
          <w:tcPr>
            <w:tcW w:type="dxa" w:w="6998"/>
            <w:vAlign w:val="center"/>
            <w:shd w:fill="F7F9FB"/>
          </w:tcPr>
          <w:p>
            <w:pPr>
              <w:keepNext w:val="0"/>
              <w:spacing w:after="0" w:line="259" w:lineRule="auto"/>
            </w:pPr>
            <w:r>
              <w:rPr>
                <w:rFonts w:ascii="Arial" w:hAnsi="Arial" w:eastAsia="Arial"/>
                <w:b w:val="0"/>
                <w:color w:val="000000"/>
                <w:sz w:val="19"/>
              </w:rPr>
              <w:t>1,000 → 650 MDT; 300 MDT minimum reserve preserved</w:t>
            </w:r>
          </w:p>
        </w:tc>
      </w:tr>
      <w:tr>
        <w:trPr>
          <w:cantSplit/>
        </w:trPr>
        <w:tc>
          <w:tcPr>
            <w:tcW w:type="dxa" w:w="2736"/>
            <w:vAlign w:val="center"/>
            <w:shd w:fill="FFFFFF"/>
          </w:tcPr>
          <w:p>
            <w:pPr>
              <w:keepNext w:val="0"/>
              <w:spacing w:after="0" w:line="259" w:lineRule="auto"/>
            </w:pPr>
            <w:r>
              <w:rPr>
                <w:rFonts w:ascii="Arial" w:hAnsi="Arial" w:eastAsia="Arial"/>
                <w:b w:val="0"/>
                <w:color w:val="000000"/>
                <w:sz w:val="19"/>
              </w:rPr>
              <w:t>Day-of-demo spending</w:t>
            </w:r>
          </w:p>
        </w:tc>
        <w:tc>
          <w:tcPr>
            <w:tcW w:type="dxa" w:w="6998"/>
            <w:vAlign w:val="center"/>
            <w:shd w:fill="FFFFFF"/>
          </w:tcPr>
          <w:p>
            <w:pPr>
              <w:keepNext w:val="0"/>
              <w:spacing w:after="0" w:line="259" w:lineRule="auto"/>
            </w:pPr>
            <w:r>
              <w:rPr>
                <w:rFonts w:ascii="Arial" w:hAnsi="Arial" w:eastAsia="Arial"/>
                <w:b w:val="0"/>
                <w:color w:val="000000"/>
                <w:sz w:val="19"/>
              </w:rPr>
              <w:t>350 MDT spent; 50 MDT daily allowance remained at that checkpoint</w:t>
            </w:r>
          </w:p>
        </w:tc>
      </w:tr>
      <w:tr>
        <w:trPr>
          <w:cantSplit/>
        </w:trPr>
        <w:tc>
          <w:tcPr>
            <w:tcW w:type="dxa" w:w="2736"/>
            <w:vAlign w:val="center"/>
            <w:shd w:fill="F7F9FB"/>
          </w:tcPr>
          <w:p>
            <w:pPr>
              <w:keepNext w:val="0"/>
              <w:spacing w:after="0" w:line="259" w:lineRule="auto"/>
            </w:pPr>
            <w:r>
              <w:rPr>
                <w:rFonts w:ascii="Arial" w:hAnsi="Arial" w:eastAsia="Arial"/>
                <w:b w:val="0"/>
                <w:color w:val="000000"/>
                <w:sz w:val="19"/>
              </w:rPr>
              <w:t>Final authority</w:t>
            </w:r>
          </w:p>
        </w:tc>
        <w:tc>
          <w:tcPr>
            <w:tcW w:type="dxa" w:w="6998"/>
            <w:vAlign w:val="center"/>
            <w:shd w:fill="F7F9FB"/>
          </w:tcPr>
          <w:p>
            <w:pPr>
              <w:keepNext w:val="0"/>
              <w:spacing w:after="0" w:line="259" w:lineRule="auto"/>
            </w:pPr>
            <w:r>
              <w:rPr>
                <w:rFonts w:ascii="Arial" w:hAnsi="Arial" w:eastAsia="Arial"/>
                <w:b w:val="0"/>
                <w:color w:val="000000"/>
                <w:sz w:val="19"/>
              </w:rPr>
              <w:t>Agent/address window cleared; policy version 7; vault unpaused</w:t>
            </w:r>
          </w:p>
        </w:tc>
      </w:tr>
      <w:tr>
        <w:trPr>
          <w:cantSplit/>
        </w:trPr>
        <w:tc>
          <w:tcPr>
            <w:tcW w:type="dxa" w:w="2736"/>
            <w:vAlign w:val="center"/>
            <w:shd w:fill="FFFFFF"/>
          </w:tcPr>
          <w:p>
            <w:pPr>
              <w:keepNext w:val="0"/>
              <w:spacing w:after="0" w:line="259" w:lineRule="auto"/>
            </w:pPr>
            <w:r>
              <w:rPr>
                <w:rFonts w:ascii="Arial" w:hAnsi="Arial" w:eastAsia="Arial"/>
                <w:b w:val="0"/>
                <w:color w:val="000000"/>
                <w:sz w:val="19"/>
              </w:rPr>
              <w:t>Public register</w:t>
            </w:r>
          </w:p>
        </w:tc>
        <w:tc>
          <w:tcPr>
            <w:tcW w:type="dxa" w:w="6998"/>
            <w:vAlign w:val="center"/>
            <w:shd w:fill="FFFFFF"/>
          </w:tcPr>
          <w:p>
            <w:pPr>
              <w:keepNext w:val="0"/>
              <w:spacing w:after="0" w:line="259" w:lineRule="auto"/>
            </w:pPr>
            <w:r>
              <w:rPr>
                <w:rFonts w:ascii="Arial" w:hAnsi="Arial" w:eastAsia="Arial"/>
                <w:b w:val="0"/>
                <w:color w:val="000000"/>
                <w:sz w:val="19"/>
              </w:rPr>
              <w:t>13 original hashes: 11 owner transactions and two agent payments; one owner deposit reverted</w:t>
            </w:r>
          </w:p>
        </w:tc>
      </w:tr>
    </w:tbl>
    <w:p>
      <w:pPr>
        <w:spacing w:after="0"/>
      </w:pPr>
    </w:p>
    <w:p>
      <w:pPr>
        <w:pStyle w:val="Heading2"/>
      </w:pPr>
      <w:r>
        <w:t>Deployment and identity</w:t>
      </w:r>
    </w:p>
    <w:p>
      <w:pPr>
        <w:spacing w:after="100"/>
      </w:pPr>
      <w:hyperlink r:id="rId12">
        <w:r>
          <w:rPr>
            <w:rFonts w:ascii="Arial" w:hAnsi="Arial"/>
            <w:color w:val="174A76"/>
            <w:sz w:val="19"/>
          </w:rPr>
          <w:t>MDT token  0x61E52ad4912FA0f829d0f1B0571aBc3bc157Ba88</w:t>
        </w:r>
      </w:hyperlink>
    </w:p>
    <w:p>
      <w:pPr>
        <w:spacing w:after="100"/>
      </w:pPr>
      <w:hyperlink r:id="rId13">
        <w:r>
          <w:rPr>
            <w:rFonts w:ascii="Arial" w:hAnsi="Arial"/>
            <w:color w:val="174A76"/>
            <w:sz w:val="19"/>
          </w:rPr>
          <w:t>Mandate vault  0x1E2bC947b455DE5825caDE9D44e7Ec04B8B76f89</w:t>
        </w:r>
      </w:hyperlink>
    </w:p>
    <w:p>
      <w:pPr>
        <w:spacing w:line="252" w:lineRule="auto" w:after="140"/>
      </w:pPr>
      <w:r>
        <w:rPr>
          <w:rFonts w:ascii="Arial" w:hAnsi="Arial" w:eastAsia="Arial"/>
          <w:b w:val="0"/>
          <w:color w:val="000000"/>
          <w:sz w:val="18"/>
        </w:rPr>
        <w:t>Owner: 0xDc2341ae41c44400128965aB0770567922F8d6ee</w:t>
        <w:br/>
        <w:t>Recorded payment agent: 0xE9987a361f8286C396B0519aeC3AB5D29F4553A4</w:t>
      </w:r>
    </w:p>
    <w:p>
      <w:r>
        <w:t>This is saved evidence, not a new live payment run. Amounts and daily allowance describe the 19 October checkpoint; the daily cap resets at UTC midnight. User MetaMask operations are documented in the setup records. The CLI export’s realWalletExtensionTested=false flag is not an automated extension-suite result. [E1, E2]</w:t>
      </w:r>
    </w:p>
    <w:p>
      <w:r>
        <w:br w:type="page"/>
      </w:r>
    </w:p>
    <w:p>
      <w:pPr>
        <w:pStyle w:val="Heading1"/>
      </w:pPr>
      <w:r>
        <w:t>From Request to Matching Receipts</w:t>
      </w:r>
    </w:p>
    <w:p>
      <w:pPr>
        <w:pStyle w:val="Heading2"/>
      </w:pPr>
      <w:r>
        <w:t>Source review signed approval and Resume</w:t>
      </w:r>
    </w:p>
    <w:p>
      <w:r>
        <w:t>Three drafts were reviewed against their source and exact recipient registry. The owner signed approveBills for 200,000,000; 150,000,000; and 75,000,000 MDT base units at block 11948984. A separate Resume at block 11949011 activated payments under policy 6. Approvals set permission; they did not transfer MDT. The rules were 250 MDT per bill, 400 per UTC day and a 300 MDT reserve. [E1, E2]</w:t>
      </w:r>
    </w:p>
    <w:p>
      <w:pPr>
        <w:pStyle w:val="Heading2"/>
      </w:pPr>
      <w:r>
        <w:t>Three live Groq requests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232"/>
        <w:gridCol w:w="7502"/>
      </w:tblGrid>
      <w:tr>
        <w:trPr>
          <w:tblHeader/>
          <w:cantSplit/>
        </w:trPr>
        <w:tc>
          <w:tcPr>
            <w:tcW w:type="dxa" w:w="2232"/>
            <w:vAlign w:val="center"/>
            <w:shd w:fill="E8EEF5"/>
          </w:tcPr>
          <w:p>
            <w:pPr>
              <w:keepNext w:val="0"/>
              <w:spacing w:after="0" w:line="259" w:lineRule="auto"/>
            </w:pPr>
            <w:r>
              <w:rPr>
                <w:rFonts w:ascii="Arial" w:hAnsi="Arial" w:eastAsia="Arial"/>
                <w:b/>
                <w:color w:val="000000"/>
                <w:sz w:val="19"/>
              </w:rPr>
              <w:t>Audit time UTC on 19 October</w:t>
            </w:r>
          </w:p>
        </w:tc>
        <w:tc>
          <w:tcPr>
            <w:tcW w:type="dxa" w:w="7502"/>
            <w:vAlign w:val="center"/>
            <w:shd w:fill="E8EEF5"/>
          </w:tcPr>
          <w:p>
            <w:pPr>
              <w:keepNext w:val="0"/>
              <w:spacing w:after="0" w:line="259" w:lineRule="auto"/>
            </w:pPr>
            <w:r>
              <w:rPr>
                <w:rFonts w:ascii="Arial" w:hAnsi="Arial" w:eastAsia="Arial"/>
                <w:b/>
                <w:color w:val="000000"/>
                <w:sz w:val="19"/>
              </w:rPr>
              <w:t>Request and observed result</w:t>
            </w:r>
          </w:p>
        </w:tc>
      </w:tr>
      <w:tr>
        <w:trPr>
          <w:cantSplit/>
        </w:trPr>
        <w:tc>
          <w:tcPr>
            <w:tcW w:type="dxa" w:w="2232"/>
            <w:vAlign w:val="center"/>
            <w:shd w:fill="FFFFFF"/>
          </w:tcPr>
          <w:p>
            <w:pPr>
              <w:keepNext w:val="0"/>
              <w:spacing w:after="0" w:line="259" w:lineRule="auto"/>
            </w:pPr>
            <w:r>
              <w:rPr>
                <w:rFonts w:ascii="Arial" w:hAnsi="Arial" w:eastAsia="Arial"/>
                <w:b w:val="0"/>
                <w:color w:val="000000"/>
                <w:sz w:val="19"/>
              </w:rPr>
              <w:t>15:31:34.791</w:t>
            </w:r>
          </w:p>
        </w:tc>
        <w:tc>
          <w:tcPr>
            <w:tcW w:type="dxa" w:w="7502"/>
            <w:vAlign w:val="center"/>
            <w:shd w:fill="FFFFFF"/>
          </w:tcPr>
          <w:p>
            <w:pPr>
              <w:keepNext w:val="0"/>
              <w:spacing w:after="0" w:line="259" w:lineRule="auto"/>
            </w:pPr>
            <w:r>
              <w:rPr>
                <w:rFonts w:ascii="Arial" w:hAnsi="Arial" w:eastAsia="Arial"/>
                <w:b w:val="0"/>
                <w:color w:val="000000"/>
                <w:sz w:val="19"/>
              </w:rPr>
              <w:t>Approved-total question with explicit no-payment instruction: no transfer; app showed 350 MDT eligible instead of the requested 425 MDT approved. Answer-quality miss retained.</w:t>
            </w:r>
          </w:p>
        </w:tc>
      </w:tr>
      <w:tr>
        <w:trPr>
          <w:cantSplit/>
        </w:trPr>
        <w:tc>
          <w:tcPr>
            <w:tcW w:type="dxa" w:w="2232"/>
            <w:vAlign w:val="center"/>
            <w:shd w:fill="F7F9FB"/>
          </w:tcPr>
          <w:p>
            <w:pPr>
              <w:keepNext w:val="0"/>
              <w:spacing w:after="0" w:line="259" w:lineRule="auto"/>
            </w:pPr>
            <w:r>
              <w:rPr>
                <w:rFonts w:ascii="Arial" w:hAnsi="Arial" w:eastAsia="Arial"/>
                <w:b w:val="0"/>
                <w:color w:val="000000"/>
                <w:sz w:val="19"/>
              </w:rPr>
              <w:t>15:35:03.290</w:t>
            </w:r>
          </w:p>
        </w:tc>
        <w:tc>
          <w:tcPr>
            <w:tcW w:type="dxa" w:w="7502"/>
            <w:vAlign w:val="center"/>
            <w:shd w:fill="F7F9FB"/>
          </w:tcPr>
          <w:p>
            <w:pPr>
              <w:keepNext w:val="0"/>
              <w:spacing w:after="0" w:line="259" w:lineRule="auto"/>
            </w:pPr>
            <w:r>
              <w:rPr>
                <w:rFonts w:ascii="Arial" w:hAnsi="Arial" w:eastAsia="Arial"/>
                <w:b w:val="0"/>
                <w:color w:val="000000"/>
                <w:sz w:val="19"/>
              </w:rPr>
              <w:t>Pay that one: focused clarification requested an invoice/bill identifier; no selected bill or payment.</w:t>
            </w:r>
          </w:p>
        </w:tc>
      </w:tr>
      <w:tr>
        <w:trPr>
          <w:cantSplit/>
        </w:trPr>
        <w:tc>
          <w:tcPr>
            <w:tcW w:type="dxa" w:w="2232"/>
            <w:vAlign w:val="center"/>
            <w:shd w:fill="FFFFFF"/>
          </w:tcPr>
          <w:p>
            <w:pPr>
              <w:keepNext w:val="0"/>
              <w:spacing w:after="0" w:line="259" w:lineRule="auto"/>
            </w:pPr>
            <w:r>
              <w:rPr>
                <w:rFonts w:ascii="Arial" w:hAnsi="Arial" w:eastAsia="Arial"/>
                <w:b w:val="0"/>
                <w:color w:val="000000"/>
                <w:sz w:val="19"/>
              </w:rPr>
              <w:t>15:37:21.549</w:t>
            </w:r>
          </w:p>
        </w:tc>
        <w:tc>
          <w:tcPr>
            <w:tcW w:type="dxa" w:w="7502"/>
            <w:vAlign w:val="center"/>
            <w:shd w:fill="FFFFFF"/>
          </w:tcPr>
          <w:p>
            <w:pPr>
              <w:keepNext w:val="0"/>
              <w:spacing w:after="0" w:line="259" w:lineRule="auto"/>
            </w:pPr>
            <w:r>
              <w:rPr>
                <w:rFonts w:ascii="Arial" w:hAnsi="Arial" w:eastAsia="Arial"/>
                <w:b w:val="0"/>
                <w:color w:val="000000"/>
                <w:sz w:val="19"/>
              </w:rPr>
              <w:t>Pay all approved bills within my rules: exact plan selected two bills for 350 MDT and deferred 75 MDT. The user then separately confirmed execution.</w:t>
            </w:r>
          </w:p>
        </w:tc>
      </w:tr>
    </w:tbl>
    <w:p>
      <w:pPr>
        <w:spacing w:after="0"/>
      </w:pPr>
    </w:p>
    <w:p>
      <w:r>
        <w:t>The times above are observation/verification timestamps. The completed plan is 2ff02e4e-521d-4cb0-acd6-1cceea3ae902; its saved entries link the payment request to both transaction records. [E1, E2]</w:t>
      </w:r>
    </w:p>
    <w:p>
      <w:pPr>
        <w:pStyle w:val="Heading2"/>
      </w:pPr>
      <w:r>
        <w:t>Exact payments at policy 6</w:t>
      </w:r>
    </w:p>
    <w:p>
      <w:pPr>
        <w:spacing w:line="252" w:lineRule="auto" w:after="140"/>
      </w:pPr>
      <w:r>
        <w:rPr>
          <w:rFonts w:ascii="Arial" w:hAnsi="Arial" w:eastAsia="Arial"/>
          <w:b w:val="0"/>
          <w:color w:val="000000"/>
          <w:sz w:val="18"/>
        </w:rPr>
        <w:t>HOST-1001  200 MDT = 200,000,000 base units</w:t>
        <w:br/>
        <w:t>Recipient: 0x1BA06f96305366D517E21F5D5aD871Ba154FFA0a</w:t>
        <w:br/>
        <w:t>Bill key: 0xfe6186d372a90b599be992390a4f2d5f264592197739724f01a20e9df3f26029</w:t>
        <w:br/>
        <w:t>Block 11949115; successful BillPaid and token Transfer matched.</w:t>
      </w:r>
    </w:p>
    <w:p>
      <w:pPr>
        <w:spacing w:line="252" w:lineRule="auto" w:after="140"/>
      </w:pPr>
      <w:r>
        <w:rPr>
          <w:rFonts w:ascii="Arial" w:hAnsi="Arial" w:eastAsia="Arial"/>
          <w:b w:val="0"/>
          <w:color w:val="000000"/>
          <w:sz w:val="18"/>
        </w:rPr>
        <w:t>ART-2001  150 MDT = 150,000,000 base units</w:t>
        <w:br/>
        <w:t>Recipient: 0xFDC4D1bb2319D04848faFaee5c8CF5A0172E0203</w:t>
        <w:br/>
        <w:t>Bill key: 0xc16064a320634dd3cb0dee56e35a5b67133f719f021cf6e2e24d4a19de61da14</w:t>
        <w:br/>
        <w:t>Block 11949117; successful BillPaid and token Transfer matched.</w:t>
      </w:r>
    </w:p>
    <w:p>
      <w:r>
        <w:t>The 15:41:59.103 UTC payment audit compared the vault and both recipient balances with block 11949114. Vault decrease was exactly 350,000,000 units; recipients increased by 200,000,000 and 150,000,000. HOST-1002 remained unpaid. Full payment receipts and decoded events are preserved in E2; the register provides both explorer links.</w:t>
      </w:r>
    </w:p>
    <w:p>
      <w:r>
        <w:br w:type="page"/>
      </w:r>
    </w:p>
    <w:p>
      <w:pPr>
        <w:pStyle w:val="Heading1"/>
      </w:pPr>
      <w:r>
        <w:t>02 Transaction Register Part One</w:t>
      </w:r>
    </w:p>
    <w:p>
      <w:r>
        <w:t>All 13 transactions use Sepolia chain 11155111. Times below are saved preparation times on 19 October 2026 in UTC, not transaction inclusion times. Blocks/status come from the original receipts and final export audit. Full block hashes and gas fields are in transaction-register.json/CSV. [E1, E3]</w:t>
      </w:r>
    </w:p>
    <w:p>
      <w:pPr>
        <w:pStyle w:val="Heading2"/>
      </w:pPr>
      <w:r>
        <w:t>01  Deploy 1,000 MDT test tokens</w:t>
      </w:r>
    </w:p>
    <w:p>
      <w:pPr>
        <w:spacing w:line="252" w:lineRule="auto" w:after="140"/>
      </w:pPr>
      <w:r>
        <w:rPr>
          <w:rFonts w:ascii="Arial" w:hAnsi="Arial" w:eastAsia="Arial"/>
          <w:b w:val="0"/>
          <w:color w:val="000000"/>
          <w:sz w:val="18"/>
        </w:rPr>
        <w:t>Prepared 11:20:08.814 UTC  |  Owner  |  Block 11948582  |  SUCCESS</w:t>
      </w:r>
    </w:p>
    <w:p>
      <w:pPr>
        <w:spacing w:after="100"/>
      </w:pPr>
      <w:hyperlink r:id="rId14">
        <w:r>
          <w:rPr>
            <w:rFonts w:ascii="Arial" w:hAnsi="Arial"/>
            <w:color w:val="174A76"/>
            <w:sz w:val="17"/>
          </w:rPr>
          <w:t>0xd79c6a0fc89ec8440e71350f84145f51addb3b00a8d923070b23c06592b73d39</w:t>
        </w:r>
      </w:hyperlink>
    </w:p>
    <w:p>
      <w:pPr>
        <w:pStyle w:val="Heading2"/>
      </w:pPr>
      <w:r>
        <w:t>02  Deploy the owner-controlled vault</w:t>
      </w:r>
    </w:p>
    <w:p>
      <w:pPr>
        <w:spacing w:line="252" w:lineRule="auto" w:after="140"/>
      </w:pPr>
      <w:r>
        <w:rPr>
          <w:rFonts w:ascii="Arial" w:hAnsi="Arial" w:eastAsia="Arial"/>
          <w:b w:val="0"/>
          <w:color w:val="000000"/>
          <w:sz w:val="18"/>
        </w:rPr>
        <w:t>Prepared 13:53:25.428 UTC  |  Owner  |  Block 11948602  |  SUCCESS</w:t>
      </w:r>
    </w:p>
    <w:p>
      <w:pPr>
        <w:spacing w:after="100"/>
      </w:pPr>
      <w:hyperlink r:id="rId15">
        <w:r>
          <w:rPr>
            <w:rFonts w:ascii="Arial" w:hAnsi="Arial"/>
            <w:color w:val="174A76"/>
            <w:sz w:val="17"/>
          </w:rPr>
          <w:t>0x2b53c38d45a186ef647ead9ac6f361839ad9f860150e6fa451370de20b2081e3</w:t>
        </w:r>
      </w:hyperlink>
    </w:p>
    <w:p>
      <w:pPr>
        <w:pStyle w:val="Heading2"/>
      </w:pPr>
      <w:r>
        <w:t>03  First vault deposit attempt</w:t>
      </w:r>
    </w:p>
    <w:p>
      <w:pPr>
        <w:spacing w:line="252" w:lineRule="auto" w:after="140"/>
      </w:pPr>
      <w:r>
        <w:rPr>
          <w:rFonts w:ascii="Arial" w:hAnsi="Arial" w:eastAsia="Arial"/>
          <w:b w:val="0"/>
          <w:color w:val="000000"/>
          <w:sz w:val="18"/>
        </w:rPr>
        <w:t>Prepared 13:56:26.135 UTC  |  Owner  |  Block 11948616  |  REVERTED; no MDT transfer</w:t>
      </w:r>
    </w:p>
    <w:p>
      <w:pPr>
        <w:spacing w:after="100"/>
      </w:pPr>
      <w:hyperlink r:id="rId16">
        <w:r>
          <w:rPr>
            <w:rFonts w:ascii="Arial" w:hAnsi="Arial"/>
            <w:color w:val="174A76"/>
            <w:sz w:val="17"/>
          </w:rPr>
          <w:t>0x715e2f6bf7da5e87946c0f27bdc5bc786339259c7686d438b74fe2017f657bf1</w:t>
        </w:r>
      </w:hyperlink>
    </w:p>
    <w:p>
      <w:pPr>
        <w:pStyle w:val="Heading2"/>
      </w:pPr>
      <w:r>
        <w:t>04  Fund the vault with 1,000 MDT</w:t>
      </w:r>
    </w:p>
    <w:p>
      <w:pPr>
        <w:spacing w:line="252" w:lineRule="auto" w:after="140"/>
      </w:pPr>
      <w:r>
        <w:rPr>
          <w:rFonts w:ascii="Arial" w:hAnsi="Arial" w:eastAsia="Arial"/>
          <w:b w:val="0"/>
          <w:color w:val="000000"/>
          <w:sz w:val="18"/>
        </w:rPr>
        <w:t>Prepared 14:01:38.150 UTC  |  Owner  |  Block 11948673  |  SUCCESS</w:t>
      </w:r>
    </w:p>
    <w:p>
      <w:pPr>
        <w:spacing w:after="100"/>
      </w:pPr>
      <w:hyperlink r:id="rId17">
        <w:r>
          <w:rPr>
            <w:rFonts w:ascii="Arial" w:hAnsi="Arial"/>
            <w:color w:val="174A76"/>
            <w:sz w:val="17"/>
          </w:rPr>
          <w:t>0xac511b822fc144485938651b88365b0216ae5deb03241c5de318f7c32078ee14</w:t>
        </w:r>
      </w:hyperlink>
    </w:p>
    <w:p>
      <w:pPr>
        <w:pStyle w:val="Heading2"/>
      </w:pPr>
      <w:r>
        <w:t>05  Set Hostline’s test recipient</w:t>
      </w:r>
    </w:p>
    <w:p>
      <w:pPr>
        <w:spacing w:line="252" w:lineRule="auto" w:after="140"/>
      </w:pPr>
      <w:r>
        <w:rPr>
          <w:rFonts w:ascii="Arial" w:hAnsi="Arial" w:eastAsia="Arial"/>
          <w:b w:val="0"/>
          <w:color w:val="000000"/>
          <w:sz w:val="18"/>
        </w:rPr>
        <w:t>Prepared 14:11:08.108 UTC  |  Owner  |  Block 11948695  |  SUCCESS</w:t>
      </w:r>
    </w:p>
    <w:p>
      <w:pPr>
        <w:spacing w:after="100"/>
      </w:pPr>
      <w:hyperlink r:id="rId18">
        <w:r>
          <w:rPr>
            <w:rFonts w:ascii="Arial" w:hAnsi="Arial"/>
            <w:color w:val="174A76"/>
            <w:sz w:val="17"/>
          </w:rPr>
          <w:t>0x5ee96ac9a18b63d8f605947746c2bb5180f9273c6af433df73381cd533f5fb60</w:t>
        </w:r>
      </w:hyperlink>
    </w:p>
    <w:p>
      <w:pPr>
        <w:pStyle w:val="Heading2"/>
      </w:pPr>
      <w:r>
        <w:t>06  Set Artline’s test recipient</w:t>
      </w:r>
    </w:p>
    <w:p>
      <w:pPr>
        <w:spacing w:line="252" w:lineRule="auto" w:after="140"/>
      </w:pPr>
      <w:r>
        <w:rPr>
          <w:rFonts w:ascii="Arial" w:hAnsi="Arial" w:eastAsia="Arial"/>
          <w:b w:val="0"/>
          <w:color w:val="000000"/>
          <w:sz w:val="18"/>
        </w:rPr>
        <w:t>Prepared 14:21:48.240 UTC  |  Owner  |  Block 11948737  |  SUCCESS</w:t>
      </w:r>
    </w:p>
    <w:p>
      <w:pPr>
        <w:spacing w:after="100"/>
      </w:pPr>
      <w:hyperlink r:id="rId19">
        <w:r>
          <w:rPr>
            <w:rFonts w:ascii="Arial" w:hAnsi="Arial"/>
            <w:color w:val="174A76"/>
            <w:sz w:val="17"/>
          </w:rPr>
          <w:t>0x1a46a18cfe200fdc8416ce38ae5ee461159a4317da183afe62a9dd9f30145110</w:t>
        </w:r>
      </w:hyperlink>
    </w:p>
    <w:p>
      <w:r>
        <w:t>The cancelled unsent review and the accounting-only 54,813 wei adjustment have no new transaction hash and are excluded from this mined-transaction register. The original records remain preserved. [E1, E2]</w:t>
      </w:r>
    </w:p>
    <w:p>
      <w:r>
        <w:br w:type="page"/>
      </w:r>
    </w:p>
    <w:p>
      <w:pPr>
        <w:pStyle w:val="Heading1"/>
      </w:pPr>
      <w:r>
        <w:t>Transaction Register Part Two</w:t>
      </w:r>
    </w:p>
    <w:p>
      <w:r>
        <w:t>Register continued in block order. Timestamp meanings and status conventions are defined on the preceding register page. Full receipt references are in the ZIP index. [E1, E3]</w:t>
      </w:r>
    </w:p>
    <w:p>
      <w:pPr>
        <w:pStyle w:val="Heading2"/>
      </w:pPr>
      <w:r>
        <w:t>07  Grant the separate agent 24-hour access</w:t>
      </w:r>
    </w:p>
    <w:p>
      <w:pPr>
        <w:spacing w:line="252" w:lineRule="auto" w:after="140"/>
      </w:pPr>
      <w:r>
        <w:rPr>
          <w:rFonts w:ascii="Arial" w:hAnsi="Arial" w:eastAsia="Arial"/>
          <w:b w:val="0"/>
          <w:color w:val="000000"/>
          <w:sz w:val="18"/>
        </w:rPr>
        <w:t>Prepared 14:23:33.920 UTC  |  Owner  |  Block 11948749  |  SUCCESS</w:t>
      </w:r>
    </w:p>
    <w:p>
      <w:pPr>
        <w:spacing w:after="100"/>
      </w:pPr>
      <w:hyperlink r:id="rId20">
        <w:r>
          <w:rPr>
            <w:rFonts w:ascii="Arial" w:hAnsi="Arial"/>
            <w:color w:val="174A76"/>
            <w:sz w:val="17"/>
          </w:rPr>
          <w:t>0x2c53a2312596cfe2a378b7d53f18291be343fa3839712a6651eaf7c6ea45d82f</w:t>
        </w:r>
      </w:hyperlink>
    </w:p>
    <w:p>
      <w:pPr>
        <w:pStyle w:val="Heading2"/>
      </w:pPr>
      <w:r>
        <w:t>08  Fund the agent with 0.00005 Sepolia ETH</w:t>
      </w:r>
    </w:p>
    <w:p>
      <w:pPr>
        <w:spacing w:line="252" w:lineRule="auto" w:after="140"/>
      </w:pPr>
      <w:r>
        <w:rPr>
          <w:rFonts w:ascii="Arial" w:hAnsi="Arial" w:eastAsia="Arial"/>
          <w:b w:val="0"/>
          <w:color w:val="000000"/>
          <w:sz w:val="18"/>
        </w:rPr>
        <w:t>Prepared 14:43:40.888 UTC  |  Owner  |  Block 11948852  |  SUCCESS</w:t>
      </w:r>
    </w:p>
    <w:p>
      <w:pPr>
        <w:spacing w:after="100"/>
      </w:pPr>
      <w:hyperlink r:id="rId21">
        <w:r>
          <w:rPr>
            <w:rFonts w:ascii="Arial" w:hAnsi="Arial"/>
            <w:color w:val="174A76"/>
            <w:sz w:val="17"/>
          </w:rPr>
          <w:t>0xf4d18e790a061f97025fd07e7d087118d9fa2d70f751d653d885d60a927e85e3</w:t>
        </w:r>
      </w:hyperlink>
    </w:p>
    <w:p>
      <w:pPr>
        <w:pStyle w:val="Heading2"/>
      </w:pPr>
      <w:r>
        <w:t>09  Approve 3 reviewed bills</w:t>
      </w:r>
    </w:p>
    <w:p>
      <w:pPr>
        <w:spacing w:line="252" w:lineRule="auto" w:after="140"/>
      </w:pPr>
      <w:r>
        <w:rPr>
          <w:rFonts w:ascii="Arial" w:hAnsi="Arial" w:eastAsia="Arial"/>
          <w:b w:val="0"/>
          <w:color w:val="000000"/>
          <w:sz w:val="18"/>
        </w:rPr>
        <w:t>Prepared 15:12:03.321 UTC  |  Owner  |  Block 11948984  |  SUCCESS</w:t>
      </w:r>
    </w:p>
    <w:p>
      <w:pPr>
        <w:spacing w:after="100"/>
      </w:pPr>
      <w:hyperlink r:id="rId22">
        <w:r>
          <w:rPr>
            <w:rFonts w:ascii="Arial" w:hAnsi="Arial"/>
            <w:color w:val="174A76"/>
            <w:sz w:val="17"/>
          </w:rPr>
          <w:t>0x9cdbddee454d4b5b48de87ccec7177490406fd471e363d6738b5a35b8b97f5a3</w:t>
        </w:r>
      </w:hyperlink>
    </w:p>
    <w:p>
      <w:pPr>
        <w:pStyle w:val="Heading2"/>
      </w:pPr>
      <w:r>
        <w:t>10  Resume agent payments</w:t>
      </w:r>
    </w:p>
    <w:p>
      <w:pPr>
        <w:spacing w:line="252" w:lineRule="auto" w:after="140"/>
      </w:pPr>
      <w:r>
        <w:rPr>
          <w:rFonts w:ascii="Arial" w:hAnsi="Arial" w:eastAsia="Arial"/>
          <w:b w:val="0"/>
          <w:color w:val="000000"/>
          <w:sz w:val="18"/>
        </w:rPr>
        <w:t>Prepared 15:17:10.943 UTC  |  Owner  |  Block 11949011  |  SUCCESS</w:t>
      </w:r>
    </w:p>
    <w:p>
      <w:pPr>
        <w:spacing w:after="100"/>
      </w:pPr>
      <w:hyperlink r:id="rId23">
        <w:r>
          <w:rPr>
            <w:rFonts w:ascii="Arial" w:hAnsi="Arial"/>
            <w:color w:val="174A76"/>
            <w:sz w:val="17"/>
          </w:rPr>
          <w:t>0xfc7bd570cc2bcb407283eff73c99444124491126a92975021e966d23d724a63c</w:t>
        </w:r>
      </w:hyperlink>
    </w:p>
    <w:p>
      <w:pPr>
        <w:pStyle w:val="Heading2"/>
      </w:pPr>
      <w:r>
        <w:t>11  Pay HOST-1001</w:t>
      </w:r>
    </w:p>
    <w:p>
      <w:pPr>
        <w:spacing w:line="252" w:lineRule="auto" w:after="140"/>
      </w:pPr>
      <w:r>
        <w:rPr>
          <w:rFonts w:ascii="Arial" w:hAnsi="Arial" w:eastAsia="Arial"/>
          <w:b w:val="0"/>
          <w:color w:val="000000"/>
          <w:sz w:val="18"/>
        </w:rPr>
        <w:t>Prepared 15:38:51.742 UTC  |  Agent  |  Block 11949115  |  SUCCESS</w:t>
      </w:r>
    </w:p>
    <w:p>
      <w:pPr>
        <w:spacing w:after="100"/>
      </w:pPr>
      <w:hyperlink r:id="rId24">
        <w:r>
          <w:rPr>
            <w:rFonts w:ascii="Arial" w:hAnsi="Arial"/>
            <w:color w:val="174A76"/>
            <w:sz w:val="17"/>
          </w:rPr>
          <w:t>0xa35b0bd2785c1b9272e571d2a5197eb5530089151c6b8e751935b02941931ba4</w:t>
        </w:r>
      </w:hyperlink>
    </w:p>
    <w:p>
      <w:pPr>
        <w:pStyle w:val="Heading2"/>
      </w:pPr>
      <w:r>
        <w:t>12  Pay ART-2001</w:t>
      </w:r>
    </w:p>
    <w:p>
      <w:pPr>
        <w:spacing w:line="252" w:lineRule="auto" w:after="140"/>
      </w:pPr>
      <w:r>
        <w:rPr>
          <w:rFonts w:ascii="Arial" w:hAnsi="Arial" w:eastAsia="Arial"/>
          <w:b w:val="0"/>
          <w:color w:val="000000"/>
          <w:sz w:val="18"/>
        </w:rPr>
        <w:t>Prepared 15:39:22.124 UTC  |  Agent  |  Block 11949117  |  SUCCESS</w:t>
      </w:r>
    </w:p>
    <w:p>
      <w:pPr>
        <w:spacing w:after="100"/>
      </w:pPr>
      <w:hyperlink r:id="rId25">
        <w:r>
          <w:rPr>
            <w:rFonts w:ascii="Arial" w:hAnsi="Arial"/>
            <w:color w:val="174A76"/>
            <w:sz w:val="17"/>
          </w:rPr>
          <w:t>0x37ba350085b7cf15423745251aa71c8530c7c5915493534663f7eb0a46029ac9</w:t>
        </w:r>
      </w:hyperlink>
    </w:p>
    <w:p>
      <w:pPr>
        <w:pStyle w:val="Heading2"/>
      </w:pPr>
      <w:r>
        <w:t>13  Revoke agent access</w:t>
      </w:r>
    </w:p>
    <w:p>
      <w:pPr>
        <w:spacing w:line="252" w:lineRule="auto" w:after="140"/>
      </w:pPr>
      <w:r>
        <w:rPr>
          <w:rFonts w:ascii="Arial" w:hAnsi="Arial" w:eastAsia="Arial"/>
          <w:b w:val="0"/>
          <w:color w:val="000000"/>
          <w:sz w:val="18"/>
        </w:rPr>
        <w:t>Prepared 15:47:10.100 UTC  |  Owner  |  Block 11949169  |  SUCCESS</w:t>
      </w:r>
    </w:p>
    <w:p>
      <w:pPr>
        <w:spacing w:after="100"/>
      </w:pPr>
      <w:hyperlink r:id="rId26">
        <w:r>
          <w:rPr>
            <w:rFonts w:ascii="Arial" w:hAnsi="Arial"/>
            <w:color w:val="174A76"/>
            <w:sz w:val="17"/>
          </w:rPr>
          <w:t>0xa6a4665cdfe4e0e44e8e08103ef8e943d8ac05fcbe432fef225e940c1dcb60e0</w:t>
        </w:r>
      </w:hyperlink>
    </w:p>
    <w:p>
      <w:r>
        <w:br w:type="page"/>
      </w:r>
    </w:p>
    <w:p>
      <w:pPr>
        <w:pStyle w:val="Heading1"/>
      </w:pPr>
      <w:r>
        <w:t>Owner Stop Rejections and Recorded Costs</w:t>
      </w:r>
    </w:p>
    <w:p>
      <w:pPr>
        <w:pStyle w:val="Heading2"/>
      </w:pPr>
      <w:r>
        <w:t>Confirmed owner revocation</w:t>
      </w:r>
    </w:p>
    <w:p>
      <w:r>
        <w:t>The revokeAgent transaction at block 11949169 emitted AgentRevoked and PolicyChanged(7). The 15:51:50.619 UTC audit found zero agent/start/expiry, policy 7, 650 MDT and unchanged paid flags. The vault was unpaused. The original revocation receipt and detailed event/state checks are in E2. [E2, E3]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736"/>
        <w:gridCol w:w="6998"/>
      </w:tblGrid>
      <w:tr>
        <w:trPr>
          <w:tblHeader/>
          <w:cantSplit/>
        </w:trPr>
        <w:tc>
          <w:tcPr>
            <w:tcW w:type="dxa" w:w="2736"/>
            <w:vAlign w:val="center"/>
            <w:shd w:fill="E8EEF5"/>
          </w:tcPr>
          <w:p>
            <w:pPr>
              <w:keepNext w:val="0"/>
              <w:spacing w:after="0" w:line="259" w:lineRule="auto"/>
            </w:pPr>
            <w:r>
              <w:rPr>
                <w:rFonts w:ascii="Arial" w:hAnsi="Arial" w:eastAsia="Arial"/>
                <w:b/>
                <w:color w:val="000000"/>
                <w:sz w:val="19"/>
              </w:rPr>
              <w:t>Unmined eth_call</w:t>
            </w:r>
          </w:p>
        </w:tc>
        <w:tc>
          <w:tcPr>
            <w:tcW w:type="dxa" w:w="6998"/>
            <w:vAlign w:val="center"/>
            <w:shd w:fill="E8EEF5"/>
          </w:tcPr>
          <w:p>
            <w:pPr>
              <w:keepNext w:val="0"/>
              <w:spacing w:after="0" w:line="259" w:lineRule="auto"/>
            </w:pPr>
            <w:r>
              <w:rPr>
                <w:rFonts w:ascii="Arial" w:hAnsi="Arial" w:eastAsia="Arial"/>
                <w:b/>
                <w:color w:val="000000"/>
                <w:sz w:val="19"/>
              </w:rPr>
              <w:t>Checked result and scope</w:t>
            </w:r>
          </w:p>
        </w:tc>
      </w:tr>
      <w:tr>
        <w:trPr>
          <w:cantSplit/>
        </w:trPr>
        <w:tc>
          <w:tcPr>
            <w:tcW w:type="dxa" w:w="2736"/>
            <w:vAlign w:val="center"/>
            <w:shd w:fill="FFFFFF"/>
          </w:tcPr>
          <w:p>
            <w:pPr>
              <w:keepNext w:val="0"/>
              <w:spacing w:after="0" w:line="259" w:lineRule="auto"/>
            </w:pPr>
            <w:r>
              <w:rPr>
                <w:rFonts w:ascii="Arial" w:hAnsi="Arial" w:eastAsia="Arial"/>
                <w:b w:val="0"/>
                <w:color w:val="000000"/>
                <w:sz w:val="19"/>
              </w:rPr>
              <w:t>Duplicate HOST-1001</w:t>
            </w:r>
          </w:p>
        </w:tc>
        <w:tc>
          <w:tcPr>
            <w:tcW w:type="dxa" w:w="6998"/>
            <w:vAlign w:val="center"/>
            <w:shd w:fill="FFFFFF"/>
          </w:tcPr>
          <w:p>
            <w:pPr>
              <w:keepNext w:val="0"/>
              <w:spacing w:after="0" w:line="259" w:lineRule="auto"/>
            </w:pPr>
            <w:r>
              <w:rPr>
                <w:rFonts w:ascii="Arial" w:hAnsi="Arial" w:eastAsia="Arial"/>
                <w:b w:val="0"/>
                <w:color w:val="000000"/>
                <w:sz w:val="19"/>
              </w:rPr>
              <w:t>BillAlreadyPaid at policy 6; no transaction sent and zero gas spent.</w:t>
            </w:r>
          </w:p>
        </w:tc>
      </w:tr>
      <w:tr>
        <w:trPr>
          <w:cantSplit/>
        </w:trPr>
        <w:tc>
          <w:tcPr>
            <w:tcW w:type="dxa" w:w="2736"/>
            <w:vAlign w:val="center"/>
            <w:shd w:fill="F7F9FB"/>
          </w:tcPr>
          <w:p>
            <w:pPr>
              <w:keepNext w:val="0"/>
              <w:spacing w:after="0" w:line="259" w:lineRule="auto"/>
            </w:pPr>
            <w:r>
              <w:rPr>
                <w:rFonts w:ascii="Arial" w:hAnsi="Arial" w:eastAsia="Arial"/>
                <w:b w:val="0"/>
                <w:color w:val="000000"/>
                <w:sz w:val="19"/>
              </w:rPr>
              <w:t>Deferred HOST-1002</w:t>
            </w:r>
          </w:p>
        </w:tc>
        <w:tc>
          <w:tcPr>
            <w:tcW w:type="dxa" w:w="6998"/>
            <w:vAlign w:val="center"/>
            <w:shd w:fill="F7F9FB"/>
          </w:tcPr>
          <w:p>
            <w:pPr>
              <w:keepNext w:val="0"/>
              <w:spacing w:after="0" w:line="259" w:lineRule="auto"/>
            </w:pPr>
            <w:r>
              <w:rPr>
                <w:rFonts w:ascii="Arial" w:hAnsi="Arial" w:eastAsia="Arial"/>
                <w:b w:val="0"/>
                <w:color w:val="000000"/>
                <w:sz w:val="19"/>
              </w:rPr>
              <w:t>DailyLimitExceeded at policy 6; unpaid 75 MDT exceeded the remaining 50 MDT. No transaction sent.</w:t>
            </w:r>
          </w:p>
        </w:tc>
      </w:tr>
      <w:tr>
        <w:trPr>
          <w:cantSplit/>
        </w:trPr>
        <w:tc>
          <w:tcPr>
            <w:tcW w:type="dxa" w:w="2736"/>
            <w:vAlign w:val="center"/>
            <w:shd w:fill="FFFFFF"/>
          </w:tcPr>
          <w:p>
            <w:pPr>
              <w:keepNext w:val="0"/>
              <w:spacing w:after="0" w:line="259" w:lineRule="auto"/>
            </w:pPr>
            <w:r>
              <w:rPr>
                <w:rFonts w:ascii="Arial" w:hAnsi="Arial" w:eastAsia="Arial"/>
                <w:b w:val="0"/>
                <w:color w:val="000000"/>
                <w:sz w:val="19"/>
              </w:rPr>
              <w:t>Former agent after revocation</w:t>
            </w:r>
          </w:p>
        </w:tc>
        <w:tc>
          <w:tcPr>
            <w:tcW w:type="dxa" w:w="6998"/>
            <w:vAlign w:val="center"/>
            <w:shd w:fill="FFFFFF"/>
          </w:tcPr>
          <w:p>
            <w:pPr>
              <w:keepNext w:val="0"/>
              <w:spacing w:after="0" w:line="259" w:lineRule="auto"/>
            </w:pPr>
            <w:r>
              <w:rPr>
                <w:rFonts w:ascii="Arial" w:hAnsi="Arial" w:eastAsia="Arial"/>
                <w:b w:val="0"/>
                <w:color w:val="000000"/>
                <w:sz w:val="19"/>
              </w:rPr>
              <w:t>OnlyAgent at policy 7; no transaction sent. The same 75 MDT bill also exceeded daily allowance, so this does not isolate an otherwise-eligible public revocation case.</w:t>
            </w:r>
          </w:p>
        </w:tc>
      </w:tr>
    </w:tbl>
    <w:p>
      <w:pPr>
        <w:spacing w:after="0"/>
      </w:pPr>
    </w:p>
    <w:p>
      <w:r>
        <w:t>The decoded OnlyAgent error establishes the actual authority rejection in that call. A clean otherwise-eligible revocation scenario is separate local evidence. These three calls are not mined failures and are not added to the 13 transaction count. Two confirmations are the public acceptance threshold, not an absolute finality guarantee. [E2, E4]</w:t>
      </w:r>
    </w:p>
    <w:p>
      <w:pPr>
        <w:pStyle w:val="Heading2"/>
      </w:pPr>
      <w:r>
        <w:t>Wallet recovery observations</w:t>
      </w:r>
    </w:p>
    <w:p>
      <w:r>
        <w:t>The first protected deposit reverted. Two later protected owner transactions required specific audits of their original hash, inner call, events, code/state and cost. Automatic exact matching was not relaxed. The protected agent grant exceeded its direct-call reservation by 54,813 wei; a local accounting-only record covered the already-spent excess under the aggregate cap. No resend was created by that adjustment. [E2]</w:t>
      </w:r>
    </w:p>
    <w:p>
      <w:pPr>
        <w:pStyle w:val="Heading2"/>
      </w:pPr>
      <w:r>
        <w:t>Final fee and outflow accounting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5112"/>
        <w:gridCol w:w="4622"/>
      </w:tblGrid>
      <w:tr>
        <w:trPr>
          <w:tblHeader/>
          <w:cantSplit/>
        </w:trPr>
        <w:tc>
          <w:tcPr>
            <w:tcW w:type="dxa" w:w="5112"/>
            <w:vAlign w:val="center"/>
            <w:shd w:fill="E8EEF5"/>
          </w:tcPr>
          <w:p>
            <w:pPr>
              <w:keepNext w:val="0"/>
              <w:spacing w:after="0" w:line="259" w:lineRule="auto"/>
            </w:pPr>
            <w:r>
              <w:rPr>
                <w:rFonts w:ascii="Arial" w:hAnsi="Arial" w:eastAsia="Arial"/>
                <w:b/>
                <w:color w:val="000000"/>
                <w:sz w:val="19"/>
              </w:rPr>
              <w:t>Recorded quantity</w:t>
            </w:r>
          </w:p>
        </w:tc>
        <w:tc>
          <w:tcPr>
            <w:tcW w:type="dxa" w:w="4622"/>
            <w:vAlign w:val="center"/>
            <w:shd w:fill="E8EEF5"/>
          </w:tcPr>
          <w:p>
            <w:pPr>
              <w:keepNext w:val="0"/>
              <w:spacing w:after="0" w:line="259" w:lineRule="auto"/>
            </w:pPr>
            <w:r>
              <w:rPr>
                <w:rFonts w:ascii="Arial" w:hAnsi="Arial" w:eastAsia="Arial"/>
                <w:b/>
                <w:color w:val="000000"/>
                <w:sz w:val="19"/>
              </w:rPr>
              <w:t>ETH</w:t>
            </w:r>
          </w:p>
        </w:tc>
      </w:tr>
      <w:tr>
        <w:trPr>
          <w:cantSplit/>
        </w:trPr>
        <w:tc>
          <w:tcPr>
            <w:tcW w:type="dxa" w:w="5112"/>
            <w:vAlign w:val="center"/>
            <w:shd w:fill="FFFFFF"/>
          </w:tcPr>
          <w:p>
            <w:pPr>
              <w:keepNext w:val="0"/>
              <w:spacing w:after="0" w:line="259" w:lineRule="auto"/>
            </w:pPr>
            <w:r>
              <w:rPr>
                <w:rFonts w:ascii="Arial" w:hAnsi="Arial" w:eastAsia="Arial"/>
                <w:b w:val="0"/>
                <w:color w:val="000000"/>
                <w:sz w:val="19"/>
              </w:rPr>
              <w:t>Owner gas including reverted deposit</w:t>
            </w:r>
          </w:p>
        </w:tc>
        <w:tc>
          <w:tcPr>
            <w:tcW w:type="dxa" w:w="4622"/>
            <w:vAlign w:val="center"/>
            <w:shd w:fill="FFFFFF"/>
          </w:tcPr>
          <w:p>
            <w:pPr>
              <w:keepNext w:val="0"/>
              <w:spacing w:after="0" w:line="259" w:lineRule="auto"/>
            </w:pPr>
            <w:r>
              <w:rPr>
                <w:rFonts w:ascii="Arial" w:hAnsi="Arial" w:eastAsia="Arial"/>
                <w:b w:val="0"/>
                <w:color w:val="000000"/>
                <w:sz w:val="19"/>
              </w:rPr>
              <w:t>0.00000000032971641</w:t>
            </w:r>
          </w:p>
        </w:tc>
      </w:tr>
      <w:tr>
        <w:trPr>
          <w:cantSplit/>
        </w:trPr>
        <w:tc>
          <w:tcPr>
            <w:tcW w:type="dxa" w:w="5112"/>
            <w:vAlign w:val="center"/>
            <w:shd w:fill="F7F9FB"/>
          </w:tcPr>
          <w:p>
            <w:pPr>
              <w:keepNext w:val="0"/>
              <w:spacing w:after="0" w:line="259" w:lineRule="auto"/>
            </w:pPr>
            <w:r>
              <w:rPr>
                <w:rFonts w:ascii="Arial" w:hAnsi="Arial" w:eastAsia="Arial"/>
                <w:b w:val="0"/>
                <w:color w:val="000000"/>
                <w:sz w:val="19"/>
              </w:rPr>
              <w:t>Agent payment gas</w:t>
            </w:r>
          </w:p>
        </w:tc>
        <w:tc>
          <w:tcPr>
            <w:tcW w:type="dxa" w:w="4622"/>
            <w:vAlign w:val="center"/>
            <w:shd w:fill="F7F9FB"/>
          </w:tcPr>
          <w:p>
            <w:pPr>
              <w:keepNext w:val="0"/>
              <w:spacing w:after="0" w:line="259" w:lineRule="auto"/>
            </w:pPr>
            <w:r>
              <w:rPr>
                <w:rFonts w:ascii="Arial" w:hAnsi="Arial" w:eastAsia="Arial"/>
                <w:b w:val="0"/>
                <w:color w:val="000000"/>
                <w:sz w:val="19"/>
              </w:rPr>
              <w:t>0.000000000011372928</w:t>
            </w:r>
          </w:p>
        </w:tc>
      </w:tr>
      <w:tr>
        <w:trPr>
          <w:cantSplit/>
        </w:trPr>
        <w:tc>
          <w:tcPr>
            <w:tcW w:type="dxa" w:w="5112"/>
            <w:vAlign w:val="center"/>
            <w:shd w:fill="FFFFFF"/>
          </w:tcPr>
          <w:p>
            <w:pPr>
              <w:keepNext w:val="0"/>
              <w:spacing w:after="0" w:line="259" w:lineRule="auto"/>
            </w:pPr>
            <w:r>
              <w:rPr>
                <w:rFonts w:ascii="Arial" w:hAnsi="Arial" w:eastAsia="Arial"/>
                <w:b w:val="0"/>
                <w:color w:val="000000"/>
                <w:sz w:val="19"/>
              </w:rPr>
              <w:t>Combined owner and agent gas</w:t>
            </w:r>
          </w:p>
        </w:tc>
        <w:tc>
          <w:tcPr>
            <w:tcW w:type="dxa" w:w="4622"/>
            <w:vAlign w:val="center"/>
            <w:shd w:fill="FFFFFF"/>
          </w:tcPr>
          <w:p>
            <w:pPr>
              <w:keepNext w:val="0"/>
              <w:spacing w:after="0" w:line="259" w:lineRule="auto"/>
            </w:pPr>
            <w:r>
              <w:rPr>
                <w:rFonts w:ascii="Arial" w:hAnsi="Arial" w:eastAsia="Arial"/>
                <w:b w:val="0"/>
                <w:color w:val="000000"/>
                <w:sz w:val="19"/>
              </w:rPr>
              <w:t>0.000000000341089338</w:t>
            </w:r>
          </w:p>
        </w:tc>
      </w:tr>
      <w:tr>
        <w:trPr>
          <w:cantSplit/>
        </w:trPr>
        <w:tc>
          <w:tcPr>
            <w:tcW w:type="dxa" w:w="5112"/>
            <w:vAlign w:val="center"/>
            <w:shd w:fill="F7F9FB"/>
          </w:tcPr>
          <w:p>
            <w:pPr>
              <w:keepNext w:val="0"/>
              <w:spacing w:after="0" w:line="259" w:lineRule="auto"/>
            </w:pPr>
            <w:r>
              <w:rPr>
                <w:rFonts w:ascii="Arial" w:hAnsi="Arial" w:eastAsia="Arial"/>
                <w:b w:val="0"/>
                <w:color w:val="000000"/>
                <w:sz w:val="19"/>
              </w:rPr>
              <w:t>Owner outflow including 0.00005 ETH agent funding</w:t>
            </w:r>
          </w:p>
        </w:tc>
        <w:tc>
          <w:tcPr>
            <w:tcW w:type="dxa" w:w="4622"/>
            <w:vAlign w:val="center"/>
            <w:shd w:fill="F7F9FB"/>
          </w:tcPr>
          <w:p>
            <w:pPr>
              <w:keepNext w:val="0"/>
              <w:spacing w:after="0" w:line="259" w:lineRule="auto"/>
            </w:pPr>
            <w:r>
              <w:rPr>
                <w:rFonts w:ascii="Arial" w:hAnsi="Arial" w:eastAsia="Arial"/>
                <w:b w:val="0"/>
                <w:color w:val="000000"/>
                <w:sz w:val="19"/>
              </w:rPr>
              <w:t>0.00005000032971641</w:t>
            </w:r>
          </w:p>
        </w:tc>
      </w:tr>
      <w:tr>
        <w:trPr>
          <w:cantSplit/>
        </w:trPr>
        <w:tc>
          <w:tcPr>
            <w:tcW w:type="dxa" w:w="5112"/>
            <w:vAlign w:val="center"/>
            <w:shd w:fill="FFFFFF"/>
          </w:tcPr>
          <w:p>
            <w:pPr>
              <w:keepNext w:val="0"/>
              <w:spacing w:after="0" w:line="259" w:lineRule="auto"/>
            </w:pPr>
            <w:r>
              <w:rPr>
                <w:rFonts w:ascii="Arial" w:hAnsi="Arial" w:eastAsia="Arial"/>
                <w:b w:val="0"/>
                <w:color w:val="000000"/>
                <w:sz w:val="19"/>
              </w:rPr>
              <w:t>Conservative maximum reservations</w:t>
            </w:r>
          </w:p>
        </w:tc>
        <w:tc>
          <w:tcPr>
            <w:tcW w:type="dxa" w:w="4622"/>
            <w:vAlign w:val="center"/>
            <w:shd w:fill="FFFFFF"/>
          </w:tcPr>
          <w:p>
            <w:pPr>
              <w:keepNext w:val="0"/>
              <w:spacing w:after="0" w:line="259" w:lineRule="auto"/>
            </w:pPr>
            <w:r>
              <w:rPr>
                <w:rFonts w:ascii="Arial" w:hAnsi="Arial" w:eastAsia="Arial"/>
                <w:b w:val="0"/>
                <w:color w:val="000000"/>
                <w:sz w:val="19"/>
              </w:rPr>
              <w:t>0.000050000761755467</w:t>
            </w:r>
          </w:p>
        </w:tc>
      </w:tr>
      <w:tr>
        <w:trPr>
          <w:cantSplit/>
        </w:trPr>
        <w:tc>
          <w:tcPr>
            <w:tcW w:type="dxa" w:w="5112"/>
            <w:vAlign w:val="center"/>
            <w:shd w:fill="F7F9FB"/>
          </w:tcPr>
          <w:p>
            <w:pPr>
              <w:keepNext w:val="0"/>
              <w:spacing w:after="0" w:line="259" w:lineRule="auto"/>
            </w:pPr>
            <w:r>
              <w:rPr>
                <w:rFonts w:ascii="Arial" w:hAnsi="Arial" w:eastAsia="Arial"/>
                <w:b w:val="0"/>
                <w:color w:val="000000"/>
                <w:sz w:val="19"/>
              </w:rPr>
              <w:t>User-approved aggregate cap</w:t>
            </w:r>
          </w:p>
        </w:tc>
        <w:tc>
          <w:tcPr>
            <w:tcW w:type="dxa" w:w="4622"/>
            <w:vAlign w:val="center"/>
            <w:shd w:fill="F7F9FB"/>
          </w:tcPr>
          <w:p>
            <w:pPr>
              <w:keepNext w:val="0"/>
              <w:spacing w:after="0" w:line="259" w:lineRule="auto"/>
            </w:pPr>
            <w:r>
              <w:rPr>
                <w:rFonts w:ascii="Arial" w:hAnsi="Arial" w:eastAsia="Arial"/>
                <w:b w:val="0"/>
                <w:color w:val="000000"/>
                <w:sz w:val="19"/>
              </w:rPr>
              <w:t>0.001</w:t>
            </w:r>
          </w:p>
        </w:tc>
      </w:tr>
    </w:tbl>
    <w:p>
      <w:pPr>
        <w:spacing w:after="0"/>
      </w:pPr>
    </w:p>
    <w:p>
      <w:r>
        <w:t>Agent gas is paid from the original allocation and counted once in owner outflow. Its recorded unused balance was 0.000049999988627072 ETH with vault authority revoked. ETH gas and funding are separate from MDT spending/reserve. The values above are historical observations. [E2]</w:t>
      </w:r>
    </w:p>
    <w:p>
      <w:r>
        <w:br w:type="page"/>
      </w:r>
    </w:p>
    <w:p>
      <w:pPr>
        <w:pStyle w:val="Heading1"/>
      </w:pPr>
      <w:r>
        <w:t>Local Evaluation and Hosting Evidence</w:t>
      </w:r>
    </w:p>
    <w:p>
      <w:pPr>
        <w:pStyle w:val="Heading2"/>
      </w:pPr>
      <w:r>
        <w:t>Fixed cases model and denominators</w:t>
      </w:r>
    </w:p>
    <w:p>
      <w:r>
        <w:t>The 19 October Groq v5 run measured 40 fixed synthetic cases: 20 ordinary and 20 hostile/exception cases. Six interaction cases are tags within those 40. Each case resets a disposable chain 31337; expected labels are not sent to the model. The run used openai/gpt-oss-120b, prompt mandate-step5-v3, temperature 0.2, low reasoning, 2,000 output tokens, 20-second timeout and at least 15-second call spacing. There was no automatic retry or fallback. [E4]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4824"/>
        <w:gridCol w:w="4910"/>
      </w:tblGrid>
      <w:tr>
        <w:trPr>
          <w:tblHeader/>
          <w:cantSplit/>
        </w:trPr>
        <w:tc>
          <w:tcPr>
            <w:tcW w:type="dxa" w:w="4824"/>
            <w:vAlign w:val="center"/>
            <w:shd w:fill="E8EEF5"/>
          </w:tcPr>
          <w:p>
            <w:pPr>
              <w:keepNext w:val="0"/>
              <w:spacing w:after="0" w:line="259" w:lineRule="auto"/>
            </w:pPr>
            <w:r>
              <w:rPr>
                <w:rFonts w:ascii="Arial" w:hAnsi="Arial" w:eastAsia="Arial"/>
                <w:b/>
                <w:color w:val="000000"/>
                <w:sz w:val="19"/>
              </w:rPr>
              <w:t>Measure</w:t>
            </w:r>
          </w:p>
        </w:tc>
        <w:tc>
          <w:tcPr>
            <w:tcW w:type="dxa" w:w="4910"/>
            <w:vAlign w:val="center"/>
            <w:shd w:fill="E8EEF5"/>
          </w:tcPr>
          <w:p>
            <w:pPr>
              <w:keepNext w:val="0"/>
              <w:spacing w:after="0" w:line="259" w:lineRule="auto"/>
            </w:pPr>
            <w:r>
              <w:rPr>
                <w:rFonts w:ascii="Arial" w:hAnsi="Arial" w:eastAsia="Arial"/>
                <w:b/>
                <w:color w:val="000000"/>
                <w:sz w:val="19"/>
              </w:rPr>
              <w:t>Observed</w:t>
            </w:r>
          </w:p>
        </w:tc>
      </w:tr>
      <w:tr>
        <w:trPr>
          <w:cantSplit/>
        </w:trPr>
        <w:tc>
          <w:tcPr>
            <w:tcW w:type="dxa" w:w="4824"/>
            <w:vAlign w:val="center"/>
            <w:shd w:fill="FFFFFF"/>
          </w:tcPr>
          <w:p>
            <w:pPr>
              <w:keepNext w:val="0"/>
              <w:spacing w:after="0" w:line="259" w:lineRule="auto"/>
            </w:pPr>
            <w:r>
              <w:rPr>
                <w:rFonts w:ascii="Arial" w:hAnsi="Arial" w:eastAsia="Arial"/>
                <w:b w:val="0"/>
                <w:color w:val="000000"/>
                <w:sz w:val="19"/>
              </w:rPr>
              <w:t>Ordinary completions</w:t>
            </w:r>
          </w:p>
        </w:tc>
        <w:tc>
          <w:tcPr>
            <w:tcW w:type="dxa" w:w="4910"/>
            <w:vAlign w:val="center"/>
            <w:shd w:fill="FFFFFF"/>
          </w:tcPr>
          <w:p>
            <w:pPr>
              <w:keepNext w:val="0"/>
              <w:spacing w:after="0" w:line="259" w:lineRule="auto"/>
            </w:pPr>
            <w:r>
              <w:rPr>
                <w:rFonts w:ascii="Arial" w:hAnsi="Arial" w:eastAsia="Arial"/>
                <w:b w:val="0"/>
                <w:color w:val="000000"/>
                <w:sz w:val="19"/>
              </w:rPr>
              <w:t>19/20</w:t>
            </w:r>
          </w:p>
        </w:tc>
      </w:tr>
      <w:tr>
        <w:trPr>
          <w:cantSplit/>
        </w:trPr>
        <w:tc>
          <w:tcPr>
            <w:tcW w:type="dxa" w:w="4824"/>
            <w:vAlign w:val="center"/>
            <w:shd w:fill="F7F9FB"/>
          </w:tcPr>
          <w:p>
            <w:pPr>
              <w:keepNext w:val="0"/>
              <w:spacing w:after="0" w:line="259" w:lineRule="auto"/>
            </w:pPr>
            <w:r>
              <w:rPr>
                <w:rFonts w:ascii="Arial" w:hAnsi="Arial" w:eastAsia="Arial"/>
                <w:b w:val="0"/>
                <w:color w:val="000000"/>
                <w:sz w:val="19"/>
              </w:rPr>
              <w:t>Exception explanations</w:t>
            </w:r>
          </w:p>
        </w:tc>
        <w:tc>
          <w:tcPr>
            <w:tcW w:type="dxa" w:w="4910"/>
            <w:vAlign w:val="center"/>
            <w:shd w:fill="F7F9FB"/>
          </w:tcPr>
          <w:p>
            <w:pPr>
              <w:keepNext w:val="0"/>
              <w:spacing w:after="0" w:line="259" w:lineRule="auto"/>
            </w:pPr>
            <w:r>
              <w:rPr>
                <w:rFonts w:ascii="Arial" w:hAnsi="Arial" w:eastAsia="Arial"/>
                <w:b w:val="0"/>
                <w:color w:val="000000"/>
                <w:sz w:val="19"/>
              </w:rPr>
              <w:t>20/20</w:t>
            </w:r>
          </w:p>
        </w:tc>
      </w:tr>
      <w:tr>
        <w:trPr>
          <w:cantSplit/>
        </w:trPr>
        <w:tc>
          <w:tcPr>
            <w:tcW w:type="dxa" w:w="4824"/>
            <w:vAlign w:val="center"/>
            <w:shd w:fill="FFFFFF"/>
          </w:tcPr>
          <w:p>
            <w:pPr>
              <w:keepNext w:val="0"/>
              <w:spacing w:after="0" w:line="259" w:lineRule="auto"/>
            </w:pPr>
            <w:r>
              <w:rPr>
                <w:rFonts w:ascii="Arial" w:hAnsi="Arial" w:eastAsia="Arial"/>
                <w:b w:val="0"/>
                <w:color w:val="000000"/>
                <w:sz w:val="19"/>
              </w:rPr>
              <w:t>Critical extraction fields</w:t>
            </w:r>
          </w:p>
        </w:tc>
        <w:tc>
          <w:tcPr>
            <w:tcW w:type="dxa" w:w="4910"/>
            <w:vAlign w:val="center"/>
            <w:shd w:fill="FFFFFF"/>
          </w:tcPr>
          <w:p>
            <w:pPr>
              <w:keepNext w:val="0"/>
              <w:spacing w:after="0" w:line="259" w:lineRule="auto"/>
            </w:pPr>
            <w:r>
              <w:rPr>
                <w:rFonts w:ascii="Arial" w:hAnsi="Arial" w:eastAsia="Arial"/>
                <w:b w:val="0"/>
                <w:color w:val="000000"/>
                <w:sz w:val="19"/>
              </w:rPr>
              <w:t>156/156 across 26 explicit synthetic CSV invoices</w:t>
            </w:r>
          </w:p>
        </w:tc>
      </w:tr>
      <w:tr>
        <w:trPr>
          <w:cantSplit/>
        </w:trPr>
        <w:tc>
          <w:tcPr>
            <w:tcW w:type="dxa" w:w="4824"/>
            <w:vAlign w:val="center"/>
            <w:shd w:fill="F7F9FB"/>
          </w:tcPr>
          <w:p>
            <w:pPr>
              <w:keepNext w:val="0"/>
              <w:spacing w:after="0" w:line="259" w:lineRule="auto"/>
            </w:pPr>
            <w:r>
              <w:rPr>
                <w:rFonts w:ascii="Arial" w:hAnsi="Arial" w:eastAsia="Arial"/>
                <w:b w:val="0"/>
                <w:color w:val="000000"/>
                <w:sz w:val="19"/>
              </w:rPr>
              <w:t>Whole ordinary invoices exact</w:t>
            </w:r>
          </w:p>
        </w:tc>
        <w:tc>
          <w:tcPr>
            <w:tcW w:type="dxa" w:w="4910"/>
            <w:vAlign w:val="center"/>
            <w:shd w:fill="F7F9FB"/>
          </w:tcPr>
          <w:p>
            <w:pPr>
              <w:keepNext w:val="0"/>
              <w:spacing w:after="0" w:line="259" w:lineRule="auto"/>
            </w:pPr>
            <w:r>
              <w:rPr>
                <w:rFonts w:ascii="Arial" w:hAnsi="Arial" w:eastAsia="Arial"/>
                <w:b w:val="0"/>
                <w:color w:val="000000"/>
                <w:sz w:val="19"/>
              </w:rPr>
              <w:t>26/26</w:t>
            </w:r>
          </w:p>
        </w:tc>
      </w:tr>
      <w:tr>
        <w:trPr>
          <w:cantSplit/>
        </w:trPr>
        <w:tc>
          <w:tcPr>
            <w:tcW w:type="dxa" w:w="4824"/>
            <w:vAlign w:val="center"/>
            <w:shd w:fill="FFFFFF"/>
          </w:tcPr>
          <w:p>
            <w:pPr>
              <w:keepNext w:val="0"/>
              <w:spacing w:after="0" w:line="259" w:lineRule="auto"/>
            </w:pPr>
            <w:r>
              <w:rPr>
                <w:rFonts w:ascii="Arial" w:hAnsi="Arial" w:eastAsia="Arial"/>
                <w:b w:val="0"/>
                <w:color w:val="000000"/>
                <w:sz w:val="19"/>
              </w:rPr>
              <w:t>Defined interactions</w:t>
            </w:r>
          </w:p>
        </w:tc>
        <w:tc>
          <w:tcPr>
            <w:tcW w:type="dxa" w:w="4910"/>
            <w:vAlign w:val="center"/>
            <w:shd w:fill="FFFFFF"/>
          </w:tcPr>
          <w:p>
            <w:pPr>
              <w:keepNext w:val="0"/>
              <w:spacing w:after="0" w:line="259" w:lineRule="auto"/>
            </w:pPr>
            <w:r>
              <w:rPr>
                <w:rFonts w:ascii="Arial" w:hAnsi="Arial" w:eastAsia="Arial"/>
                <w:b w:val="0"/>
                <w:color w:val="000000"/>
                <w:sz w:val="19"/>
              </w:rPr>
              <w:t>6/6</w:t>
            </w:r>
          </w:p>
        </w:tc>
      </w:tr>
      <w:tr>
        <w:trPr>
          <w:cantSplit/>
        </w:trPr>
        <w:tc>
          <w:tcPr>
            <w:tcW w:type="dxa" w:w="4824"/>
            <w:vAlign w:val="center"/>
            <w:shd w:fill="F7F9FB"/>
          </w:tcPr>
          <w:p>
            <w:pPr>
              <w:keepNext w:val="0"/>
              <w:spacing w:after="0" w:line="259" w:lineRule="auto"/>
            </w:pPr>
            <w:r>
              <w:rPr>
                <w:rFonts w:ascii="Arial" w:hAnsi="Arial" w:eastAsia="Arial"/>
                <w:b w:val="0"/>
                <w:color w:val="000000"/>
                <w:sz w:val="19"/>
              </w:rPr>
              <w:t>Unauthorized/mismatched payment cases</w:t>
            </w:r>
          </w:p>
        </w:tc>
        <w:tc>
          <w:tcPr>
            <w:tcW w:type="dxa" w:w="4910"/>
            <w:vAlign w:val="center"/>
            <w:shd w:fill="F7F9FB"/>
          </w:tcPr>
          <w:p>
            <w:pPr>
              <w:keepNext w:val="0"/>
              <w:spacing w:after="0" w:line="259" w:lineRule="auto"/>
            </w:pPr>
            <w:r>
              <w:rPr>
                <w:rFonts w:ascii="Arial" w:hAnsi="Arial" w:eastAsia="Arial"/>
                <w:b w:val="0"/>
                <w:color w:val="000000"/>
                <w:sz w:val="19"/>
              </w:rPr>
              <w:t>0/40</w:t>
            </w:r>
          </w:p>
        </w:tc>
      </w:tr>
      <w:tr>
        <w:trPr>
          <w:cantSplit/>
        </w:trPr>
        <w:tc>
          <w:tcPr>
            <w:tcW w:type="dxa" w:w="4824"/>
            <w:vAlign w:val="center"/>
            <w:shd w:fill="FFFFFF"/>
          </w:tcPr>
          <w:p>
            <w:pPr>
              <w:keepNext w:val="0"/>
              <w:spacing w:after="0" w:line="259" w:lineRule="auto"/>
            </w:pPr>
            <w:r>
              <w:rPr>
                <w:rFonts w:ascii="Arial" w:hAnsi="Arial" w:eastAsia="Arial"/>
                <w:b w:val="0"/>
                <w:color w:val="000000"/>
                <w:sz w:val="19"/>
              </w:rPr>
              <w:t>Model calls and provider errors</w:t>
            </w:r>
          </w:p>
        </w:tc>
        <w:tc>
          <w:tcPr>
            <w:tcW w:type="dxa" w:w="4910"/>
            <w:vAlign w:val="center"/>
            <w:shd w:fill="FFFFFF"/>
          </w:tcPr>
          <w:p>
            <w:pPr>
              <w:keepNext w:val="0"/>
              <w:spacing w:after="0" w:line="259" w:lineRule="auto"/>
            </w:pPr>
            <w:r>
              <w:rPr>
                <w:rFonts w:ascii="Arial" w:hAnsi="Arial" w:eastAsia="Arial"/>
                <w:b w:val="0"/>
                <w:color w:val="000000"/>
                <w:sz w:val="19"/>
              </w:rPr>
              <w:t>72 calls; 0 errors</w:t>
            </w:r>
          </w:p>
        </w:tc>
      </w:tr>
      <w:tr>
        <w:trPr>
          <w:cantSplit/>
        </w:trPr>
        <w:tc>
          <w:tcPr>
            <w:tcW w:type="dxa" w:w="4824"/>
            <w:vAlign w:val="center"/>
            <w:shd w:fill="F7F9FB"/>
          </w:tcPr>
          <w:p>
            <w:pPr>
              <w:keepNext w:val="0"/>
              <w:spacing w:after="0" w:line="259" w:lineRule="auto"/>
            </w:pPr>
            <w:r>
              <w:rPr>
                <w:rFonts w:ascii="Arial" w:hAnsi="Arial" w:eastAsia="Arial"/>
                <w:b w:val="0"/>
                <w:color w:val="000000"/>
                <w:sz w:val="19"/>
              </w:rPr>
              <w:t>Verified local payment receipts</w:t>
            </w:r>
          </w:p>
        </w:tc>
        <w:tc>
          <w:tcPr>
            <w:tcW w:type="dxa" w:w="4910"/>
            <w:vAlign w:val="center"/>
            <w:shd w:fill="F7F9FB"/>
          </w:tcPr>
          <w:p>
            <w:pPr>
              <w:keepNext w:val="0"/>
              <w:spacing w:after="0" w:line="259" w:lineRule="auto"/>
            </w:pPr>
            <w:r>
              <w:rPr>
                <w:rFonts w:ascii="Arial" w:hAnsi="Arial" w:eastAsia="Arial"/>
                <w:b w:val="0"/>
                <w:color w:val="000000"/>
                <w:sz w:val="19"/>
              </w:rPr>
              <w:t>27 across independent case resets</w:t>
            </w:r>
          </w:p>
        </w:tc>
      </w:tr>
    </w:tbl>
    <w:p>
      <w:pPr>
        <w:spacing w:after="0"/>
      </w:pPr>
    </w:p>
    <w:p>
      <w:r>
        <w:t>Earlier failures informed repairs; v5 is a fixed-case regression, not untouched held-out accuracy. N13 recognized an already-paid bill but asked an unnecessary question and failed completion. It remains in the denominator; no duplicate transfer occurred. These results do not establish general PDF/OCR accuracy or unaided-model performance. Raw v5 run, analysis, cases and frozen settings are included in the ZIP. [E4]</w:t>
      </w:r>
    </w:p>
    <w:p>
      <w:pPr>
        <w:pStyle w:val="Heading2"/>
      </w:pPr>
      <w:r>
        <w:t>Comparison and software-check limits</w:t>
      </w:r>
    </w:p>
    <w:p>
      <w:r>
        <w:t>The automated manual baseline used 24 per-bill signatures; the agent workflow used 19 batch-approval signatures and 20 execution confirmations plus conversation. Timings excluded human reading/signing; no human time saving is established. A virtual-only 20-case hostile comparison had zero unauthorized outflow on both sides, so it did not measure incremental contract benefit. Independent direct-bypass tests cover contract enforcement. [E4]</w:t>
      </w:r>
    </w:p>
    <w:p>
      <w:r>
        <w:t>The isolated 19 October review passed 58 contract, 4 identity, 35 app, 59 agent, 9 evaluator, 11 local Sepolia-preparation and 19 browser checks. These overlap earlier suites and do not expand the 40-case denominator. Source tests can overwrite curated artifacts; reproduce them in an isolated copy. [E4]</w:t>
      </w:r>
    </w:p>
    <w:p>
      <w:pPr>
        <w:pStyle w:val="Heading2"/>
      </w:pPr>
      <w:r>
        <w:t>Hosted inspection checkpoint</w:t>
      </w:r>
    </w:p>
    <w:p>
      <w:r>
        <w:t>On 20 October, 16 hosting checks and matching Linux CI passed. Render browser sign-in/out and an actual restart retained three reviewed bills and two original confirmed receipts in encrypted Neon storage. The recorded vault balance was 650 MDT and policy 7 remained revoked. This is persistence/access evidence, not a new payment or model-evaluation run. [E5]</w:t>
      </w:r>
    </w:p>
    <w:p>
      <w:r>
        <w:br w:type="page"/>
      </w:r>
    </w:p>
    <w:p>
      <w:pPr>
        <w:pStyle w:val="Heading1"/>
      </w:pPr>
      <w:r>
        <w:t>03 Reproduction Guide</w:t>
      </w:r>
    </w:p>
    <w:p>
      <w:pPr>
        <w:pStyle w:val="Heading2"/>
      </w:pPr>
      <w:r>
        <w:t>Verify the archive and transaction evidence</w:t>
      </w:r>
    </w:p>
    <w:p>
      <w:r>
        <w:t>Extract Mandate-Transaction-Logs.zip. Start with README.md, transaction-register.csv and receipt-index.json. SHA256SUMS.txt and manifest.json identify every archive entry. Original saved evidence bytes retain their repository paths. Historical embedded paths resolve through evidence/locations.json; code referenced by freezes belongs to the separate source deliverable.</w:t>
      </w:r>
    </w:p>
    <w:p>
      <w:r>
        <w:t>Open each register explorer link and compare Sepolia network, original hash, receipt status, block number/hash and sender/target. For supplier payments, verify the exact MDT Transfer and BillPaid key, recipient, amount and policy 6. For the owner stop, verify AgentRevoked and PolicyChanged(7). A deployment receipt or approval alone is not supplier-payment proof.</w:t>
      </w:r>
    </w:p>
    <w:p>
      <w:r>
        <w:t>Eleven transactions have detailed saved receipt payloads with logs. Token/vault deployment receipts are preserved as summaries in the original export; a 20 October read-only RPC lookup returned HTTP 403, so no new detailed copy is claimed. receipt-index.json distinguishes both formats and points to the original file/JSON location. Explorer links support further independent checks.</w:t>
      </w:r>
    </w:p>
    <w:p>
      <w:pPr>
        <w:pStyle w:val="Heading2"/>
      </w:pPr>
      <w:r>
        <w:t>Inspect the hosted records</w:t>
      </w:r>
    </w:p>
    <w:p>
      <w:pPr>
        <w:spacing w:after="100"/>
      </w:pPr>
      <w:hyperlink r:id="rId27">
        <w:r>
          <w:rPr>
            <w:rFonts w:ascii="Arial" w:hAnsi="Arial"/>
            <w:color w:val="174A76"/>
            <w:sz w:val="19"/>
          </w:rPr>
          <w:t>Open Mandate</w:t>
        </w:r>
      </w:hyperlink>
    </w:p>
    <w:p>
      <w:r>
        <w:t>Follow competition/JUDGE_REVIEW.md for the inspection route and private access. The record is historical; a new UTC day changes the displayed daily allowance. [E5]</w:t>
      </w:r>
    </w:p>
    <w:p>
      <w:pPr>
        <w:pStyle w:val="Heading2"/>
      </w:pPr>
      <w:r>
        <w:t>Reproduce locally</w:t>
      </w:r>
    </w:p>
    <w:p>
      <w:r>
        <w:t>Use the Technical Report’s Implementation and Setup section, then the source README for complete check commands. Run in a fresh extraction so generated tests cannot overwrite curated evidence. The manual demonstration is labeled scripted; live-model performance is established by the saved evaluation, not a fresh local replay. [E4]</w:t>
      </w:r>
    </w:p>
    <w:p>
      <w:pPr>
        <w:pStyle w:val="Heading2"/>
      </w:pPr>
      <w:r>
        <w:t>Evidence sources and retained limits</w:t>
      </w:r>
    </w:p>
    <w:p>
      <w:pPr>
        <w:spacing w:line="252" w:lineRule="auto" w:after="140"/>
      </w:pPr>
      <w:r>
        <w:rPr>
          <w:rFonts w:ascii="Arial" w:hAnsi="Arial" w:eastAsia="Arial"/>
          <w:b w:val="0"/>
          <w:color w:val="000000"/>
          <w:sz w:val="18"/>
        </w:rPr>
        <w:t>[E1] evidence/sepolia/public/step5-sepolia-2026-10-19T15-52-14-777Z.json and step5-sepolia-export-verification.json. Audit: 19 October 15:53:34.155 UTC. Export SHA-256: fb8ee64852392ce7c99255ba1520427ed7fc0899c692baec8779c8ed358331b7</w:t>
      </w:r>
    </w:p>
    <w:p>
      <w:pPr>
        <w:spacing w:line="252" w:lineRule="auto" w:after="140"/>
      </w:pPr>
      <w:r>
        <w:rPr>
          <w:rFonts w:ascii="Arial" w:hAnsi="Arial" w:eastAsia="Arial"/>
          <w:b w:val="0"/>
          <w:color w:val="000000"/>
          <w:sz w:val="18"/>
        </w:rPr>
        <w:t>[E2] Original public JSON files in evidence/sepolia/public/: setup/recovery, owner review, bill approval, Resume, read-only/clarification/plan, payments and revocation. Full filenames and hashes are in the ZIP manifest.</w:t>
      </w:r>
    </w:p>
    <w:p>
      <w:pPr>
        <w:spacing w:line="252" w:lineRule="auto" w:after="140"/>
      </w:pPr>
      <w:r>
        <w:rPr>
          <w:rFonts w:ascii="Arial" w:hAnsi="Arial" w:eastAsia="Arial"/>
          <w:b w:val="0"/>
          <w:color w:val="000000"/>
          <w:sz w:val="18"/>
        </w:rPr>
        <w:t>[E3] transaction-register.json/CSV and receipt-index.json in the ZIP are derived navigation records, not altered originals. [E4] demo/cases.json, demo/evaluation-freeze-groq-v5.json, v5 raw run/analysis and evidence/maintenance/2026-10-19/full-review/. [E5] evidence/hosting/2026-10-20/live/restart-verification.json and reviewer-access/access-verification.json; hosting CI logs. All are indexed in the ZIP.</w:t>
      </w:r>
    </w:p>
    <w:p>
      <w:r>
        <w:t>Original records can contain earlier pending flags or CLI extension-test defaults. Later dated verifications establish the final outcome. Sepolia acceptance and final submission remain pending.</w:t>
      </w:r>
    </w:p>
    <w:sectPr w:rsidR="00FC693F" w:rsidRPr="0006063C" w:rsidSect="00034616">
      <w:headerReference w:type="first" r:id="rId9"/>
      <w:footerReference w:type="default" r:id="rId10"/>
      <w:pgSz w:w="12240" w:h="15840"/>
      <w:pgMar w:top="979" w:right="1253" w:bottom="979" w:left="1253" w:header="72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55555"/>
        <w:sz w:val="17"/>
      </w:rPr>
      <w:t xml:space="preserve">Mandate  |  ChainSentinel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a:graphic xmlns:a="http://schemas.openxmlformats.org/drawingml/2006/main" xmlns:pic="http://schemas.openxmlformats.org/drawingml/2006/picture">
            <a:graphicData uri="http://schemas.openxmlformats.org/drawingml/2006/picture">
              <pic:pic>
                <pic:nvPicPr>
                  <pic:cNvPr id="0" name="cover-background.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sepolia.etherscan.io/address/0x61E52ad4912FA0f829d0f1B0571aBc3bc157Ba88" TargetMode="External"/><Relationship Id="rId13" Type="http://schemas.openxmlformats.org/officeDocument/2006/relationships/hyperlink" Target="https://sepolia.etherscan.io/address/0x1E2bC947b455DE5825caDE9D44e7Ec04B8B76f89" TargetMode="External"/><Relationship Id="rId14" Type="http://schemas.openxmlformats.org/officeDocument/2006/relationships/hyperlink" Target="https://sepolia.etherscan.io/tx/0xd79c6a0fc89ec8440e71350f84145f51addb3b00a8d923070b23c06592b73d39" TargetMode="External"/><Relationship Id="rId15" Type="http://schemas.openxmlformats.org/officeDocument/2006/relationships/hyperlink" Target="https://sepolia.etherscan.io/tx/0x2b53c38d45a186ef647ead9ac6f361839ad9f860150e6fa451370de20b2081e3" TargetMode="External"/><Relationship Id="rId16" Type="http://schemas.openxmlformats.org/officeDocument/2006/relationships/hyperlink" Target="https://sepolia.etherscan.io/tx/0x715e2f6bf7da5e87946c0f27bdc5bc786339259c7686d438b74fe2017f657bf1" TargetMode="External"/><Relationship Id="rId17" Type="http://schemas.openxmlformats.org/officeDocument/2006/relationships/hyperlink" Target="https://sepolia.etherscan.io/tx/0xac511b822fc144485938651b88365b0216ae5deb03241c5de318f7c32078ee14" TargetMode="External"/><Relationship Id="rId18" Type="http://schemas.openxmlformats.org/officeDocument/2006/relationships/hyperlink" Target="https://sepolia.etherscan.io/tx/0x5ee96ac9a18b63d8f605947746c2bb5180f9273c6af433df73381cd533f5fb60" TargetMode="External"/><Relationship Id="rId19" Type="http://schemas.openxmlformats.org/officeDocument/2006/relationships/hyperlink" Target="https://sepolia.etherscan.io/tx/0x1a46a18cfe200fdc8416ce38ae5ee461159a4317da183afe62a9dd9f30145110" TargetMode="External"/><Relationship Id="rId20" Type="http://schemas.openxmlformats.org/officeDocument/2006/relationships/hyperlink" Target="https://sepolia.etherscan.io/tx/0x2c53a2312596cfe2a378b7d53f18291be343fa3839712a6651eaf7c6ea45d82f" TargetMode="External"/><Relationship Id="rId21" Type="http://schemas.openxmlformats.org/officeDocument/2006/relationships/hyperlink" Target="https://sepolia.etherscan.io/tx/0xf4d18e790a061f97025fd07e7d087118d9fa2d70f751d653d885d60a927e85e3" TargetMode="External"/><Relationship Id="rId22" Type="http://schemas.openxmlformats.org/officeDocument/2006/relationships/hyperlink" Target="https://sepolia.etherscan.io/tx/0x9cdbddee454d4b5b48de87ccec7177490406fd471e363d6738b5a35b8b97f5a3" TargetMode="External"/><Relationship Id="rId23" Type="http://schemas.openxmlformats.org/officeDocument/2006/relationships/hyperlink" Target="https://sepolia.etherscan.io/tx/0xfc7bd570cc2bcb407283eff73c99444124491126a92975021e966d23d724a63c" TargetMode="External"/><Relationship Id="rId24" Type="http://schemas.openxmlformats.org/officeDocument/2006/relationships/hyperlink" Target="https://sepolia.etherscan.io/tx/0xa35b0bd2785c1b9272e571d2a5197eb5530089151c6b8e751935b02941931ba4" TargetMode="External"/><Relationship Id="rId25" Type="http://schemas.openxmlformats.org/officeDocument/2006/relationships/hyperlink" Target="https://sepolia.etherscan.io/tx/0x37ba350085b7cf15423745251aa71c8530c7c5915493534663f7eb0a46029ac9" TargetMode="External"/><Relationship Id="rId26" Type="http://schemas.openxmlformats.org/officeDocument/2006/relationships/hyperlink" Target="https://sepolia.etherscan.io/tx/0xa6a4665cdfe4e0e44e8e08103ef8e943d8ac05fcbe432fef225e940c1dcb60e0" TargetMode="External"/><Relationship Id="rId27" Type="http://schemas.openxmlformats.org/officeDocument/2006/relationships/hyperlink" Target="https://chainsentinel-mandate.onrend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Mandate Transaction Logs and Execution Evidence</dc:title>
  <dc:subject>International Track Topic F Agent Wallet</dc:subject>
  <dc:creator>ChainSentinel</dc:creator>
  <cp:keywords>Mandate, ChainSentinel, Agent Wallet, Sepolia</cp:keywords>
  <dc:description/>
  <cp:lastModifiedBy/>
  <cp:revision>1</cp:revision>
  <dcterms:created xsi:type="dcterms:W3CDTF">2013-12-23T23:15:00Z</dcterms:created>
  <dcterms:modified xsi:type="dcterms:W3CDTF">2013-12-23T23:15:00Z</dcterms:modified>
  <cp:category/>
</cp:coreProperties>
</file>