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5DA5A" w14:textId="0109E958" w:rsidR="00A3455B" w:rsidRPr="00860D98" w:rsidRDefault="001908D3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 xml:space="preserve">The first Null hypothesis </w:t>
      </w:r>
      <w:r w:rsidR="008C7BAE" w:rsidRPr="00860D98">
        <w:rPr>
          <w:sz w:val="20"/>
          <w:szCs w:val="20"/>
        </w:rPr>
        <w:t>was</w:t>
      </w:r>
      <w:r w:rsidRPr="00860D98">
        <w:rPr>
          <w:sz w:val="20"/>
          <w:szCs w:val="20"/>
        </w:rPr>
        <w:t xml:space="preserve"> tested was</w:t>
      </w:r>
      <w:r w:rsidR="00F224EC" w:rsidRPr="00860D98">
        <w:rPr>
          <w:sz w:val="20"/>
          <w:szCs w:val="20"/>
        </w:rPr>
        <w:t xml:space="preserve">: the is no difference between the total contributions that an incumbent gets and one that a challenger gets. We used our Merged Data set without outliers. We preformed a </w:t>
      </w:r>
      <w:r w:rsidR="00F224EC" w:rsidRPr="00860D98">
        <w:rPr>
          <w:b/>
          <w:sz w:val="20"/>
          <w:szCs w:val="20"/>
        </w:rPr>
        <w:t>student t-test</w:t>
      </w:r>
      <w:r w:rsidR="00F224EC" w:rsidRPr="00860D98">
        <w:rPr>
          <w:sz w:val="20"/>
          <w:szCs w:val="20"/>
        </w:rPr>
        <w:t xml:space="preserve"> (not pairwise) to test this null hypothesis. We got a p-value of &lt; 2.2e-16 and given that that this a social science analysis, the threshold should be .05. The p-value crosses this threshold and is well in the rejection region, so the p-value of extremely significant. So we reject the null hypothesis in favor of the alternative which is that there is a difference. Given the mean of the two categories of contributions, it is clear that the incumbent has a higher amount of the contributions compared to the challenger. This is also veri</w:t>
      </w:r>
      <w:r w:rsidR="00030848" w:rsidRPr="00860D98">
        <w:rPr>
          <w:sz w:val="20"/>
          <w:szCs w:val="20"/>
        </w:rPr>
        <w:t>fiable when compared to the association rules.</w:t>
      </w:r>
    </w:p>
    <w:p w14:paraId="40BBADD7" w14:textId="77777777" w:rsidR="00A3455B" w:rsidRPr="00860D98" w:rsidRDefault="00A3455B" w:rsidP="00A3455B">
      <w:pPr>
        <w:ind w:firstLine="720"/>
        <w:rPr>
          <w:sz w:val="20"/>
          <w:szCs w:val="20"/>
        </w:rPr>
      </w:pPr>
    </w:p>
    <w:p w14:paraId="016C56E6" w14:textId="344E5434" w:rsidR="00941018" w:rsidRPr="00860D98" w:rsidRDefault="00B808C0" w:rsidP="00941018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>The Second Null hypothes</w:t>
      </w:r>
      <w:r w:rsidR="008C7BAE" w:rsidRPr="00860D98">
        <w:rPr>
          <w:sz w:val="20"/>
          <w:szCs w:val="20"/>
        </w:rPr>
        <w:t>is that</w:t>
      </w:r>
      <w:r w:rsidR="00F224EC" w:rsidRPr="00860D98">
        <w:rPr>
          <w:sz w:val="20"/>
          <w:szCs w:val="20"/>
        </w:rPr>
        <w:t xml:space="preserve"> </w:t>
      </w:r>
      <w:r w:rsidR="008C7BAE" w:rsidRPr="00860D98">
        <w:rPr>
          <w:sz w:val="20"/>
          <w:szCs w:val="20"/>
        </w:rPr>
        <w:t xml:space="preserve">tested involved a </w:t>
      </w:r>
      <w:r w:rsidR="008C7BAE" w:rsidRPr="00860D98">
        <w:rPr>
          <w:b/>
          <w:sz w:val="20"/>
          <w:szCs w:val="20"/>
        </w:rPr>
        <w:t>logistic regression mod</w:t>
      </w:r>
      <w:r w:rsidR="003C1B26" w:rsidRPr="00860D98">
        <w:rPr>
          <w:b/>
          <w:sz w:val="20"/>
          <w:szCs w:val="20"/>
        </w:rPr>
        <w:t>el</w:t>
      </w:r>
      <w:r w:rsidR="003C1B26" w:rsidRPr="00860D98">
        <w:rPr>
          <w:sz w:val="20"/>
          <w:szCs w:val="20"/>
        </w:rPr>
        <w:t xml:space="preserve">. </w:t>
      </w:r>
      <w:r w:rsidR="001564E2" w:rsidRPr="00860D98">
        <w:rPr>
          <w:sz w:val="20"/>
          <w:szCs w:val="20"/>
        </w:rPr>
        <w:t xml:space="preserve">The idea behind the model is to predict who the winner will be based on the Total amount of money raised and the Number of supporting industries. </w:t>
      </w:r>
      <w:r w:rsidR="00F07E78" w:rsidRPr="00860D98">
        <w:rPr>
          <w:sz w:val="20"/>
          <w:szCs w:val="20"/>
        </w:rPr>
        <w:t>From the confusion matrix, we know the following. The Precision of the model is 0.8125881, the recall is 0.8662994, is F-measure is 0.8385846</w:t>
      </w:r>
      <w:r w:rsidR="00C95DFE" w:rsidRPr="00860D98">
        <w:rPr>
          <w:sz w:val="20"/>
          <w:szCs w:val="20"/>
        </w:rPr>
        <w:t>.</w:t>
      </w:r>
      <w:r w:rsidR="00BD16DA" w:rsidRPr="00860D98">
        <w:rPr>
          <w:sz w:val="20"/>
          <w:szCs w:val="20"/>
        </w:rPr>
        <w:t xml:space="preserve"> Below are the ROC plots of both variables. </w:t>
      </w:r>
    </w:p>
    <w:p w14:paraId="2CBA78A9" w14:textId="77777777" w:rsidR="00C95DFE" w:rsidRPr="00860D98" w:rsidRDefault="00C95DFE" w:rsidP="00A3455B">
      <w:pPr>
        <w:ind w:firstLine="720"/>
        <w:rPr>
          <w:sz w:val="20"/>
          <w:szCs w:val="20"/>
        </w:rPr>
      </w:pPr>
    </w:p>
    <w:p w14:paraId="723D1515" w14:textId="304F63D1" w:rsidR="00B64E55" w:rsidRPr="00860D98" w:rsidRDefault="008C7BAE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 xml:space="preserve"> </w:t>
      </w:r>
      <w:r w:rsidR="00BD16DA" w:rsidRPr="00860D98">
        <w:rPr>
          <w:noProof/>
          <w:sz w:val="20"/>
          <w:szCs w:val="20"/>
        </w:rPr>
        <w:drawing>
          <wp:inline distT="0" distB="0" distL="0" distR="0" wp14:anchorId="7FD47F73" wp14:editId="51784C12">
            <wp:extent cx="2181209" cy="2745740"/>
            <wp:effectExtent l="0" t="0" r="3810" b="0"/>
            <wp:docPr id="1" name="Picture 1" descr="ROC%20Candtot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%20Candtota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26" cy="275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6DA" w:rsidRPr="00860D98">
        <w:rPr>
          <w:noProof/>
          <w:sz w:val="20"/>
          <w:szCs w:val="20"/>
        </w:rPr>
        <w:drawing>
          <wp:inline distT="0" distB="0" distL="0" distR="0" wp14:anchorId="19A614F3" wp14:editId="51927ED1">
            <wp:extent cx="2125183" cy="2675214"/>
            <wp:effectExtent l="0" t="0" r="8890" b="0"/>
            <wp:docPr id="2" name="Picture 2" descr="ROC%20Number%20of%20Industr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C%20Number%20of%20Industri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58" cy="274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0D88" w14:textId="77777777" w:rsidR="00941018" w:rsidRPr="00860D98" w:rsidRDefault="00502FA3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>From the ROC curved, it seems like the logistic model predicts many false positives.</w:t>
      </w:r>
      <w:r w:rsidR="00CB1DF1" w:rsidRPr="00860D98">
        <w:rPr>
          <w:sz w:val="20"/>
          <w:szCs w:val="20"/>
        </w:rPr>
        <w:t xml:space="preserve"> This could signify that the model maybe be over fitting. This is probably because the model is predicting the values based upon itself.</w:t>
      </w:r>
      <w:r w:rsidR="00941018" w:rsidRPr="00860D98">
        <w:rPr>
          <w:sz w:val="20"/>
          <w:szCs w:val="20"/>
        </w:rPr>
        <w:t xml:space="preserve"> As excepted, the total amount of money raised seems to have a bigger impact on accuracy as opposed to Number of Industries.</w:t>
      </w:r>
    </w:p>
    <w:p w14:paraId="008B4A34" w14:textId="77777777" w:rsidR="00941018" w:rsidRPr="00860D98" w:rsidRDefault="00941018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>Confusion Matrix:</w:t>
      </w:r>
    </w:p>
    <w:tbl>
      <w:tblPr>
        <w:tblStyle w:val="TableGrid"/>
        <w:tblW w:w="0" w:type="auto"/>
        <w:tblInd w:w="2524" w:type="dxa"/>
        <w:tblLook w:val="04A0" w:firstRow="1" w:lastRow="0" w:firstColumn="1" w:lastColumn="0" w:noHBand="0" w:noVBand="1"/>
      </w:tblPr>
      <w:tblGrid>
        <w:gridCol w:w="923"/>
        <w:gridCol w:w="924"/>
        <w:gridCol w:w="924"/>
      </w:tblGrid>
      <w:tr w:rsidR="00941018" w:rsidRPr="00860D98" w14:paraId="456287DF" w14:textId="77777777" w:rsidTr="00941018">
        <w:trPr>
          <w:trHeight w:val="287"/>
        </w:trPr>
        <w:tc>
          <w:tcPr>
            <w:tcW w:w="923" w:type="dxa"/>
          </w:tcPr>
          <w:p w14:paraId="76EC2C71" w14:textId="77777777" w:rsidR="00941018" w:rsidRPr="00860D98" w:rsidRDefault="00941018" w:rsidP="009410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</w:tcPr>
          <w:p w14:paraId="5D71D3CD" w14:textId="07BC3E0D" w:rsidR="00941018" w:rsidRPr="00860D98" w:rsidRDefault="00E65E99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lose</w:t>
            </w:r>
          </w:p>
        </w:tc>
        <w:tc>
          <w:tcPr>
            <w:tcW w:w="924" w:type="dxa"/>
          </w:tcPr>
          <w:p w14:paraId="72D736E9" w14:textId="6AD9CF7B" w:rsidR="00941018" w:rsidRPr="00860D98" w:rsidRDefault="00E65E99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win</w:t>
            </w:r>
          </w:p>
        </w:tc>
      </w:tr>
      <w:tr w:rsidR="00941018" w:rsidRPr="00860D98" w14:paraId="7AE8C734" w14:textId="77777777" w:rsidTr="00941018">
        <w:trPr>
          <w:trHeight w:val="248"/>
        </w:trPr>
        <w:tc>
          <w:tcPr>
            <w:tcW w:w="923" w:type="dxa"/>
          </w:tcPr>
          <w:p w14:paraId="70036055" w14:textId="4C55A509" w:rsidR="00941018" w:rsidRPr="00860D98" w:rsidRDefault="00E65E99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Lose</w:t>
            </w:r>
          </w:p>
        </w:tc>
        <w:tc>
          <w:tcPr>
            <w:tcW w:w="924" w:type="dxa"/>
          </w:tcPr>
          <w:p w14:paraId="4C93936A" w14:textId="6D195BFE" w:rsidR="00941018" w:rsidRPr="00860D98" w:rsidRDefault="00941018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1273</w:t>
            </w:r>
          </w:p>
        </w:tc>
        <w:tc>
          <w:tcPr>
            <w:tcW w:w="924" w:type="dxa"/>
          </w:tcPr>
          <w:p w14:paraId="548B3122" w14:textId="295889A2" w:rsidR="00941018" w:rsidRPr="00860D98" w:rsidRDefault="00941018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399</w:t>
            </w:r>
          </w:p>
        </w:tc>
      </w:tr>
      <w:tr w:rsidR="00941018" w:rsidRPr="00860D98" w14:paraId="67658B13" w14:textId="77777777" w:rsidTr="00941018">
        <w:trPr>
          <w:trHeight w:val="233"/>
        </w:trPr>
        <w:tc>
          <w:tcPr>
            <w:tcW w:w="923" w:type="dxa"/>
          </w:tcPr>
          <w:p w14:paraId="4F2F1EA2" w14:textId="512B68B6" w:rsidR="00941018" w:rsidRPr="00860D98" w:rsidRDefault="00E65E99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win</w:t>
            </w:r>
          </w:p>
        </w:tc>
        <w:tc>
          <w:tcPr>
            <w:tcW w:w="924" w:type="dxa"/>
          </w:tcPr>
          <w:p w14:paraId="5DB719B9" w14:textId="6350BBD4" w:rsidR="00941018" w:rsidRPr="00860D98" w:rsidRDefault="00941018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267</w:t>
            </w:r>
          </w:p>
        </w:tc>
        <w:tc>
          <w:tcPr>
            <w:tcW w:w="924" w:type="dxa"/>
          </w:tcPr>
          <w:p w14:paraId="5462A51F" w14:textId="07226F12" w:rsidR="00941018" w:rsidRPr="00860D98" w:rsidRDefault="00941018" w:rsidP="00A3455B">
            <w:pPr>
              <w:rPr>
                <w:sz w:val="20"/>
                <w:szCs w:val="20"/>
              </w:rPr>
            </w:pPr>
            <w:r w:rsidRPr="00860D98">
              <w:rPr>
                <w:sz w:val="20"/>
                <w:szCs w:val="20"/>
              </w:rPr>
              <w:t>1730</w:t>
            </w:r>
          </w:p>
        </w:tc>
      </w:tr>
    </w:tbl>
    <w:p w14:paraId="30BD8AF7" w14:textId="7AAA6E26" w:rsidR="00502FA3" w:rsidRPr="00860D98" w:rsidRDefault="00941018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 xml:space="preserve"> </w:t>
      </w:r>
    </w:p>
    <w:p w14:paraId="1735742D" w14:textId="02906457" w:rsidR="00E65E99" w:rsidRPr="00860D98" w:rsidRDefault="00E65E99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 xml:space="preserve">When running the decision three algorithm, the actual make-up of the candidate total was looks at in attempting to predict election winners. The Null hypothesis was that the nth number of total contribution had no effect of if a candidate won. By applying the decision tree, it became clear that the first ranked industry contributor </w:t>
      </w:r>
      <w:r w:rsidR="00F0067A" w:rsidRPr="00860D98">
        <w:rPr>
          <w:sz w:val="20"/>
          <w:szCs w:val="20"/>
        </w:rPr>
        <w:t>total that more effect.</w:t>
      </w:r>
      <w:r w:rsidR="00CE123B" w:rsidRPr="00860D98">
        <w:rPr>
          <w:sz w:val="20"/>
          <w:szCs w:val="20"/>
        </w:rPr>
        <w:t xml:space="preserve"> However, it’s interesting to note from the results, that rank five also had an effect of winner ability.</w:t>
      </w:r>
    </w:p>
    <w:p w14:paraId="6D7B5339" w14:textId="77777777" w:rsidR="00196DE0" w:rsidRPr="00860D98" w:rsidRDefault="00196DE0" w:rsidP="00A3455B">
      <w:pPr>
        <w:ind w:firstLine="720"/>
        <w:rPr>
          <w:sz w:val="20"/>
          <w:szCs w:val="20"/>
        </w:rPr>
      </w:pPr>
    </w:p>
    <w:p w14:paraId="2F34B236" w14:textId="49D9FD1C" w:rsidR="00196DE0" w:rsidRPr="00860D98" w:rsidRDefault="00196DE0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t xml:space="preserve">A </w:t>
      </w:r>
      <w:r w:rsidRPr="00860D98">
        <w:rPr>
          <w:b/>
          <w:sz w:val="20"/>
          <w:szCs w:val="20"/>
        </w:rPr>
        <w:t>third hypothesis</w:t>
      </w:r>
      <w:r w:rsidRPr="00860D98">
        <w:rPr>
          <w:sz w:val="20"/>
          <w:szCs w:val="20"/>
        </w:rPr>
        <w:t xml:space="preserve"> </w:t>
      </w:r>
      <w:r w:rsidR="00742DAF" w:rsidRPr="00860D98">
        <w:rPr>
          <w:sz w:val="20"/>
          <w:szCs w:val="20"/>
        </w:rPr>
        <w:t xml:space="preserve">that we tested using </w:t>
      </w:r>
      <w:r w:rsidR="00617776" w:rsidRPr="00860D98">
        <w:rPr>
          <w:sz w:val="20"/>
          <w:szCs w:val="20"/>
        </w:rPr>
        <w:t xml:space="preserve">the decision tree </w:t>
      </w:r>
      <w:r w:rsidRPr="00860D98">
        <w:rPr>
          <w:sz w:val="20"/>
          <w:szCs w:val="20"/>
        </w:rPr>
        <w:t>was that the incumbency status of a candidate should not affect whether or not the candidate would win. From the results of the decision tree, it became clear that in</w:t>
      </w:r>
      <w:r w:rsidR="008722DC" w:rsidRPr="00860D98">
        <w:rPr>
          <w:sz w:val="20"/>
          <w:szCs w:val="20"/>
        </w:rPr>
        <w:t>cumbency status has any effect on who wins.</w:t>
      </w:r>
      <w:r w:rsidR="00413631" w:rsidRPr="00860D98">
        <w:rPr>
          <w:sz w:val="20"/>
          <w:szCs w:val="20"/>
        </w:rPr>
        <w:t xml:space="preserve"> The Decision Tree also expanded the first hypothesis by showing that the Total amount of contributions has an affect on. </w:t>
      </w:r>
      <w:r w:rsidR="00072FF1" w:rsidRPr="00860D98">
        <w:rPr>
          <w:sz w:val="20"/>
          <w:szCs w:val="20"/>
        </w:rPr>
        <w:t>In addition, t</w:t>
      </w:r>
      <w:r w:rsidR="00413631" w:rsidRPr="00860D98">
        <w:rPr>
          <w:sz w:val="20"/>
          <w:szCs w:val="20"/>
        </w:rPr>
        <w:t xml:space="preserve">he Tree confirmed that the yrpercentchange variable has no effect on whether a candidate wins or loses.  </w:t>
      </w:r>
    </w:p>
    <w:p w14:paraId="46557004" w14:textId="77777777" w:rsidR="00F24C98" w:rsidRPr="00860D98" w:rsidRDefault="00F24C98" w:rsidP="00A3455B">
      <w:pPr>
        <w:ind w:firstLine="720"/>
        <w:rPr>
          <w:sz w:val="20"/>
          <w:szCs w:val="20"/>
        </w:rPr>
      </w:pPr>
    </w:p>
    <w:p w14:paraId="56B734D3" w14:textId="4D7267A8" w:rsidR="00F24C98" w:rsidRPr="00860D98" w:rsidRDefault="00F24C98" w:rsidP="00A3455B">
      <w:pPr>
        <w:ind w:firstLine="720"/>
        <w:rPr>
          <w:sz w:val="20"/>
          <w:szCs w:val="20"/>
        </w:rPr>
      </w:pPr>
      <w:r w:rsidRPr="00860D98">
        <w:rPr>
          <w:sz w:val="20"/>
          <w:szCs w:val="20"/>
        </w:rPr>
        <w:lastRenderedPageBreak/>
        <w:t>From Cross Validating the Decision Tree</w:t>
      </w:r>
    </w:p>
    <w:tbl>
      <w:tblPr>
        <w:tblW w:w="9351" w:type="dxa"/>
        <w:tblInd w:w="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2973"/>
        <w:gridCol w:w="1280"/>
        <w:gridCol w:w="1080"/>
        <w:gridCol w:w="810"/>
        <w:gridCol w:w="990"/>
        <w:gridCol w:w="1080"/>
      </w:tblGrid>
      <w:tr w:rsidR="00F24C98" w:rsidRPr="00860D98" w14:paraId="0DD701F5" w14:textId="77777777" w:rsidTr="00113A7F">
        <w:trPr>
          <w:trHeight w:val="320"/>
        </w:trPr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4F931A36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 xml:space="preserve">tree model </w:t>
            </w:r>
          </w:p>
        </w:tc>
        <w:tc>
          <w:tcPr>
            <w:tcW w:w="2973" w:type="dxa"/>
            <w:shd w:val="clear" w:color="auto" w:fill="auto"/>
            <w:noWrap/>
            <w:vAlign w:val="bottom"/>
            <w:hideMark/>
          </w:tcPr>
          <w:p w14:paraId="59617C55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confusion matrix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BEBA63E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55586F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72E9834" w14:textId="77777777" w:rsidR="00F24C98" w:rsidRPr="00860D98" w:rsidRDefault="00F24C98" w:rsidP="00113A7F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91E2BA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false positive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B3B942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true positive</w:t>
            </w:r>
          </w:p>
        </w:tc>
      </w:tr>
      <w:tr w:rsidR="00F24C98" w:rsidRPr="00860D98" w14:paraId="107CAAC5" w14:textId="77777777" w:rsidTr="00113A7F">
        <w:trPr>
          <w:trHeight w:val="960"/>
        </w:trPr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0C72BEF1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run1</w:t>
            </w:r>
          </w:p>
        </w:tc>
        <w:tc>
          <w:tcPr>
            <w:tcW w:w="2973" w:type="dxa"/>
            <w:shd w:val="clear" w:color="auto" w:fill="auto"/>
            <w:vAlign w:val="bottom"/>
            <w:hideMark/>
          </w:tcPr>
          <w:p w14:paraId="2913DA1A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 xml:space="preserve">tree_predict_after_prune   </w:t>
            </w:r>
          </w:p>
          <w:p w14:paraId="79A2D3E9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                        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t>L   W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 L                    222  15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br/>
              <w:t>W                    45 258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6A881E2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BBF33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132EA5C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>300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955954D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0.150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D888F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0.850</w:t>
            </w:r>
          </w:p>
        </w:tc>
      </w:tr>
      <w:tr w:rsidR="00F24C98" w:rsidRPr="00860D98" w14:paraId="40079675" w14:textId="77777777" w:rsidTr="00113A7F">
        <w:trPr>
          <w:trHeight w:val="1160"/>
        </w:trPr>
        <w:tc>
          <w:tcPr>
            <w:tcW w:w="1138" w:type="dxa"/>
            <w:shd w:val="clear" w:color="auto" w:fill="auto"/>
            <w:noWrap/>
            <w:vAlign w:val="bottom"/>
            <w:hideMark/>
          </w:tcPr>
          <w:p w14:paraId="19B012B9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run2</w:t>
            </w:r>
          </w:p>
        </w:tc>
        <w:tc>
          <w:tcPr>
            <w:tcW w:w="2973" w:type="dxa"/>
            <w:shd w:val="clear" w:color="auto" w:fill="auto"/>
            <w:vAlign w:val="bottom"/>
            <w:hideMark/>
          </w:tcPr>
          <w:p w14:paraId="12CAFDCE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  <w:lang w:eastAsia="zh-CN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 xml:space="preserve">tree_predict_after_prune   </w:t>
            </w:r>
          </w:p>
          <w:p w14:paraId="10777CF7" w14:textId="77777777" w:rsidR="00F24C98" w:rsidRPr="00860D98" w:rsidRDefault="00F24C98" w:rsidP="00113A7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                         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t>L   W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L                   </w:t>
            </w:r>
            <w:r w:rsidRPr="00860D98">
              <w:rPr>
                <w:rFonts w:eastAsia="Times New Roman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t>204  14</w:t>
            </w:r>
            <w:r w:rsidRPr="00860D98">
              <w:rPr>
                <w:rFonts w:eastAsia="Times New Roman"/>
                <w:color w:val="000000"/>
                <w:sz w:val="20"/>
                <w:szCs w:val="20"/>
              </w:rPr>
              <w:br/>
              <w:t>W                     44 278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301BAE3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6B8849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0.096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C5808A0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484FAD21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B19E03" w14:textId="77777777" w:rsidR="00F24C98" w:rsidRPr="00860D98" w:rsidRDefault="00F24C98" w:rsidP="00113A7F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860D98">
              <w:rPr>
                <w:rFonts w:eastAsia="Times New Roman"/>
                <w:color w:val="000000"/>
                <w:sz w:val="20"/>
                <w:szCs w:val="20"/>
              </w:rPr>
              <w:t>0.863</w:t>
            </w:r>
          </w:p>
        </w:tc>
      </w:tr>
    </w:tbl>
    <w:p w14:paraId="7E23D746" w14:textId="39E5D383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="Helvetica"/>
          <w:sz w:val="20"/>
          <w:szCs w:val="20"/>
          <w:lang w:eastAsia="zh-CN"/>
        </w:rPr>
      </w:pPr>
    </w:p>
    <w:p w14:paraId="57009D45" w14:textId="72BCB5D9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 xml:space="preserve">After running the decision tree </w:t>
      </w:r>
      <w:r w:rsidRPr="00860D98">
        <w:rPr>
          <w:rFonts w:cs="Helvetica"/>
          <w:sz w:val="20"/>
          <w:szCs w:val="20"/>
          <w:lang w:eastAsia="zh-CN"/>
        </w:rPr>
        <w:t>10 times, the mean(accuracy</w:t>
      </w:r>
      <w:r w:rsidR="00835B0C" w:rsidRPr="00860D98">
        <w:rPr>
          <w:rFonts w:cs="Helvetica"/>
          <w:sz w:val="20"/>
          <w:szCs w:val="20"/>
          <w:lang w:eastAsia="zh-CN"/>
        </w:rPr>
        <w:t xml:space="preserve"> of predicting a winner</w:t>
      </w:r>
      <w:r w:rsidRPr="00860D98">
        <w:rPr>
          <w:rFonts w:cs="Helvetica"/>
          <w:sz w:val="20"/>
          <w:szCs w:val="20"/>
          <w:lang w:eastAsia="zh-CN"/>
        </w:rPr>
        <w:t xml:space="preserve">) is 0.881 and variance is 0.105, </w:t>
      </w:r>
    </w:p>
    <w:p w14:paraId="4D9E54A8" w14:textId="77777777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1C19F700" w14:textId="74C7D24D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sz w:val="20"/>
          <w:szCs w:val="20"/>
        </w:rPr>
      </w:pPr>
      <w:r w:rsidRPr="00860D98">
        <w:rPr>
          <w:rFonts w:cs="Helvetica"/>
          <w:noProof/>
          <w:sz w:val="20"/>
          <w:szCs w:val="20"/>
        </w:rPr>
        <w:drawing>
          <wp:inline distT="0" distB="0" distL="0" distR="0" wp14:anchorId="1B3E80AE" wp14:editId="47DB6243">
            <wp:extent cx="3557546" cy="2098040"/>
            <wp:effectExtent l="0" t="0" r="0" b="10160"/>
            <wp:docPr id="13" name="Picture 13" descr="part2_exploratory_analysis/hypothesis_testing/data_driving_predictive_models/DT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t2_exploratory_analysis/hypothesis_testing/data_driving_predictive_models/DTR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588" cy="21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7585" w14:textId="77777777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</w:rPr>
      </w:pPr>
    </w:p>
    <w:p w14:paraId="729D6527" w14:textId="7671C549" w:rsidR="00F24C98" w:rsidRPr="00860D98" w:rsidRDefault="00F24C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 xml:space="preserve">The </w:t>
      </w:r>
      <w:r w:rsidRPr="00860D98">
        <w:rPr>
          <w:rFonts w:cs="Helvetica"/>
          <w:sz w:val="20"/>
          <w:szCs w:val="20"/>
          <w:lang w:eastAsia="zh-CN"/>
        </w:rPr>
        <w:t xml:space="preserve">Area under the </w:t>
      </w:r>
      <w:r w:rsidRPr="00860D98">
        <w:rPr>
          <w:rFonts w:cs="Helvetica"/>
          <w:sz w:val="20"/>
          <w:szCs w:val="20"/>
          <w:lang w:eastAsia="zh-CN"/>
        </w:rPr>
        <w:t>ROC curve is</w:t>
      </w:r>
      <w:r w:rsidRPr="00860D98">
        <w:rPr>
          <w:rFonts w:cs="Helvetica"/>
          <w:sz w:val="20"/>
          <w:szCs w:val="20"/>
          <w:lang w:eastAsia="zh-CN"/>
        </w:rPr>
        <w:t xml:space="preserve"> 0.8929</w:t>
      </w:r>
      <w:r w:rsidRPr="00860D98">
        <w:rPr>
          <w:rFonts w:cs="Helvetica"/>
          <w:sz w:val="20"/>
          <w:szCs w:val="20"/>
          <w:lang w:eastAsia="zh-CN"/>
        </w:rPr>
        <w:t xml:space="preserve"> with a 95% CI: 0.8672-0.9187. T</w:t>
      </w:r>
      <w:r w:rsidRPr="00860D98">
        <w:rPr>
          <w:rFonts w:cs="Helvetica"/>
          <w:sz w:val="20"/>
          <w:szCs w:val="20"/>
          <w:lang w:eastAsia="zh-CN"/>
        </w:rPr>
        <w:t xml:space="preserve">he area </w:t>
      </w:r>
      <w:r w:rsidRPr="00860D98">
        <w:rPr>
          <w:rFonts w:cs="Helvetica"/>
          <w:sz w:val="20"/>
          <w:szCs w:val="20"/>
          <w:lang w:eastAsia="zh-CN"/>
        </w:rPr>
        <w:t xml:space="preserve">under the curve is pretty high, so </w:t>
      </w:r>
      <w:r w:rsidRPr="00860D98">
        <w:rPr>
          <w:rFonts w:cs="Helvetica"/>
          <w:sz w:val="20"/>
          <w:szCs w:val="20"/>
          <w:lang w:eastAsia="zh-CN"/>
        </w:rPr>
        <w:t>the model</w:t>
      </w:r>
      <w:r w:rsidRPr="00860D98">
        <w:rPr>
          <w:rFonts w:cs="Helvetica"/>
          <w:sz w:val="20"/>
          <w:szCs w:val="20"/>
          <w:lang w:eastAsia="zh-CN"/>
        </w:rPr>
        <w:t xml:space="preserve"> seems to work</w:t>
      </w:r>
      <w:r w:rsidRPr="00860D98">
        <w:rPr>
          <w:rFonts w:cs="Helvetica"/>
          <w:sz w:val="20"/>
          <w:szCs w:val="20"/>
          <w:lang w:eastAsia="zh-CN"/>
        </w:rPr>
        <w:t xml:space="preserve"> pretty well.</w:t>
      </w:r>
    </w:p>
    <w:p w14:paraId="6D61609E" w14:textId="77777777" w:rsidR="00072FF1" w:rsidRPr="00860D98" w:rsidRDefault="00072FF1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18F3FBD2" w14:textId="2B776172" w:rsidR="00B6739A" w:rsidRPr="00860D98" w:rsidRDefault="00072FF1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 xml:space="preserve">The same situations were then applied via a lazy learner model: K- nearest neighbor. </w:t>
      </w:r>
      <w:r w:rsidR="00020550" w:rsidRPr="00860D98">
        <w:rPr>
          <w:rFonts w:cs="Helvetica"/>
          <w:sz w:val="20"/>
          <w:szCs w:val="20"/>
          <w:lang w:eastAsia="zh-CN"/>
        </w:rPr>
        <w:t>The general takeaway was that remove any one of the variables (amount from rank 1 industry to rank 5 industry) did not adversely affect the overall prediction of winners.</w:t>
      </w:r>
    </w:p>
    <w:p w14:paraId="1DFE578A" w14:textId="23516283" w:rsidR="00CA1E21" w:rsidRPr="00860D98" w:rsidRDefault="00B6739A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>Confusion Matrix</w:t>
      </w:r>
      <w:r w:rsidR="00347065" w:rsidRPr="00860D98">
        <w:rPr>
          <w:rFonts w:cs="Helvetica"/>
          <w:sz w:val="20"/>
          <w:szCs w:val="20"/>
          <w:lang w:eastAsia="zh-CN"/>
        </w:rPr>
        <w:t xml:space="preserve"> which regards to industry contribution </w:t>
      </w:r>
    </w:p>
    <w:tbl>
      <w:tblPr>
        <w:tblStyle w:val="TableGrid"/>
        <w:tblpPr w:leftFromText="180" w:rightFromText="180" w:vertAnchor="page" w:horzAnchor="page" w:tblpX="1630" w:tblpY="10445"/>
        <w:tblW w:w="8685" w:type="dxa"/>
        <w:tblLayout w:type="fixed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490"/>
        <w:gridCol w:w="1532"/>
      </w:tblGrid>
      <w:tr w:rsidR="004148B8" w:rsidRPr="00860D98" w14:paraId="1B10F86F" w14:textId="77777777" w:rsidTr="004148B8">
        <w:trPr>
          <w:trHeight w:val="1048"/>
        </w:trPr>
        <w:tc>
          <w:tcPr>
            <w:tcW w:w="1415" w:type="dxa"/>
          </w:tcPr>
          <w:p w14:paraId="6995B315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rank1 amount of money</w:t>
            </w:r>
          </w:p>
        </w:tc>
        <w:tc>
          <w:tcPr>
            <w:tcW w:w="1416" w:type="dxa"/>
          </w:tcPr>
          <w:p w14:paraId="2F041D3F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rank2 amount of money</w:t>
            </w:r>
          </w:p>
        </w:tc>
        <w:tc>
          <w:tcPr>
            <w:tcW w:w="1416" w:type="dxa"/>
          </w:tcPr>
          <w:p w14:paraId="4BE2D3F3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rank3 amount of money</w:t>
            </w:r>
          </w:p>
        </w:tc>
        <w:tc>
          <w:tcPr>
            <w:tcW w:w="1416" w:type="dxa"/>
          </w:tcPr>
          <w:p w14:paraId="57E9F7D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rank4 amount of money</w:t>
            </w:r>
          </w:p>
        </w:tc>
        <w:tc>
          <w:tcPr>
            <w:tcW w:w="1490" w:type="dxa"/>
          </w:tcPr>
          <w:p w14:paraId="45D65996" w14:textId="2D5E4405" w:rsidR="004148B8" w:rsidRPr="00860D98" w:rsidRDefault="007B7D52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>
              <w:rPr>
                <w:rFonts w:cs="Helvetica"/>
                <w:i/>
                <w:sz w:val="18"/>
                <w:szCs w:val="18"/>
                <w:lang w:eastAsia="zh-CN"/>
              </w:rPr>
              <w:t>without attribute: rank5</w:t>
            </w:r>
            <w:r w:rsidR="004148B8" w:rsidRPr="00860D98">
              <w:rPr>
                <w:rFonts w:cs="Helvetica"/>
                <w:i/>
                <w:sz w:val="18"/>
                <w:szCs w:val="18"/>
                <w:lang w:eastAsia="zh-CN"/>
              </w:rPr>
              <w:t xml:space="preserve"> amount of money</w:t>
            </w:r>
          </w:p>
        </w:tc>
        <w:tc>
          <w:tcPr>
            <w:tcW w:w="1532" w:type="dxa"/>
          </w:tcPr>
          <w:p w14:paraId="4B379ED7" w14:textId="639DA101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9"/>
                <w:szCs w:val="19"/>
                <w:lang w:eastAsia="zh-CN"/>
              </w:rPr>
            </w:pPr>
            <w:r w:rsidRPr="00860D98">
              <w:rPr>
                <w:rFonts w:cs="Helvetica"/>
                <w:i/>
                <w:sz w:val="19"/>
                <w:szCs w:val="19"/>
                <w:lang w:eastAsia="zh-CN"/>
              </w:rPr>
              <w:t>without attribute</w:t>
            </w:r>
            <w:r w:rsidRPr="00860D98">
              <w:rPr>
                <w:rFonts w:cs="Helvetica"/>
                <w:i/>
                <w:sz w:val="19"/>
                <w:szCs w:val="19"/>
                <w:lang w:eastAsia="zh-CN"/>
              </w:rPr>
              <w:t xml:space="preserve">: </w:t>
            </w:r>
            <w:r w:rsidRPr="00860D98">
              <w:rPr>
                <w:rFonts w:cs="Helvetica"/>
                <w:sz w:val="19"/>
                <w:szCs w:val="19"/>
              </w:rPr>
              <w:t xml:space="preserve"> </w:t>
            </w:r>
            <w:r w:rsidRPr="00860D98">
              <w:rPr>
                <w:rFonts w:cs="Helvetica"/>
                <w:sz w:val="19"/>
                <w:szCs w:val="19"/>
              </w:rPr>
              <w:t>Candtotal</w:t>
            </w:r>
          </w:p>
        </w:tc>
      </w:tr>
      <w:tr w:rsidR="004148B8" w:rsidRPr="00860D98" w14:paraId="1EAF91A7" w14:textId="77777777" w:rsidTr="004148B8">
        <w:trPr>
          <w:trHeight w:val="841"/>
        </w:trPr>
        <w:tc>
          <w:tcPr>
            <w:tcW w:w="1415" w:type="dxa"/>
          </w:tcPr>
          <w:p w14:paraId="75178DCB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23A78BED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176  85</w:t>
            </w:r>
          </w:p>
          <w:p w14:paraId="6DAFBB37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W   6 273</w:t>
            </w:r>
          </w:p>
        </w:tc>
        <w:tc>
          <w:tcPr>
            <w:tcW w:w="1416" w:type="dxa"/>
          </w:tcPr>
          <w:p w14:paraId="09AE2F0F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7A501282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194  70</w:t>
            </w:r>
          </w:p>
          <w:p w14:paraId="6CE3110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W  14 262</w:t>
            </w:r>
          </w:p>
        </w:tc>
        <w:tc>
          <w:tcPr>
            <w:tcW w:w="1416" w:type="dxa"/>
          </w:tcPr>
          <w:p w14:paraId="5E11AABC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66CFE31C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179  72</w:t>
            </w:r>
          </w:p>
          <w:p w14:paraId="504889D4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W  18 271</w:t>
            </w:r>
          </w:p>
          <w:p w14:paraId="09DC6FFF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16" w:type="dxa"/>
          </w:tcPr>
          <w:p w14:paraId="68C14547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598BA51C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193  63</w:t>
            </w:r>
          </w:p>
          <w:p w14:paraId="5D4A07B9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W  16 268</w:t>
            </w:r>
          </w:p>
          <w:p w14:paraId="7C173B44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90" w:type="dxa"/>
          </w:tcPr>
          <w:p w14:paraId="22499199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7B6351A7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200  57</w:t>
            </w:r>
          </w:p>
          <w:p w14:paraId="2C4060E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W  17 266</w:t>
            </w:r>
          </w:p>
          <w:p w14:paraId="3CD2C48E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</w:tcPr>
          <w:p w14:paraId="00273E0B" w14:textId="0B36D2AA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 xml:space="preserve">     </w:t>
            </w:r>
            <w:r w:rsidRPr="00860D98">
              <w:rPr>
                <w:rFonts w:cs="Helvetica"/>
                <w:sz w:val="18"/>
                <w:szCs w:val="18"/>
              </w:rPr>
              <w:t>L   W</w:t>
            </w:r>
          </w:p>
          <w:p w14:paraId="7C83E251" w14:textId="6C161E1B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L 184  75</w:t>
            </w:r>
          </w:p>
          <w:p w14:paraId="6A8E31B7" w14:textId="278DEFD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 xml:space="preserve"> W  12 269</w:t>
            </w:r>
          </w:p>
          <w:p w14:paraId="7CCB435D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</w:tr>
      <w:tr w:rsidR="004148B8" w:rsidRPr="00860D98" w14:paraId="01ABC225" w14:textId="77777777" w:rsidTr="004148B8">
        <w:trPr>
          <w:trHeight w:val="664"/>
        </w:trPr>
        <w:tc>
          <w:tcPr>
            <w:tcW w:w="1415" w:type="dxa"/>
          </w:tcPr>
          <w:p w14:paraId="50736AA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0.831482</w:t>
            </w:r>
          </w:p>
        </w:tc>
        <w:tc>
          <w:tcPr>
            <w:tcW w:w="1416" w:type="dxa"/>
          </w:tcPr>
          <w:p w14:paraId="76CFE208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0.844444</w:t>
            </w:r>
          </w:p>
          <w:p w14:paraId="201F4AC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16" w:type="dxa"/>
          </w:tcPr>
          <w:p w14:paraId="6B84E0DA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0.833333</w:t>
            </w:r>
          </w:p>
          <w:p w14:paraId="63B2F13F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16" w:type="dxa"/>
          </w:tcPr>
          <w:p w14:paraId="62DDE702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0.853703</w:t>
            </w:r>
          </w:p>
          <w:p w14:paraId="75F431DB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90" w:type="dxa"/>
          </w:tcPr>
          <w:p w14:paraId="3429A19C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0.862963</w:t>
            </w:r>
          </w:p>
          <w:p w14:paraId="3C29ABAC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</w:tcPr>
          <w:p w14:paraId="7B15D19A" w14:textId="77777777" w:rsidR="004148B8" w:rsidRPr="00860D98" w:rsidRDefault="004148B8" w:rsidP="00414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outlineLvl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Accuracy: 0.8388889</w:t>
            </w:r>
          </w:p>
          <w:p w14:paraId="25ABC2B2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</w:p>
        </w:tc>
      </w:tr>
      <w:tr w:rsidR="004148B8" w:rsidRPr="00860D98" w14:paraId="0F276704" w14:textId="77777777" w:rsidTr="004148B8">
        <w:trPr>
          <w:trHeight w:val="68"/>
        </w:trPr>
        <w:tc>
          <w:tcPr>
            <w:tcW w:w="1415" w:type="dxa"/>
          </w:tcPr>
          <w:p w14:paraId="3543AB82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0.14038</w:t>
            </w:r>
          </w:p>
        </w:tc>
        <w:tc>
          <w:tcPr>
            <w:tcW w:w="1416" w:type="dxa"/>
          </w:tcPr>
          <w:p w14:paraId="00175833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0.131602</w:t>
            </w:r>
          </w:p>
          <w:p w14:paraId="1A9F48F6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16" w:type="dxa"/>
          </w:tcPr>
          <w:p w14:paraId="6BBED431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0.139147</w:t>
            </w:r>
          </w:p>
          <w:p w14:paraId="12DF4698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416" w:type="dxa"/>
          </w:tcPr>
          <w:p w14:paraId="1AA40120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0.125125</w:t>
            </w:r>
          </w:p>
        </w:tc>
        <w:tc>
          <w:tcPr>
            <w:tcW w:w="1490" w:type="dxa"/>
          </w:tcPr>
          <w:p w14:paraId="20CBDC2E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0.118477</w:t>
            </w:r>
          </w:p>
          <w:p w14:paraId="47CA82FD" w14:textId="77777777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1532" w:type="dxa"/>
          </w:tcPr>
          <w:p w14:paraId="3F0FF92E" w14:textId="353857C8" w:rsidR="004148B8" w:rsidRPr="00860D98" w:rsidRDefault="004148B8" w:rsidP="00B214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sz w:val="18"/>
                <w:szCs w:val="18"/>
              </w:rPr>
              <w:t>Variance: 0.1354051</w:t>
            </w:r>
          </w:p>
        </w:tc>
      </w:tr>
    </w:tbl>
    <w:p w14:paraId="41711A6E" w14:textId="77777777" w:rsidR="00CA1E21" w:rsidRPr="00860D98" w:rsidRDefault="00CA1E21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2A0554F1" w14:textId="299877A5" w:rsidR="004148B8" w:rsidRPr="00860D98" w:rsidRDefault="004148B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>While it seems like certain attributes do not affect the overall score, the biggest takeaway is that a combination of these attributes have a high ability to predict which candidates can win.</w:t>
      </w:r>
    </w:p>
    <w:p w14:paraId="5AF38913" w14:textId="77777777" w:rsidR="00860D98" w:rsidRPr="00860D98" w:rsidRDefault="00860D98" w:rsidP="00860D98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60D98">
        <w:rPr>
          <w:rFonts w:cs="Helvetica"/>
          <w:noProof/>
          <w:sz w:val="22"/>
          <w:szCs w:val="22"/>
        </w:rPr>
        <w:drawing>
          <wp:inline distT="0" distB="0" distL="0" distR="0" wp14:anchorId="0E4FD6F6" wp14:editId="27F6531E">
            <wp:extent cx="2680335" cy="1580710"/>
            <wp:effectExtent l="0" t="0" r="12065" b="0"/>
            <wp:docPr id="16" name="Picture 16" descr="part2_exploratory_analysis/hypothesis_testing/data_driving_predictive_models/kNN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t2_exploratory_analysis/hypothesis_testing/data_driving_predictive_models/kNNRO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37" cy="158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8803" w14:textId="38861BA8" w:rsidR="00860D98" w:rsidRPr="00860D98" w:rsidRDefault="00860D98" w:rsidP="00860D98">
      <w:pPr>
        <w:pStyle w:val="Caption"/>
        <w:rPr>
          <w:rFonts w:cs="Helvetica"/>
          <w:sz w:val="22"/>
          <w:szCs w:val="22"/>
          <w:lang w:eastAsia="zh-CN"/>
        </w:rPr>
      </w:pPr>
      <w:r w:rsidRPr="00860D98">
        <w:t xml:space="preserve">Figure </w:t>
      </w:r>
      <w:fldSimple w:instr=" SEQ Figure \* ARABIC ">
        <w:r w:rsidR="003931D7">
          <w:rPr>
            <w:noProof/>
          </w:rPr>
          <w:t>1</w:t>
        </w:r>
      </w:fldSimple>
      <w:r w:rsidRPr="00860D98">
        <w:t xml:space="preserve"> ROC Curve</w:t>
      </w:r>
    </w:p>
    <w:p w14:paraId="662485D6" w14:textId="077D07B8" w:rsidR="00860D98" w:rsidRPr="00860D98" w:rsidRDefault="00860D98" w:rsidP="00860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 xml:space="preserve">The area under the curve is </w:t>
      </w:r>
      <w:r w:rsidRPr="00860D98">
        <w:rPr>
          <w:rFonts w:cs="Helvetica"/>
          <w:sz w:val="20"/>
          <w:szCs w:val="20"/>
          <w:lang w:eastAsia="zh-CN"/>
        </w:rPr>
        <w:t>0.8419</w:t>
      </w:r>
      <w:r w:rsidRPr="00860D98">
        <w:rPr>
          <w:rFonts w:cs="Helvetica"/>
          <w:sz w:val="20"/>
          <w:szCs w:val="20"/>
          <w:lang w:eastAsia="zh-CN"/>
        </w:rPr>
        <w:t xml:space="preserve"> with </w:t>
      </w:r>
      <w:r w:rsidRPr="00860D98">
        <w:rPr>
          <w:rFonts w:cs="Helvetica"/>
          <w:sz w:val="20"/>
          <w:szCs w:val="20"/>
          <w:lang w:eastAsia="zh-CN"/>
        </w:rPr>
        <w:t>95% CI: 0.8121-0.8717 (DeLong)</w:t>
      </w:r>
      <w:r w:rsidRPr="00860D98">
        <w:rPr>
          <w:rFonts w:cs="Helvetica"/>
          <w:sz w:val="20"/>
          <w:szCs w:val="20"/>
          <w:lang w:eastAsia="zh-CN"/>
        </w:rPr>
        <w:t>.</w:t>
      </w:r>
    </w:p>
    <w:p w14:paraId="222F5EAD" w14:textId="5C87FC0B" w:rsidR="00860D98" w:rsidRPr="00860D98" w:rsidRDefault="00860D98" w:rsidP="00860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 w:rsidRPr="00860D98">
        <w:rPr>
          <w:rFonts w:cs="Helvetica"/>
          <w:sz w:val="20"/>
          <w:szCs w:val="20"/>
          <w:lang w:eastAsia="zh-CN"/>
        </w:rPr>
        <w:t>T</w:t>
      </w:r>
      <w:r w:rsidRPr="00860D98">
        <w:rPr>
          <w:rFonts w:cs="Helvetica"/>
          <w:sz w:val="20"/>
          <w:szCs w:val="20"/>
          <w:lang w:eastAsia="zh-CN"/>
        </w:rPr>
        <w:t>he area under the curve is pretty high, which means the model works pretty well.</w:t>
      </w:r>
    </w:p>
    <w:p w14:paraId="2C10DE87" w14:textId="77777777" w:rsidR="00860D98" w:rsidRDefault="00860D98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454CB36A" w14:textId="6FE2168D" w:rsidR="007B7D52" w:rsidRDefault="007B7D52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>
        <w:rPr>
          <w:rFonts w:cs="Helvetica"/>
          <w:sz w:val="20"/>
          <w:szCs w:val="20"/>
          <w:lang w:eastAsia="zh-CN"/>
        </w:rPr>
        <w:t xml:space="preserve">The following </w:t>
      </w:r>
      <w:r w:rsidR="005A00F0">
        <w:rPr>
          <w:rFonts w:cs="Helvetica"/>
          <w:sz w:val="20"/>
          <w:szCs w:val="20"/>
          <w:lang w:eastAsia="zh-CN"/>
        </w:rPr>
        <w:t xml:space="preserve">confusion matrix </w:t>
      </w:r>
      <w:r>
        <w:rPr>
          <w:rFonts w:cs="Helvetica"/>
          <w:sz w:val="20"/>
          <w:szCs w:val="20"/>
          <w:lang w:eastAsia="zh-CN"/>
        </w:rPr>
        <w:t>was done for the Naïve Bayes example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1258"/>
        <w:gridCol w:w="1258"/>
        <w:gridCol w:w="1259"/>
        <w:gridCol w:w="1259"/>
        <w:gridCol w:w="1259"/>
        <w:gridCol w:w="1801"/>
      </w:tblGrid>
      <w:tr w:rsidR="000778A8" w14:paraId="0A9ED602" w14:textId="77777777" w:rsidTr="000778A8">
        <w:trPr>
          <w:trHeight w:val="1122"/>
        </w:trPr>
        <w:tc>
          <w:tcPr>
            <w:tcW w:w="672" w:type="pct"/>
          </w:tcPr>
          <w:p w14:paraId="2AC664C9" w14:textId="70EC998F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rank1 amount of money</w:t>
            </w:r>
          </w:p>
        </w:tc>
        <w:tc>
          <w:tcPr>
            <w:tcW w:w="673" w:type="pct"/>
          </w:tcPr>
          <w:p w14:paraId="18152A18" w14:textId="3FCBF60A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rank2 amount of money</w:t>
            </w:r>
          </w:p>
        </w:tc>
        <w:tc>
          <w:tcPr>
            <w:tcW w:w="673" w:type="pct"/>
          </w:tcPr>
          <w:p w14:paraId="7EFCA199" w14:textId="0EAAB77A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rank3 amount of money</w:t>
            </w:r>
          </w:p>
        </w:tc>
        <w:tc>
          <w:tcPr>
            <w:tcW w:w="673" w:type="pct"/>
          </w:tcPr>
          <w:p w14:paraId="3CD06457" w14:textId="464D6EA1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>without attribute: rank4 amount of money</w:t>
            </w:r>
          </w:p>
        </w:tc>
        <w:tc>
          <w:tcPr>
            <w:tcW w:w="673" w:type="pct"/>
          </w:tcPr>
          <w:p w14:paraId="21A63DE4" w14:textId="2AE3C4BF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>
              <w:rPr>
                <w:rFonts w:cs="Helvetica"/>
                <w:i/>
                <w:sz w:val="18"/>
                <w:szCs w:val="18"/>
                <w:lang w:eastAsia="zh-CN"/>
              </w:rPr>
              <w:t>without attribute: rank5</w:t>
            </w:r>
            <w:r w:rsidRPr="00860D98">
              <w:rPr>
                <w:rFonts w:cs="Helvetica"/>
                <w:i/>
                <w:sz w:val="18"/>
                <w:szCs w:val="18"/>
                <w:lang w:eastAsia="zh-CN"/>
              </w:rPr>
              <w:t xml:space="preserve"> amount of money</w:t>
            </w:r>
          </w:p>
        </w:tc>
        <w:tc>
          <w:tcPr>
            <w:tcW w:w="673" w:type="pct"/>
          </w:tcPr>
          <w:p w14:paraId="01A116F8" w14:textId="3D62AC06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 w:rsidRPr="00860D98">
              <w:rPr>
                <w:rFonts w:cs="Helvetica"/>
                <w:i/>
                <w:sz w:val="19"/>
                <w:szCs w:val="19"/>
                <w:lang w:eastAsia="zh-CN"/>
              </w:rPr>
              <w:t xml:space="preserve">without attribute: </w:t>
            </w:r>
            <w:r w:rsidRPr="00860D98">
              <w:rPr>
                <w:rFonts w:cs="Helvetica"/>
                <w:sz w:val="19"/>
                <w:szCs w:val="19"/>
              </w:rPr>
              <w:t xml:space="preserve"> </w:t>
            </w:r>
            <w:r>
              <w:rPr>
                <w:rFonts w:cs="Helvetica"/>
                <w:sz w:val="19"/>
                <w:szCs w:val="19"/>
              </w:rPr>
              <w:t>Incumbent</w:t>
            </w:r>
          </w:p>
        </w:tc>
        <w:tc>
          <w:tcPr>
            <w:tcW w:w="963" w:type="pct"/>
          </w:tcPr>
          <w:p w14:paraId="4A73F1EF" w14:textId="77777777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9"/>
                <w:szCs w:val="19"/>
              </w:rPr>
            </w:pPr>
            <w:r w:rsidRPr="00860D98">
              <w:rPr>
                <w:rFonts w:cs="Helvetica"/>
                <w:i/>
                <w:sz w:val="19"/>
                <w:szCs w:val="19"/>
                <w:lang w:eastAsia="zh-CN"/>
              </w:rPr>
              <w:t xml:space="preserve">without attribute: </w:t>
            </w:r>
            <w:r w:rsidRPr="00860D98">
              <w:rPr>
                <w:rFonts w:cs="Helvetica"/>
                <w:sz w:val="19"/>
                <w:szCs w:val="19"/>
              </w:rPr>
              <w:t xml:space="preserve"> </w:t>
            </w:r>
          </w:p>
          <w:p w14:paraId="00565245" w14:textId="12F6BB92" w:rsidR="0097699F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20"/>
                <w:szCs w:val="20"/>
                <w:lang w:eastAsia="zh-CN"/>
              </w:rPr>
            </w:pPr>
            <w:r>
              <w:rPr>
                <w:rFonts w:cs="Helvetica"/>
                <w:sz w:val="19"/>
                <w:szCs w:val="19"/>
              </w:rPr>
              <w:t>YrPercentChange</w:t>
            </w:r>
          </w:p>
        </w:tc>
      </w:tr>
      <w:tr w:rsidR="000778A8" w14:paraId="1C71D032" w14:textId="77777777" w:rsidTr="000778A8">
        <w:trPr>
          <w:trHeight w:val="900"/>
        </w:trPr>
        <w:tc>
          <w:tcPr>
            <w:tcW w:w="672" w:type="pct"/>
          </w:tcPr>
          <w:p w14:paraId="26D7D988" w14:textId="099A5986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41C0F01A" w14:textId="01692F98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252  38</w:t>
            </w:r>
          </w:p>
          <w:p w14:paraId="0A84B7A7" w14:textId="3B537964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  <w:r w:rsidRPr="007B7D52">
              <w:rPr>
                <w:rFonts w:cs="Helvetica"/>
                <w:sz w:val="18"/>
                <w:szCs w:val="18"/>
              </w:rPr>
              <w:t>W  27 223</w:t>
            </w:r>
          </w:p>
        </w:tc>
        <w:tc>
          <w:tcPr>
            <w:tcW w:w="673" w:type="pct"/>
          </w:tcPr>
          <w:p w14:paraId="42C47BA9" w14:textId="0C64BA63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06C8D0B3" w14:textId="0F4F2ABB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228  32</w:t>
            </w:r>
          </w:p>
          <w:p w14:paraId="60FB0F62" w14:textId="6B26F556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W  36 244</w:t>
            </w:r>
          </w:p>
          <w:p w14:paraId="20862C42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030A86DA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45E406FA" w14:textId="509EE74B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249  37</w:t>
            </w:r>
          </w:p>
          <w:p w14:paraId="57EC7DFC" w14:textId="7B1BF63E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W  20 234</w:t>
            </w:r>
          </w:p>
          <w:p w14:paraId="565CA174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6F1F1D0C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17AA3F3C" w14:textId="7AC2AC18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247  36</w:t>
            </w:r>
          </w:p>
          <w:p w14:paraId="7948AD98" w14:textId="1951136D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  <w:lang w:eastAsia="zh-CN"/>
              </w:rPr>
            </w:pPr>
            <w:r w:rsidRPr="007B7D52">
              <w:rPr>
                <w:rFonts w:cs="Helvetica"/>
                <w:sz w:val="18"/>
                <w:szCs w:val="18"/>
              </w:rPr>
              <w:t>W  27 230</w:t>
            </w:r>
          </w:p>
          <w:p w14:paraId="3AAAC6A8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49B3DD72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14434106" w14:textId="5662F611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235  40</w:t>
            </w:r>
          </w:p>
          <w:p w14:paraId="73223827" w14:textId="2D86D03B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W  31 234</w:t>
            </w:r>
          </w:p>
          <w:p w14:paraId="4493DF37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145E953C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0B8FCE88" w14:textId="27EF2A0C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134  17</w:t>
            </w:r>
          </w:p>
          <w:p w14:paraId="26F2DF92" w14:textId="1D2CD432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W 135 254</w:t>
            </w:r>
          </w:p>
          <w:p w14:paraId="77E7260E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963" w:type="pct"/>
          </w:tcPr>
          <w:p w14:paraId="59D0E493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  W</w:t>
            </w:r>
          </w:p>
          <w:p w14:paraId="3DDDB41E" w14:textId="52E6F675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L 240  36</w:t>
            </w:r>
          </w:p>
          <w:p w14:paraId="7D53BF22" w14:textId="0189C5D1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cs="Helvetica"/>
                <w:sz w:val="18"/>
                <w:szCs w:val="18"/>
              </w:rPr>
            </w:pPr>
            <w:r w:rsidRPr="007B7D52">
              <w:rPr>
                <w:rFonts w:cs="Helvetica"/>
                <w:sz w:val="18"/>
                <w:szCs w:val="18"/>
              </w:rPr>
              <w:t>W  37 227</w:t>
            </w:r>
          </w:p>
          <w:p w14:paraId="5305B15B" w14:textId="77777777" w:rsidR="0097699F" w:rsidRPr="007B7D52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Helvetica"/>
                <w:sz w:val="18"/>
                <w:szCs w:val="18"/>
                <w:lang w:eastAsia="zh-CN"/>
              </w:rPr>
            </w:pPr>
          </w:p>
        </w:tc>
      </w:tr>
      <w:tr w:rsidR="000778A8" w14:paraId="350F91EA" w14:textId="77777777" w:rsidTr="000778A8">
        <w:trPr>
          <w:trHeight w:val="565"/>
        </w:trPr>
        <w:tc>
          <w:tcPr>
            <w:tcW w:w="672" w:type="pct"/>
          </w:tcPr>
          <w:p w14:paraId="6AB8185A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0.8796296</w:t>
            </w:r>
          </w:p>
          <w:p w14:paraId="554CC35D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6D416B11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0.8740741</w:t>
            </w:r>
          </w:p>
          <w:p w14:paraId="3EA8D007" w14:textId="77777777" w:rsidR="0097699F" w:rsidRPr="003C46A8" w:rsidRDefault="0097699F" w:rsidP="003C46A8">
            <w:pPr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15620BC6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0.8944444</w:t>
            </w:r>
          </w:p>
          <w:p w14:paraId="0FBE2E21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25789AC5" w14:textId="46EA2ED2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0.88333</w:t>
            </w:r>
          </w:p>
          <w:p w14:paraId="0DFC5878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1B748E25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0.8685185</w:t>
            </w:r>
          </w:p>
          <w:p w14:paraId="24DABB14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04A14BAC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0.7185185</w:t>
            </w:r>
          </w:p>
          <w:p w14:paraId="7647ACAE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963" w:type="pct"/>
          </w:tcPr>
          <w:p w14:paraId="267DFEBD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Accuracy:</w:t>
            </w:r>
            <w:r w:rsidRPr="003C46A8">
              <w:rPr>
                <w:rFonts w:cs="Helvetica"/>
                <w:sz w:val="18"/>
                <w:szCs w:val="18"/>
              </w:rPr>
              <w:t xml:space="preserve"> 0.8648148</w:t>
            </w:r>
          </w:p>
          <w:p w14:paraId="5D663517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</w:tr>
      <w:tr w:rsidR="000778A8" w14:paraId="06AF8AF3" w14:textId="77777777" w:rsidTr="000778A8">
        <w:trPr>
          <w:trHeight w:val="663"/>
        </w:trPr>
        <w:tc>
          <w:tcPr>
            <w:tcW w:w="672" w:type="pct"/>
          </w:tcPr>
          <w:p w14:paraId="7BB74362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0.1060778</w:t>
            </w:r>
          </w:p>
          <w:p w14:paraId="315DA0B1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4B726A58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0.1102728</w:t>
            </w:r>
          </w:p>
          <w:p w14:paraId="6FEA623E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249345B2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0.09458874</w:t>
            </w:r>
          </w:p>
          <w:p w14:paraId="0DC7CA5B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66575223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 xml:space="preserve">Variance: </w:t>
            </w:r>
            <w:r w:rsidRPr="003C46A8">
              <w:rPr>
                <w:rFonts w:cs="Helvetica"/>
                <w:sz w:val="18"/>
                <w:szCs w:val="18"/>
              </w:rPr>
              <w:t>0.1032468</w:t>
            </w:r>
          </w:p>
          <w:p w14:paraId="44AAB2D7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673" w:type="pct"/>
          </w:tcPr>
          <w:p w14:paraId="639BBB45" w14:textId="30D432BA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0.114406</w:t>
            </w:r>
          </w:p>
        </w:tc>
        <w:tc>
          <w:tcPr>
            <w:tcW w:w="673" w:type="pct"/>
          </w:tcPr>
          <w:p w14:paraId="221CBD9A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0.2026249</w:t>
            </w:r>
          </w:p>
          <w:p w14:paraId="686C25BF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  <w:tc>
          <w:tcPr>
            <w:tcW w:w="963" w:type="pct"/>
          </w:tcPr>
          <w:p w14:paraId="0E436B8E" w14:textId="77777777" w:rsidR="0097699F" w:rsidRPr="003C46A8" w:rsidRDefault="0097699F" w:rsidP="003C46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  <w:r w:rsidRPr="003C46A8">
              <w:rPr>
                <w:rFonts w:cs="Helvetica"/>
                <w:sz w:val="18"/>
                <w:szCs w:val="18"/>
                <w:lang w:eastAsia="zh-CN"/>
              </w:rPr>
              <w:t>Variance:</w:t>
            </w:r>
            <w:r w:rsidRPr="003C46A8">
              <w:rPr>
                <w:rFonts w:cs="Helvetica"/>
                <w:sz w:val="18"/>
                <w:szCs w:val="18"/>
              </w:rPr>
              <w:t xml:space="preserve"> 0.1171271</w:t>
            </w:r>
          </w:p>
          <w:p w14:paraId="15D42581" w14:textId="77777777" w:rsidR="0097699F" w:rsidRPr="003C46A8" w:rsidRDefault="0097699F" w:rsidP="007B7D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Helvetica"/>
                <w:sz w:val="18"/>
                <w:szCs w:val="18"/>
                <w:lang w:eastAsia="zh-CN"/>
              </w:rPr>
            </w:pPr>
          </w:p>
        </w:tc>
      </w:tr>
    </w:tbl>
    <w:p w14:paraId="3D2665B4" w14:textId="77777777" w:rsidR="007B7D52" w:rsidRDefault="007B7D52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0355391C" w14:textId="77777777" w:rsidR="007B7D52" w:rsidRDefault="007B7D52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108D8020" w14:textId="77777777" w:rsidR="003931D7" w:rsidRDefault="00676F36" w:rsidP="003931D7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rPr>
          <w:rFonts w:ascii="Helvetica" w:hAnsi="Helvetica" w:cs="Helvetica" w:hint="eastAsia"/>
          <w:noProof/>
          <w:sz w:val="22"/>
          <w:szCs w:val="22"/>
        </w:rPr>
        <w:drawing>
          <wp:inline distT="0" distB="0" distL="0" distR="0" wp14:anchorId="61EFB6C9" wp14:editId="44443AD3">
            <wp:extent cx="2782293" cy="1640840"/>
            <wp:effectExtent l="0" t="0" r="12065" b="10160"/>
            <wp:docPr id="17" name="Picture 17" descr="part2_exploratory_analysis/hypothesis_testing/data_driving_predictive_models/NaiveBayes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2_exploratory_analysis/hypothesis_testing/data_driving_predictive_models/NaiveBayesRO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54" cy="16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B129" w14:textId="109BE301" w:rsidR="00676F36" w:rsidRPr="00547B0C" w:rsidRDefault="003931D7" w:rsidP="003931D7">
      <w:pPr>
        <w:pStyle w:val="Caption"/>
        <w:jc w:val="center"/>
        <w:rPr>
          <w:rFonts w:ascii="Helvetica" w:hAnsi="Helvetica" w:cs="Helvetica"/>
          <w:sz w:val="22"/>
          <w:szCs w:val="22"/>
          <w:lang w:eastAsia="zh-C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ROC Curve</w:t>
      </w:r>
    </w:p>
    <w:p w14:paraId="3E0BB370" w14:textId="552A6205" w:rsidR="00676F36" w:rsidRPr="00676F36" w:rsidRDefault="00676F36" w:rsidP="00676F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</w:rPr>
      </w:pPr>
      <w:r w:rsidRPr="00676F36">
        <w:rPr>
          <w:rFonts w:cs="Helvetica"/>
          <w:sz w:val="20"/>
          <w:szCs w:val="20"/>
        </w:rPr>
        <w:t xml:space="preserve">The </w:t>
      </w:r>
      <w:r w:rsidRPr="00676F36">
        <w:rPr>
          <w:rFonts w:cs="Helvetica"/>
          <w:sz w:val="20"/>
          <w:szCs w:val="20"/>
        </w:rPr>
        <w:t>Area under the</w:t>
      </w:r>
      <w:r w:rsidRPr="00676F36">
        <w:rPr>
          <w:rFonts w:cs="Helvetica"/>
          <w:sz w:val="20"/>
          <w:szCs w:val="20"/>
        </w:rPr>
        <w:t xml:space="preserve"> ROC</w:t>
      </w:r>
      <w:r w:rsidRPr="00676F36">
        <w:rPr>
          <w:rFonts w:cs="Helvetica"/>
          <w:sz w:val="20"/>
          <w:szCs w:val="20"/>
        </w:rPr>
        <w:t xml:space="preserve"> curve: 87.05%</w:t>
      </w:r>
      <w:r w:rsidRPr="00676F36">
        <w:rPr>
          <w:rFonts w:cs="Helvetica"/>
          <w:sz w:val="20"/>
          <w:szCs w:val="20"/>
        </w:rPr>
        <w:t xml:space="preserve"> with </w:t>
      </w:r>
      <w:r w:rsidRPr="00676F36">
        <w:rPr>
          <w:rFonts w:cs="Helvetica"/>
          <w:sz w:val="20"/>
          <w:szCs w:val="20"/>
        </w:rPr>
        <w:t>95% CI: 84.22%-89.87% (DeLong)</w:t>
      </w:r>
      <w:r w:rsidRPr="00676F36">
        <w:rPr>
          <w:rFonts w:cs="Helvetica"/>
          <w:sz w:val="20"/>
          <w:szCs w:val="20"/>
        </w:rPr>
        <w:t>.</w:t>
      </w:r>
      <w:r>
        <w:rPr>
          <w:rFonts w:cs="Helvetica"/>
          <w:sz w:val="20"/>
          <w:szCs w:val="20"/>
        </w:rPr>
        <w:t xml:space="preserve"> </w:t>
      </w:r>
      <w:r w:rsidRPr="00676F36">
        <w:rPr>
          <w:rFonts w:cs="Helvetica"/>
          <w:sz w:val="20"/>
          <w:szCs w:val="20"/>
          <w:lang w:eastAsia="zh-CN"/>
        </w:rPr>
        <w:t>T</w:t>
      </w:r>
      <w:r w:rsidRPr="00676F36">
        <w:rPr>
          <w:rFonts w:cs="Helvetica"/>
          <w:sz w:val="20"/>
          <w:szCs w:val="20"/>
          <w:lang w:eastAsia="zh-CN"/>
        </w:rPr>
        <w:t>he area under the curve is pretty high, which means the model works pretty well.</w:t>
      </w:r>
    </w:p>
    <w:p w14:paraId="36A906CA" w14:textId="77777777" w:rsidR="007B7D52" w:rsidRDefault="007B7D52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</w:p>
    <w:p w14:paraId="33981742" w14:textId="083BE339" w:rsidR="003931D7" w:rsidRPr="00860D98" w:rsidRDefault="003931D7" w:rsidP="00F24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 w:val="20"/>
          <w:szCs w:val="20"/>
          <w:lang w:eastAsia="zh-CN"/>
        </w:rPr>
      </w:pPr>
      <w:r>
        <w:rPr>
          <w:rFonts w:cs="Helvetica"/>
          <w:sz w:val="20"/>
          <w:szCs w:val="20"/>
          <w:lang w:eastAsia="zh-CN"/>
        </w:rPr>
        <w:t xml:space="preserve">The results from Naïve Bayes confirmed that incumbency </w:t>
      </w:r>
      <w:r w:rsidR="005A00F0">
        <w:rPr>
          <w:rFonts w:cs="Helvetica"/>
          <w:sz w:val="20"/>
          <w:szCs w:val="20"/>
          <w:lang w:eastAsia="zh-CN"/>
        </w:rPr>
        <w:t xml:space="preserve">is an important factor in determine the winning candidate. </w:t>
      </w:r>
      <w:r w:rsidR="000778A8">
        <w:rPr>
          <w:rFonts w:cs="Helvetica"/>
          <w:sz w:val="20"/>
          <w:szCs w:val="20"/>
          <w:lang w:eastAsia="zh-CN"/>
        </w:rPr>
        <w:t xml:space="preserve">This can be seen </w:t>
      </w:r>
      <w:r w:rsidR="00936083">
        <w:rPr>
          <w:rFonts w:cs="Helvetica"/>
          <w:sz w:val="20"/>
          <w:szCs w:val="20"/>
          <w:lang w:eastAsia="zh-CN"/>
        </w:rPr>
        <w:t>because the accuracy is significantly lower than when removing any other attributes.</w:t>
      </w:r>
      <w:bookmarkStart w:id="0" w:name="_GoBack"/>
      <w:bookmarkEnd w:id="0"/>
      <w:r w:rsidR="00936083">
        <w:rPr>
          <w:rFonts w:cs="Helvetica"/>
          <w:sz w:val="20"/>
          <w:szCs w:val="20"/>
          <w:lang w:eastAsia="zh-CN"/>
        </w:rPr>
        <w:t xml:space="preserve"> </w:t>
      </w:r>
    </w:p>
    <w:p w14:paraId="794AC330" w14:textId="12713FD1" w:rsidR="00742DAF" w:rsidRPr="00860D98" w:rsidRDefault="00742DAF" w:rsidP="00F24C98">
      <w:pPr>
        <w:keepNext/>
        <w:rPr>
          <w:sz w:val="20"/>
          <w:szCs w:val="20"/>
        </w:rPr>
      </w:pPr>
    </w:p>
    <w:sectPr w:rsidR="00742DAF" w:rsidRPr="00860D98" w:rsidSect="0024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E8D02" w14:textId="77777777" w:rsidR="00854530" w:rsidRDefault="00854530" w:rsidP="008C7BAE">
      <w:r>
        <w:separator/>
      </w:r>
    </w:p>
  </w:endnote>
  <w:endnote w:type="continuationSeparator" w:id="0">
    <w:p w14:paraId="66583DE7" w14:textId="77777777" w:rsidR="00854530" w:rsidRDefault="00854530" w:rsidP="008C7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DBC69" w14:textId="77777777" w:rsidR="00854530" w:rsidRDefault="00854530" w:rsidP="008C7BAE">
      <w:r>
        <w:separator/>
      </w:r>
    </w:p>
  </w:footnote>
  <w:footnote w:type="continuationSeparator" w:id="0">
    <w:p w14:paraId="51952063" w14:textId="77777777" w:rsidR="00854530" w:rsidRDefault="00854530" w:rsidP="008C7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D3"/>
    <w:rsid w:val="00020550"/>
    <w:rsid w:val="00030848"/>
    <w:rsid w:val="00072FF1"/>
    <w:rsid w:val="000778A8"/>
    <w:rsid w:val="001005F3"/>
    <w:rsid w:val="001564E2"/>
    <w:rsid w:val="001908D3"/>
    <w:rsid w:val="00196DE0"/>
    <w:rsid w:val="00242879"/>
    <w:rsid w:val="00312BDF"/>
    <w:rsid w:val="00347065"/>
    <w:rsid w:val="003931D7"/>
    <w:rsid w:val="003C1B26"/>
    <w:rsid w:val="003C46A8"/>
    <w:rsid w:val="00413631"/>
    <w:rsid w:val="004148B8"/>
    <w:rsid w:val="00502FA3"/>
    <w:rsid w:val="005A00F0"/>
    <w:rsid w:val="00617776"/>
    <w:rsid w:val="00676F36"/>
    <w:rsid w:val="00742DAF"/>
    <w:rsid w:val="007B7D52"/>
    <w:rsid w:val="007F6229"/>
    <w:rsid w:val="00835B0C"/>
    <w:rsid w:val="00854530"/>
    <w:rsid w:val="00860D98"/>
    <w:rsid w:val="008722DC"/>
    <w:rsid w:val="0088629D"/>
    <w:rsid w:val="008C7BAE"/>
    <w:rsid w:val="00936083"/>
    <w:rsid w:val="00941018"/>
    <w:rsid w:val="0097699F"/>
    <w:rsid w:val="00A3455B"/>
    <w:rsid w:val="00B21454"/>
    <w:rsid w:val="00B64E55"/>
    <w:rsid w:val="00B6739A"/>
    <w:rsid w:val="00B808C0"/>
    <w:rsid w:val="00BD16DA"/>
    <w:rsid w:val="00C95DFE"/>
    <w:rsid w:val="00CA1E21"/>
    <w:rsid w:val="00CB1DF1"/>
    <w:rsid w:val="00CE123B"/>
    <w:rsid w:val="00E65E99"/>
    <w:rsid w:val="00F0067A"/>
    <w:rsid w:val="00F07E78"/>
    <w:rsid w:val="00F224EC"/>
    <w:rsid w:val="00F24C98"/>
    <w:rsid w:val="00F8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9B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BAE"/>
  </w:style>
  <w:style w:type="paragraph" w:styleId="Footer">
    <w:name w:val="footer"/>
    <w:basedOn w:val="Normal"/>
    <w:link w:val="FooterChar"/>
    <w:uiPriority w:val="99"/>
    <w:unhideWhenUsed/>
    <w:rsid w:val="008C7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BAE"/>
  </w:style>
  <w:style w:type="table" w:styleId="TableGrid">
    <w:name w:val="Table Grid"/>
    <w:basedOn w:val="TableNormal"/>
    <w:uiPriority w:val="39"/>
    <w:rsid w:val="00941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862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880</Words>
  <Characters>5019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The area under the curve is 0.8419 with 95% CI: 0.8121-0.8717 (DeLong).</vt:lpstr>
    </vt:vector>
  </TitlesOfParts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28</cp:revision>
  <dcterms:created xsi:type="dcterms:W3CDTF">2015-11-16T00:07:00Z</dcterms:created>
  <dcterms:modified xsi:type="dcterms:W3CDTF">2015-11-16T15:11:00Z</dcterms:modified>
</cp:coreProperties>
</file>