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Data Collection and Preprocessing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 </w:t>
      </w:r>
      <w:r w:rsidDel="00000000" w:rsidR="00000000" w:rsidRPr="00000000">
        <w:rPr>
          <w:sz w:val="24"/>
          <w:szCs w:val="24"/>
          <w:rtl w:val="0"/>
        </w:rPr>
        <w:t xml:space="preserve">Covid - 19 Infant Growth Analysis and Prediction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the infant development dataset for machine learning classification using TabPFN.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PREPROCESSING STEPS 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000"/>
        <w:tblGridChange w:id="0">
          <w:tblGrid>
            <w:gridCol w:w="3360"/>
            <w:gridCol w:w="6000"/>
          </w:tblGrid>
        </w:tblGridChange>
      </w:tblGrid>
      <w:tr>
        <w:trPr>
          <w:cantSplit w:val="0"/>
          <w:trHeight w:val="8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Loaded the dataset, shuffled dataset, inspected columns, and checked missing values.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Handling missing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Filled missing numeric values (age_months, height_cm, weight_kg, speech_score, milestone_score) with their column means. For categorical column period replace missing values with the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&amp; Target 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dataset into features x and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LabelEncoder to transform categorical target labels into numeric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Splitting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Divided data into training (75%) and testing (25%)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Installed and initialized TabPFNClassifier  for training.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Generated scatter plots to compare training and testing predictions versus actual labels.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 Code Screenshots 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4732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2446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Handling missing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4191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 &amp; Target 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6891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8923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0795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006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Splitting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5494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4224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671763" cy="11745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117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9431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4605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4986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