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2937"/>
          <w:sz w:val="44"/>
          <w:szCs w:val="44"/>
        </w:rPr>
        <w:t xml:space="preserve">Exploratory Data Analysis Report</w:t>
      </w:r>
    </w:p>
    <w:p>
      <w:pPr>
        <w:spacing w:after="60"/>
      </w:pPr>
      <w:r>
        <w:rPr>
          <w:color w:val="6B7280"/>
          <w:sz w:val="26"/>
          <w:szCs w:val="26"/>
        </w:rPr>
        <w:t xml:space="preserve">Superstore Global Sales Dataset (2011–2014)</w:t>
      </w:r>
    </w:p>
    <w:p>
      <w:pPr>
        <w:pBdr>
          <w:bottom w:val="single" w:color="2563EB" w:sz="8" w:space="8"/>
        </w:pBdr>
        <w:spacing w:after="400"/>
      </w:pPr>
      <w:r>
        <w:rPr>
          <w:i/>
          <w:iCs/>
          <w:color w:val="6B7280"/>
          <w:sz w:val="22"/>
          <w:szCs w:val="22"/>
        </w:rPr>
        <w:t xml:space="preserve">Data Analytics Internship — Task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00"/>
            <w:shd w:fill="EFF6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563EB"/>
                <w:sz w:val="30"/>
                <w:szCs w:val="30"/>
              </w:rPr>
              <w:t xml:space="preserve">51,290</w:t>
            </w:r>
          </w:p>
          <w:p>
            <w:pPr>
              <w:jc w:val="center"/>
            </w:pPr>
            <w:r>
              <w:rPr>
                <w:color w:val="6B7280"/>
                <w:sz w:val="17"/>
                <w:szCs w:val="17"/>
              </w:rPr>
              <w:t xml:space="preserve">Rows</w:t>
            </w:r>
          </w:p>
        </w:tc>
        <w:tc>
          <w:tcPr>
            <w:tcW w:type="dxa" w:w="2300"/>
            <w:shd w:fill="EFF6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563EB"/>
                <w:sz w:val="30"/>
                <w:szCs w:val="30"/>
              </w:rPr>
              <w:t xml:space="preserve">21</w:t>
            </w:r>
          </w:p>
          <w:p>
            <w:pPr>
              <w:jc w:val="center"/>
            </w:pPr>
            <w:r>
              <w:rPr>
                <w:color w:val="6B7280"/>
                <w:sz w:val="17"/>
                <w:szCs w:val="17"/>
              </w:rPr>
              <w:t xml:space="preserve">Columns</w:t>
            </w:r>
          </w:p>
        </w:tc>
        <w:tc>
          <w:tcPr>
            <w:tcW w:type="dxa" w:w="2300"/>
            <w:shd w:fill="EFF6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563EB"/>
                <w:sz w:val="30"/>
                <w:szCs w:val="30"/>
              </w:rPr>
              <w:t xml:space="preserve">147</w:t>
            </w:r>
          </w:p>
          <w:p>
            <w:pPr>
              <w:jc w:val="center"/>
            </w:pPr>
            <w:r>
              <w:rPr>
                <w:color w:val="6B7280"/>
                <w:sz w:val="17"/>
                <w:szCs w:val="17"/>
              </w:rPr>
              <w:t xml:space="preserve">Countries</w:t>
            </w:r>
          </w:p>
        </w:tc>
        <w:tc>
          <w:tcPr>
            <w:tcW w:type="dxa" w:w="2300"/>
            <w:shd w:fill="EFF6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563EB"/>
                <w:sz w:val="30"/>
                <w:szCs w:val="30"/>
              </w:rPr>
              <w:t xml:space="preserve">24.5%</w:t>
            </w:r>
          </w:p>
          <w:p>
            <w:pPr>
              <w:jc w:val="center"/>
            </w:pPr>
            <w:r>
              <w:rPr>
                <w:color w:val="6B7280"/>
                <w:sz w:val="17"/>
                <w:szCs w:val="17"/>
              </w:rPr>
              <w:t xml:space="preserve">Orders at a Loss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t xml:space="preserve">1. Meaningful Questions Asked Before Analysis</w:t>
      </w:r>
    </w:p>
    <w:p>
      <w:pPr>
        <w:spacing w:after="160"/>
      </w:pPr>
      <w:r>
        <w:t xml:space="preserve">Before exploring the data, the following business questions guided the analysis: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Which regions and product categories generate the most sales and profit?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Does discounting affect profitability, and if so, how strongly?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Are there seasonal or year-over-year trends in sales?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Which product sub-categories are consistently unprofitable?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Are there data quality issues that need to be addressed before deeper analysis?</w:t>
      </w:r>
    </w:p>
    <w:p>
      <w:pPr>
        <w:pStyle w:val="Heading1"/>
        <w:spacing w:after="200" w:before="400"/>
      </w:pPr>
      <w:r>
        <w:t xml:space="preserve">2. Data Structure and Variable Types</w:t>
      </w:r>
    </w:p>
    <w:p>
      <w:pPr>
        <w:spacing w:after="160"/>
      </w:pPr>
      <w:r>
        <w:t xml:space="preserve">The dataset contains 51,290 orders across 21 columns, spanning January 2011 to December 2014, covering 147 countries grouped into 7 markets.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 Type</w:t>
            </w:r>
          </w:p>
        </w:tc>
        <w:tc>
          <w:tcPr>
            <w:tcW w:type="dxa" w:w="312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12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Identifiers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order_id, product_id, customer_name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Dates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order_date, ship_date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category, region, segment, ship_mode…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Numeric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sales, profit, discount, quantity…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b w:val="false"/>
          <w:bCs w:val="false"/>
        </w:rPr>
        <w:t xml:space="preserve">Data quality check: 0 missing values and 0 duplicate rows were found across all 51,290 records — the dataset is structurally clean.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3. Trends, Patterns, and Anomalies</w:t>
      </w:r>
    </w:p>
    <w:p>
      <w:pPr>
        <w:pStyle w:val="Heading2"/>
        <w:spacing w:after="150" w:before="300"/>
      </w:pPr>
      <w:r>
        <w:t xml:space="preserve">3.1 Sales Trend Over Time</w:t>
      </w:r>
    </w:p>
    <w:p>
      <w:pPr>
        <w:spacing w:after="60" w:before="100"/>
        <w:jc w:val="center"/>
      </w:pPr>
      <w:r>
        <w:drawing>
          <wp:inline distT="0" distB="0" distL="0" distR="0">
            <wp:extent cx="523875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B7280"/>
          <w:sz w:val="20"/>
          <w:szCs w:val="20"/>
        </w:rPr>
        <w:t xml:space="preserve">Figure 1. Monthly total sales, 2011–2014</w:t>
      </w:r>
    </w:p>
    <w:p>
      <w:pPr>
        <w:spacing w:after="160"/>
      </w:pPr>
      <w:r>
        <w:t xml:space="preserve">Sales show a clear upward trend across the four years with strong seasonal spikes at the end of each year (Nov–Dec), consistent with holiday shopping patterns.</w:t>
      </w:r>
    </w:p>
    <w:p>
      <w:pPr>
        <w:pStyle w:val="Heading2"/>
        <w:spacing w:after="150" w:before="300"/>
      </w:pPr>
      <w:r>
        <w:t xml:space="preserve">3.2 Profit by Category and Market</w:t>
      </w:r>
    </w:p>
    <w:p>
      <w:pPr>
        <w:spacing w:after="60" w:before="100"/>
        <w:jc w:val="center"/>
      </w:pPr>
      <w:r>
        <w:drawing>
          <wp:inline distT="0" distB="0" distL="0" distR="0">
            <wp:extent cx="457200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B7280"/>
          <w:sz w:val="20"/>
          <w:szCs w:val="20"/>
        </w:rPr>
        <w:t xml:space="preserve">Figure 2. Total profit by product category</w:t>
      </w:r>
    </w:p>
    <w:p>
      <w:pPr>
        <w:spacing w:after="160"/>
      </w:pPr>
      <w:r>
        <w:t xml:space="preserve">Technology generates the highest average profit per order ($65.45), followed by Furniture ($29.04) and Office Supplies ($16.58 — the lowest).</w:t>
      </w:r>
    </w:p>
    <w:p>
      <w:pPr>
        <w:spacing w:after="60" w:before="100"/>
        <w:jc w:val="center"/>
      </w:pPr>
      <w:r>
        <w:drawing>
          <wp:inline distT="0" distB="0" distL="0" distR="0">
            <wp:extent cx="457200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B7280"/>
          <w:sz w:val="20"/>
          <w:szCs w:val="20"/>
        </w:rPr>
        <w:t xml:space="preserve">Figure 3. Total profit by market</w:t>
      </w:r>
    </w:p>
    <w:p>
      <w:pPr>
        <w:pStyle w:val="Heading2"/>
        <w:spacing w:after="150" w:before="300"/>
      </w:pPr>
      <w:r>
        <w:t xml:space="preserve">3.3 Discount vs. Profit Relationship</w:t>
      </w:r>
    </w:p>
    <w:p>
      <w:pPr>
        <w:spacing w:after="60" w:before="100"/>
        <w:jc w:val="center"/>
      </w:pPr>
      <w:r>
        <w:drawing>
          <wp:inline distT="0" distB="0" distL="0" distR="0">
            <wp:extent cx="4762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B7280"/>
          <w:sz w:val="20"/>
          <w:szCs w:val="20"/>
        </w:rPr>
        <w:t xml:space="preserve">Figure 4. Discount level vs. profit (sample of 3,000 orders)</w:t>
      </w:r>
    </w:p>
    <w:p>
      <w:pPr>
        <w:spacing w:after="160"/>
      </w:pPr>
      <w:r>
        <w:t xml:space="preserve">A clear negative relationship is visible: as discount increases, profit drops below zero more frequently. This pattern is investigated formally in Section 4.</w:t>
      </w:r>
    </w:p>
    <w:p>
      <w:pPr>
        <w:pStyle w:val="Heading2"/>
        <w:spacing w:after="150" w:before="300"/>
      </w:pPr>
      <w:r>
        <w:t xml:space="preserve">3.4 Anomalies — Outliers and Losses</w:t>
      </w:r>
    </w:p>
    <w:p>
      <w:pPr>
        <w:spacing w:after="60" w:before="10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B7280"/>
          <w:sz w:val="20"/>
          <w:szCs w:val="20"/>
        </w:rPr>
        <w:t xml:space="preserve">Figure 5. Profit distribution and outliers by category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24.46% of all orders (12,548 orders) resulted in a net loss.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“Tables” sub-category is the only one with a negative total profit overall (−$64,083), making it a priority area to investigate.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Loss-making orders carry an average discount of 45.1%, compared to 14.3% across all orders — a strong signal that heavy discounting is linked to losses.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Hypothesis Testing and Statistical Validation</w:t>
      </w:r>
    </w:p>
    <w:p>
      <w:pPr>
        <w:pStyle w:val="Heading2"/>
        <w:spacing w:after="150" w:before="300"/>
      </w:pPr>
      <w:r>
        <w:t xml:space="preserve">4.1 Hypothesis 1: Discount is negatively correlated with profit</w:t>
      </w:r>
    </w:p>
    <w:p>
      <w:pPr>
        <w:spacing w:after="160"/>
      </w:pPr>
      <w:r>
        <w:t xml:space="preserve">Test: Pearson correlation between discount and profit.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 = −0.32, p &lt; 0.001</w:t>
      </w:r>
    </w:p>
    <w:p>
      <w:pPr>
        <w:spacing w:after="160"/>
      </w:pPr>
      <w:r>
        <w:t xml:space="preserve">Result: Statistically significant negative correlation. Higher discounts are associated with lower profit. The effect is moderate in strength, confirming discount is a meaningful driver of profit — but not the only one.</w:t>
      </w:r>
    </w:p>
    <w:p>
      <w:pPr>
        <w:pStyle w:val="Heading2"/>
        <w:spacing w:after="150" w:before="300"/>
      </w:pPr>
      <w:r>
        <w:t xml:space="preserve">4.2 Hypothesis 2: High-discount orders (&gt;20%) are less profitable than low-discount orders</w:t>
      </w:r>
    </w:p>
    <w:p>
      <w:pPr>
        <w:spacing w:after="160"/>
      </w:pPr>
      <w:r>
        <w:t xml:space="preserve">Test: Welch's t-test comparing mean profit between high-discount (&gt;20%) and low-discount (≤20%) orders.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312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 Profit</w:t>
            </w:r>
          </w:p>
        </w:tc>
        <w:tc>
          <w:tcPr>
            <w:tcW w:type="dxa" w:w="3120"/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High discount (&gt;20%)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−$71.92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11,328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Low discount (≤20%)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+$57.15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39,962</w:t>
            </w:r>
          </w:p>
        </w:tc>
      </w:tr>
    </w:tbl>
    <w:p>
      <w:pPr>
        <w:spacing w:after="150"/>
      </w:pPr>
    </w:p>
    <w:p>
      <w:pPr>
        <w:spacing w:after="160"/>
      </w:pPr>
      <w:r>
        <w:t xml:space="preserve">Result: t = −64.20, p &lt; 0.001. The difference is highly statistically significant — high-discount orders lose money on average, while low-discount orders are profitable on average.</w:t>
      </w:r>
    </w:p>
    <w:p>
      <w:pPr>
        <w:pStyle w:val="Heading2"/>
        <w:spacing w:after="150" w:before="300"/>
      </w:pPr>
      <w:r>
        <w:t xml:space="preserve">4.3 Hypothesis 3: Mean profit differs across product categories</w:t>
      </w:r>
    </w:p>
    <w:p>
      <w:pPr>
        <w:spacing w:after="160"/>
      </w:pPr>
      <w:r>
        <w:t xml:space="preserve">Test: One-way ANOVA comparing mean profit across Furniture, Office Supplies, and Technology.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 = 304.23, p &lt; 0.001</w:t>
      </w:r>
    </w:p>
    <w:p>
      <w:pPr>
        <w:spacing w:after="160"/>
      </w:pPr>
      <w:r>
        <w:t xml:space="preserve">Result: Statistically significant difference in mean profit across categories. Technology is the most profitable category per order; Office Supplies the least, confirming the pattern seen in Figure 2.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Data Issues to Address in Further Analysis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Structural quality is high: no missing values and no duplicate rows were found, so no imputation or de-duplication is required.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Negative profit values are legitimate business outcomes (loss-making sales), not data errors — but they should be modeled separately from profitable orders in any predictive analysis, since they follow a different pattern (driven heavily by discount).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country (147 categories) is very high-cardinality for direct use in grouped analysis or modeling; market or region (6–7 categories) are more practical grouping levels.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“Tables” sub-category's large negative total profit is concentrated risk — worth a dedicated drill-down (e.g., by discount level and region) before drawing conclusions about the whole Furniture category.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Order_date and ship_date should be checked for consistency (ship_date should never precede order_date) before any shipping-time analysis.</w:t>
      </w:r>
    </w:p>
    <w:p>
      <w:pPr>
        <w:pStyle w:val="Heading1"/>
        <w:spacing w:after="200" w:before="400"/>
      </w:pPr>
      <w:r>
        <w:t xml:space="preserve">6. Summary of Key Findings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Sales grew steadily from 2011–2014 with consistent year-end seasonal peaks.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Discount level is a statistically significant driver of profit loss (r = −0.32, p &lt; 0.001).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Orders discounted above 20% lose money on average (−$71.92); orders at or below 20% are profitable on average (+$57.15).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Profit differs significantly by category (p &lt; 0.001): Technology is most profitable, Office Supplies least.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24.5% of all orders are unprofitable, concentrated among heavily discounted orders and the Tables sub-category.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be6b4783304b8ee7a196d85f525a673cacf4857.png"/><Relationship Id="rId8" Type="http://schemas.openxmlformats.org/officeDocument/2006/relationships/image" Target="media/2374ca56ddbdb444ba9bde0597646aed5865e208.png"/><Relationship Id="rId9" Type="http://schemas.openxmlformats.org/officeDocument/2006/relationships/image" Target="media/114a887d58643509cda8d12280a12d9bc2b7403b.png"/><Relationship Id="rId10" Type="http://schemas.openxmlformats.org/officeDocument/2006/relationships/image" Target="media/af31610834b9155dcf4815f39416362df8ea947f.png"/><Relationship Id="rId11" Type="http://schemas.openxmlformats.org/officeDocument/2006/relationships/image" Target="media/314160e8d06a6066e5cf05dfb3fb3771c76b285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2026-09-14T10:45:36.990Z</dcterms:created>
  <dcterms:modified xsi:type="dcterms:W3CDTF">2026-09-14T10:45:36.999Z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