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5F" w:rsidRDefault="00D5445F" w:rsidP="004A7D2C">
      <w:bookmarkStart w:id="0" w:name="_GoBack"/>
      <w:r>
        <w:rPr>
          <w:noProof/>
        </w:rPr>
        <w:drawing>
          <wp:inline distT="0" distB="0" distL="0" distR="0" wp14:anchorId="3D49D9B0" wp14:editId="33EC6AE4">
            <wp:extent cx="5842635" cy="4230806"/>
            <wp:effectExtent l="0" t="0" r="5715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EF6AA0" w:rsidRDefault="00EF6AA0" w:rsidP="004A7D2C">
      <w:r>
        <w:t xml:space="preserve">The </w:t>
      </w:r>
      <w:r w:rsidR="00D5445F">
        <w:t>above graphic</w:t>
      </w:r>
      <w:r>
        <w:t xml:space="preserve"> intended audience is people completely unfamiliar with the medical field- I intend it to be used to convey how effective different antibiotics across a variety of ailments. </w:t>
      </w:r>
      <w:r w:rsidR="00F349E3">
        <w:t>Microsoft Excel was used to create the above graphic.</w:t>
      </w:r>
    </w:p>
    <w:p w:rsidR="007460A9" w:rsidRDefault="008C0DF1" w:rsidP="004A7D2C">
      <w:r>
        <w:t xml:space="preserve">The dataset contained information on the </w:t>
      </w:r>
      <w:r w:rsidRPr="008C0DF1">
        <w:t>minimum inhibitory concentration</w:t>
      </w:r>
      <w:r>
        <w:t xml:space="preserve">. As it measures how much of an antibiotic is required to prevent bacteria growth- that, and supporting evidence from scientific journals suggested the smaller the value- the more effective </w:t>
      </w:r>
      <w:r w:rsidR="000472B7">
        <w:t>the antibiotic is. Given we perceive bigger is better, I inversed the numbers for th</w:t>
      </w:r>
      <w:r w:rsidR="007460A9">
        <w:t xml:space="preserve">e purposes of my visualization. </w:t>
      </w:r>
    </w:p>
    <w:p w:rsidR="006D560A" w:rsidRDefault="007460A9" w:rsidP="004A7D2C">
      <w:r>
        <w:t xml:space="preserve">I chose a stacked percent bar graph because of scaling- </w:t>
      </w:r>
      <w:r w:rsidR="008C0DF1">
        <w:t xml:space="preserve"> </w:t>
      </w:r>
      <w:r w:rsidR="00133883">
        <w:t xml:space="preserve">I don’t want people to focus on how much of an antibiotic is needed- rather- how does it compare against other antibiotics for treating the same ailment. Having different sized bar graphs with varying lengths would add more detail- but given a stacked bar graph would be </w:t>
      </w:r>
      <w:r w:rsidR="003821C4">
        <w:t xml:space="preserve">hard to read (going back and forth between the axis label and color start/end), a percentage graph would convey the same effectiveness information without the tedious conversion. If needed, I would add the total mg at the end so people can still convert the </w:t>
      </w:r>
      <w:r w:rsidR="00D5445F">
        <w:t>percent</w:t>
      </w:r>
      <w:r w:rsidR="003821C4">
        <w:t xml:space="preserve"> to numbers if needed.</w:t>
      </w:r>
    </w:p>
    <w:p w:rsidR="003821C4" w:rsidRDefault="00F9762B" w:rsidP="004A7D2C">
      <w:r>
        <w:t>For color- I simply chose colors with a great deal of contrast from one to the next- to make identifying and keeping track of a given antibiotic easier.</w:t>
      </w:r>
      <w:r w:rsidR="004A1A95">
        <w:t xml:space="preserve"> I sorted by decreasing MIC for Penicillin, followed by Neomycin, but given they’re ratios on the graph and numbers in the data- the visualization doesn’t “scale” the way I intended it to.</w:t>
      </w:r>
    </w:p>
    <w:p w:rsidR="00750E46" w:rsidRDefault="00E074AD">
      <w:r>
        <w:t xml:space="preserve">Data on the amount required to treat an ailment is obscured, my transformation may be misleading or confusing to people in the medical field who know less is better, and </w:t>
      </w:r>
      <w:r w:rsidR="00976952">
        <w:t xml:space="preserve">interpreting what “inverse MIC” means is hard to impossible without supporting text explaining what it is around it. </w:t>
      </w:r>
      <w:r w:rsidR="00BF6B09">
        <w:t xml:space="preserve">It also loses information on gram straining- and whether its positive or negative. </w:t>
      </w:r>
    </w:p>
    <w:sectPr w:rsidR="00750E46" w:rsidSect="00D5445F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F74" w:rsidRDefault="00204F74" w:rsidP="009E36BA">
      <w:pPr>
        <w:spacing w:after="0" w:line="240" w:lineRule="auto"/>
      </w:pPr>
      <w:r>
        <w:separator/>
      </w:r>
    </w:p>
  </w:endnote>
  <w:endnote w:type="continuationSeparator" w:id="0">
    <w:p w:rsidR="00204F74" w:rsidRDefault="00204F74" w:rsidP="009E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5C5" w:rsidRDefault="000165C5">
    <w:pPr>
      <w:pStyle w:val="Footer"/>
    </w:pPr>
    <w: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F74" w:rsidRDefault="00204F74" w:rsidP="009E36BA">
      <w:pPr>
        <w:spacing w:after="0" w:line="240" w:lineRule="auto"/>
      </w:pPr>
      <w:r>
        <w:separator/>
      </w:r>
    </w:p>
  </w:footnote>
  <w:footnote w:type="continuationSeparator" w:id="0">
    <w:p w:rsidR="00204F74" w:rsidRDefault="00204F74" w:rsidP="009E3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6BA" w:rsidRDefault="009E36BA">
    <w:pPr>
      <w:pStyle w:val="Header"/>
    </w:pPr>
    <w:r>
      <w:t>Arihan Jalan</w:t>
    </w:r>
    <w:r>
      <w:tab/>
      <w:t>INFO 474: Assignment 1</w:t>
    </w:r>
    <w:r>
      <w:tab/>
    </w:r>
    <w:proofErr w:type="spellStart"/>
    <w:r>
      <w:t>NetID</w:t>
    </w:r>
    <w:proofErr w:type="spellEnd"/>
    <w:r>
      <w:t xml:space="preserve">: </w:t>
    </w:r>
    <w:proofErr w:type="spellStart"/>
    <w:r>
      <w:t>arihan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2C"/>
    <w:rsid w:val="000165C5"/>
    <w:rsid w:val="000472B7"/>
    <w:rsid w:val="00133883"/>
    <w:rsid w:val="00204F74"/>
    <w:rsid w:val="003821C4"/>
    <w:rsid w:val="004A1A95"/>
    <w:rsid w:val="004A7D2C"/>
    <w:rsid w:val="005E242C"/>
    <w:rsid w:val="006D560A"/>
    <w:rsid w:val="007460A9"/>
    <w:rsid w:val="00750E46"/>
    <w:rsid w:val="008C0DF1"/>
    <w:rsid w:val="00976952"/>
    <w:rsid w:val="009E36BA"/>
    <w:rsid w:val="00BF6B09"/>
    <w:rsid w:val="00D5445F"/>
    <w:rsid w:val="00E074AD"/>
    <w:rsid w:val="00EB4958"/>
    <w:rsid w:val="00EF6AA0"/>
    <w:rsid w:val="00F349E3"/>
    <w:rsid w:val="00F9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6FE7"/>
  <w15:chartTrackingRefBased/>
  <w15:docId w15:val="{E6C30E7C-09FB-4544-9954-195E829D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BA"/>
  </w:style>
  <w:style w:type="paragraph" w:styleId="Footer">
    <w:name w:val="footer"/>
    <w:basedOn w:val="Normal"/>
    <w:link w:val="FooterChar"/>
    <w:uiPriority w:val="99"/>
    <w:unhideWhenUsed/>
    <w:rsid w:val="009E3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University%20of%20Washington%20Seattle\Year%204%20Quarter%203%20(Spring)\INFO%20474\Assginments\A1\antibiotics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Minimum Inhibitory Concentration by Antibiotic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antibiotics_data!$B$1</c:f>
              <c:strCache>
                <c:ptCount val="1"/>
                <c:pt idx="0">
                  <c:v>Penicilin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antibiotics_data!$A$2:$A$17</c:f>
              <c:strCache>
                <c:ptCount val="16"/>
                <c:pt idx="0">
                  <c:v>Aerobacter aerogenes</c:v>
                </c:pt>
                <c:pt idx="1">
                  <c:v>Klebsiella pneumoniae</c:v>
                </c:pt>
                <c:pt idx="2">
                  <c:v>Pseudomonas aeruginosa </c:v>
                </c:pt>
                <c:pt idx="3">
                  <c:v>Mycobacterium tuberculosis</c:v>
                </c:pt>
                <c:pt idx="4">
                  <c:v>Escherichia coli</c:v>
                </c:pt>
                <c:pt idx="5">
                  <c:v>Salmonella schottmuelleri </c:v>
                </c:pt>
                <c:pt idx="6">
                  <c:v>Proteus vulgaris</c:v>
                </c:pt>
                <c:pt idx="7">
                  <c:v>Streptococcus fecalis </c:v>
                </c:pt>
                <c:pt idx="8">
                  <c:v>Brucella abortus</c:v>
                </c:pt>
                <c:pt idx="9">
                  <c:v>Salmonella (Eberthella) typhosa </c:v>
                </c:pt>
                <c:pt idx="10">
                  <c:v>Staphylococcus aureus </c:v>
                </c:pt>
                <c:pt idx="11">
                  <c:v>Staphylococcus albus </c:v>
                </c:pt>
                <c:pt idx="12">
                  <c:v>Streptococcus viridans</c:v>
                </c:pt>
                <c:pt idx="13">
                  <c:v>Diplococcus pneumoniae</c:v>
                </c:pt>
                <c:pt idx="14">
                  <c:v>Streptococcus hemolyticus </c:v>
                </c:pt>
                <c:pt idx="15">
                  <c:v>Brucella anthracis</c:v>
                </c:pt>
              </c:strCache>
            </c:strRef>
          </c:cat>
          <c:val>
            <c:numRef>
              <c:f>antibiotics_data!$B$2:$B$17</c:f>
              <c:numCache>
                <c:formatCode>General</c:formatCode>
                <c:ptCount val="16"/>
                <c:pt idx="0">
                  <c:v>1.1494252873563218E-3</c:v>
                </c:pt>
                <c:pt idx="1">
                  <c:v>1.176470588235294E-3</c:v>
                </c:pt>
                <c:pt idx="2">
                  <c:v>1.176470588235294E-3</c:v>
                </c:pt>
                <c:pt idx="3">
                  <c:v>1.25E-3</c:v>
                </c:pt>
                <c:pt idx="4">
                  <c:v>0.01</c:v>
                </c:pt>
                <c:pt idx="5">
                  <c:v>0.1</c:v>
                </c:pt>
                <c:pt idx="6">
                  <c:v>0.33333333333333331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33.333333333333336</c:v>
                </c:pt>
                <c:pt idx="11">
                  <c:v>142.85714285714286</c:v>
                </c:pt>
                <c:pt idx="12">
                  <c:v>200</c:v>
                </c:pt>
                <c:pt idx="13">
                  <c:v>200</c:v>
                </c:pt>
                <c:pt idx="14">
                  <c:v>1000</c:v>
                </c:pt>
                <c:pt idx="15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C9-4EAD-A208-EB33D179D920}"/>
            </c:ext>
          </c:extLst>
        </c:ser>
        <c:ser>
          <c:idx val="1"/>
          <c:order val="1"/>
          <c:tx>
            <c:strRef>
              <c:f>antibiotics_data!$C$1</c:f>
              <c:strCache>
                <c:ptCount val="1"/>
                <c:pt idx="0">
                  <c:v>Streptomycin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antibiotics_data!$A$2:$A$17</c:f>
              <c:strCache>
                <c:ptCount val="16"/>
                <c:pt idx="0">
                  <c:v>Aerobacter aerogenes</c:v>
                </c:pt>
                <c:pt idx="1">
                  <c:v>Klebsiella pneumoniae</c:v>
                </c:pt>
                <c:pt idx="2">
                  <c:v>Pseudomonas aeruginosa </c:v>
                </c:pt>
                <c:pt idx="3">
                  <c:v>Mycobacterium tuberculosis</c:v>
                </c:pt>
                <c:pt idx="4">
                  <c:v>Escherichia coli</c:v>
                </c:pt>
                <c:pt idx="5">
                  <c:v>Salmonella schottmuelleri </c:v>
                </c:pt>
                <c:pt idx="6">
                  <c:v>Proteus vulgaris</c:v>
                </c:pt>
                <c:pt idx="7">
                  <c:v>Streptococcus fecalis </c:v>
                </c:pt>
                <c:pt idx="8">
                  <c:v>Brucella abortus</c:v>
                </c:pt>
                <c:pt idx="9">
                  <c:v>Salmonella (Eberthella) typhosa </c:v>
                </c:pt>
                <c:pt idx="10">
                  <c:v>Staphylococcus aureus </c:v>
                </c:pt>
                <c:pt idx="11">
                  <c:v>Staphylococcus albus </c:v>
                </c:pt>
                <c:pt idx="12">
                  <c:v>Streptococcus viridans</c:v>
                </c:pt>
                <c:pt idx="13">
                  <c:v>Diplococcus pneumoniae</c:v>
                </c:pt>
                <c:pt idx="14">
                  <c:v>Streptococcus hemolyticus </c:v>
                </c:pt>
                <c:pt idx="15">
                  <c:v>Brucella anthracis</c:v>
                </c:pt>
              </c:strCache>
            </c:strRef>
          </c:cat>
          <c:val>
            <c:numRef>
              <c:f>antibiotics_data!$C$2:$C$17</c:f>
              <c:numCache>
                <c:formatCode>General</c:formatCode>
                <c:ptCount val="16"/>
                <c:pt idx="0">
                  <c:v>1</c:v>
                </c:pt>
                <c:pt idx="1">
                  <c:v>0.83333333333333337</c:v>
                </c:pt>
                <c:pt idx="2">
                  <c:v>0.5</c:v>
                </c:pt>
                <c:pt idx="3">
                  <c:v>0.2</c:v>
                </c:pt>
                <c:pt idx="4">
                  <c:v>2.5</c:v>
                </c:pt>
                <c:pt idx="5">
                  <c:v>1.25</c:v>
                </c:pt>
                <c:pt idx="6">
                  <c:v>10</c:v>
                </c:pt>
                <c:pt idx="7">
                  <c:v>1</c:v>
                </c:pt>
                <c:pt idx="8">
                  <c:v>0.5</c:v>
                </c:pt>
                <c:pt idx="9">
                  <c:v>2.5</c:v>
                </c:pt>
                <c:pt idx="10">
                  <c:v>33.333333333333336</c:v>
                </c:pt>
                <c:pt idx="11">
                  <c:v>10</c:v>
                </c:pt>
                <c:pt idx="12">
                  <c:v>0.1</c:v>
                </c:pt>
                <c:pt idx="13">
                  <c:v>9.0909090909090912E-2</c:v>
                </c:pt>
                <c:pt idx="14">
                  <c:v>7.1428571428571425E-2</c:v>
                </c:pt>
                <c:pt idx="1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C9-4EAD-A208-EB33D179D920}"/>
            </c:ext>
          </c:extLst>
        </c:ser>
        <c:ser>
          <c:idx val="2"/>
          <c:order val="2"/>
          <c:tx>
            <c:strRef>
              <c:f>antibiotics_data!$D$1</c:f>
              <c:strCache>
                <c:ptCount val="1"/>
                <c:pt idx="0">
                  <c:v>Neomycin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antibiotics_data!$A$2:$A$17</c:f>
              <c:strCache>
                <c:ptCount val="16"/>
                <c:pt idx="0">
                  <c:v>Aerobacter aerogenes</c:v>
                </c:pt>
                <c:pt idx="1">
                  <c:v>Klebsiella pneumoniae</c:v>
                </c:pt>
                <c:pt idx="2">
                  <c:v>Pseudomonas aeruginosa </c:v>
                </c:pt>
                <c:pt idx="3">
                  <c:v>Mycobacterium tuberculosis</c:v>
                </c:pt>
                <c:pt idx="4">
                  <c:v>Escherichia coli</c:v>
                </c:pt>
                <c:pt idx="5">
                  <c:v>Salmonella schottmuelleri </c:v>
                </c:pt>
                <c:pt idx="6">
                  <c:v>Proteus vulgaris</c:v>
                </c:pt>
                <c:pt idx="7">
                  <c:v>Streptococcus fecalis </c:v>
                </c:pt>
                <c:pt idx="8">
                  <c:v>Brucella abortus</c:v>
                </c:pt>
                <c:pt idx="9">
                  <c:v>Salmonella (Eberthella) typhosa </c:v>
                </c:pt>
                <c:pt idx="10">
                  <c:v>Staphylococcus aureus </c:v>
                </c:pt>
                <c:pt idx="11">
                  <c:v>Staphylococcus albus </c:v>
                </c:pt>
                <c:pt idx="12">
                  <c:v>Streptococcus viridans</c:v>
                </c:pt>
                <c:pt idx="13">
                  <c:v>Diplococcus pneumoniae</c:v>
                </c:pt>
                <c:pt idx="14">
                  <c:v>Streptococcus hemolyticus </c:v>
                </c:pt>
                <c:pt idx="15">
                  <c:v>Brucella anthracis</c:v>
                </c:pt>
              </c:strCache>
            </c:strRef>
          </c:cat>
          <c:val>
            <c:numRef>
              <c:f>antibiotics_data!$D$2:$D$17</c:f>
              <c:numCache>
                <c:formatCode>General</c:formatCode>
                <c:ptCount val="16"/>
                <c:pt idx="0">
                  <c:v>0.625</c:v>
                </c:pt>
                <c:pt idx="1">
                  <c:v>1</c:v>
                </c:pt>
                <c:pt idx="2">
                  <c:v>2.5</c:v>
                </c:pt>
                <c:pt idx="3">
                  <c:v>0.5</c:v>
                </c:pt>
                <c:pt idx="4">
                  <c:v>10</c:v>
                </c:pt>
                <c:pt idx="5">
                  <c:v>11.111111111111111</c:v>
                </c:pt>
                <c:pt idx="6">
                  <c:v>10</c:v>
                </c:pt>
                <c:pt idx="7">
                  <c:v>10</c:v>
                </c:pt>
                <c:pt idx="8">
                  <c:v>50</c:v>
                </c:pt>
                <c:pt idx="9">
                  <c:v>125</c:v>
                </c:pt>
                <c:pt idx="10">
                  <c:v>1000</c:v>
                </c:pt>
                <c:pt idx="11">
                  <c:v>1000</c:v>
                </c:pt>
                <c:pt idx="12">
                  <c:v>2.5000000000000001E-2</c:v>
                </c:pt>
                <c:pt idx="13">
                  <c:v>0.1</c:v>
                </c:pt>
                <c:pt idx="14">
                  <c:v>0.1</c:v>
                </c:pt>
                <c:pt idx="15">
                  <c:v>142.85714285714286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C9-4EAD-A208-EB33D179D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overlap val="100"/>
        <c:axId val="537234920"/>
        <c:axId val="537233608"/>
      </c:barChart>
      <c:catAx>
        <c:axId val="5372349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Bacteria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33608"/>
        <c:crosses val="autoZero"/>
        <c:auto val="1"/>
        <c:lblAlgn val="ctr"/>
        <c:lblOffset val="100"/>
        <c:noMultiLvlLbl val="0"/>
      </c:catAx>
      <c:valAx>
        <c:axId val="537233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inverse </a:t>
                </a:r>
                <a:r>
                  <a:rPr lang="en-US" sz="1000" b="0" i="0" u="none" strike="noStrike" baseline="0">
                    <a:effectLst/>
                  </a:rPr>
                  <a:t>concentration of antibiotic required to prevent growth</a:t>
                </a:r>
              </a:p>
              <a:p>
                <a:pPr>
                  <a:defRPr/>
                </a:pPr>
                <a:r>
                  <a:rPr lang="en-US" sz="1000" b="0" i="0" u="none" strike="noStrike" baseline="0">
                    <a:effectLst/>
                  </a:rPr>
                  <a:t>(note- since inversed, higher is better)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34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 Jalan</dc:creator>
  <cp:keywords/>
  <dc:description/>
  <cp:lastModifiedBy>Arihan Jalan</cp:lastModifiedBy>
  <cp:revision>2</cp:revision>
  <dcterms:created xsi:type="dcterms:W3CDTF">2019-04-07T23:10:00Z</dcterms:created>
  <dcterms:modified xsi:type="dcterms:W3CDTF">2019-04-08T00:11:00Z</dcterms:modified>
</cp:coreProperties>
</file>