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r>
        <w:t>7.15 Digital Mala Mode. A full-screen bead counter for sitting practice (#mala-page, opened from the floating button at the bottom-right of the main screen),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r>
        <w:t>Not to be confused with Mala View (§8.4), the header toggle that changes how counts are DISPLAYED. Mala Mode is an input method. The two are kept apart in the dictionary by key prefix (malaMode* versus toggleMala*).</w:t>
      </w:r>
    </w:p>
    <w:p>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deliberately serves the previous build on the launch after a deploy, so old code meeting an upgraded database would fall into loadLedgerFromDB()'s recovery branch and present an empty ledger.</w:t>
      </w:r>
    </w:p>
    <w:p>
      <w:r>
        <w:t>addJaapToToday(n) honours the same contract as updateTodayEntry():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r>
        <w:t>Both figures in the stats bar derive from the ledger plus the uncommitted beads, never from a session counter, so reopening after a completed sitting shows the day's malas rather than zero. The deity image is drawn from the splash rotation pool and excludes the last image shown, under its own lastMalaImage key, so Mala Mode and the splash rotate independently. The screen keeps itself awake via the Wake Lock API and re-acquires the lock on visibilitychange, since browsers drop it whenever the page is hidden.</w:t>
      </w:r>
    </w:p>
    <w:p>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511 assertions pass across the full suite as of this revision. Every browser context in every suite calls seedAppState() from tests/test-helpers.js before its first navigation - the only module the suites share. It marks today's Sunday Backup Reminder as handled; a context omitting it produces a run whose result depends on the day of the week, since the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Mode (tests/test-mala-mode.js, 31 assertions): bead counting and the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511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