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86AB"/>
          <w:spacing w:val="40"/>
          <w:sz w:val="20"/>
          <w:szCs w:val="20"/>
        </w:rPr>
        <w:t xml:space="preserve">PROOF OF CONCEPT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B57"/>
          <w:sz w:val="64"/>
          <w:szCs w:val="64"/>
        </w:rPr>
        <w:t xml:space="preserve">AI Insurance Portal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B6670"/>
          <w:sz w:val="26"/>
          <w:szCs w:val="26"/>
        </w:rPr>
        <w:t xml:space="preserve">AI-Assisted Claims Intake &amp; Policy Management Platform</w:t>
      </w:r>
    </w:p>
    <w:p>
      <w:pPr>
        <w:pBdr>
          <w:top w:val="single" w:color="CCCCCC" w:sz="4" w:space="8"/>
        </w:pBdr>
        <w:spacing w:before="2200"/>
      </w:pPr>
    </w:p>
    <w:tbl>
      <w:tblPr>
        <w:tblW w:type="dxa" w:w="62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3293D"/>
                <w:sz w:val="21"/>
                <w:szCs w:val="21"/>
              </w:rPr>
              <w:t xml:space="preserve">Prepared for: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Engineering Manager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3293D"/>
                <w:sz w:val="21"/>
                <w:szCs w:val="21"/>
              </w:rPr>
              <w:t xml:space="preserve">Prepared by: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Arijit — Software Engineer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3293D"/>
                <w:sz w:val="21"/>
                <w:szCs w:val="21"/>
              </w:rPr>
              <w:t xml:space="preserve">Document type: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Proof of Concept (POC) Summary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3293D"/>
                <w:sz w:val="21"/>
                <w:szCs w:val="21"/>
              </w:rPr>
              <w:t xml:space="preserve">Date: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6 July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3293D"/>
                <w:sz w:val="21"/>
                <w:szCs w:val="21"/>
              </w:rPr>
              <w:t xml:space="preserve">Repository: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github.com/arijit477/ai-insurance-portal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3293D"/>
                <w:sz w:val="21"/>
                <w:szCs w:val="21"/>
              </w:rPr>
              <w:t xml:space="preserve">Live preview: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ai-insurance-portal.vercel.app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13293D"/>
          <w:sz w:val="22"/>
          <w:szCs w:val="22"/>
        </w:rPr>
        <w:t xml:space="preserve">AI Insurance Portal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 a full-stack proof of concept that demonstrates how an insurer's claims and policy workflows can be modernized with a web-based self-service portal augmented by generative AI. The POC pairs a modern </w:t>
      </w:r>
      <w:r>
        <w:rPr>
          <w:rFonts w:ascii="Calibri" w:cs="Calibri" w:eastAsia="Calibri" w:hAnsi="Calibri"/>
          <w:b/>
          <w:bCs/>
          <w:color w:val="13293D"/>
          <w:sz w:val="22"/>
          <w:szCs w:val="22"/>
        </w:rPr>
        <w:t xml:space="preserve">Angular 17+ frontend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with a </w:t>
      </w:r>
      <w:r>
        <w:rPr>
          <w:rFonts w:ascii="Calibri" w:cs="Calibri" w:eastAsia="Calibri" w:hAnsi="Calibri"/>
          <w:b/>
          <w:bCs/>
          <w:color w:val="13293D"/>
          <w:sz w:val="22"/>
          <w:szCs w:val="22"/>
        </w:rPr>
        <w:t xml:space="preserve">FastAPI backend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integrated with </w:t>
      </w:r>
      <w:r>
        <w:rPr>
          <w:rFonts w:ascii="Calibri" w:cs="Calibri" w:eastAsia="Calibri" w:hAnsi="Calibri"/>
          <w:b/>
          <w:bCs/>
          <w:color w:val="13293D"/>
          <w:sz w:val="22"/>
          <w:szCs w:val="22"/>
        </w:rPr>
        <w:t xml:space="preserve">OpenAI (GPT-4o-mini)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giving policyholders and claims staff an AI-assisted interface for submitting, tracking, and reviewing insurance claims.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document summarizes what has been built, the technical approach, current status, and the recommended next steps to take the POC from a working prototype to a pilot-ready application.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Purpose of this POC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Validate that an AI-assisted layer (document understanding, claim triage, conversational assistance) can be integrated into a real insurance claims workflow with acceptable speed and accuracy.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Prove out a modern, cloud-deployable architecture (Angular + FastAPI) that can scale from prototype to production without a rewrite.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Provide a tangible, clickable artifact that stakeholders can review to inform a go/no-go decision on further investment.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Current Status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2E86AB" w:color="auto" w:val="clear"/>
        </w:rPr>
        <w:t xml:space="preserve">  WORKING PROTOTYPE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 Core flows (authentication, claim submission, document upload, AI-assisted review) are implemented and deployed to a public preview environment. A short list of known issues is tracked in </w:t>
      </w:r>
      <w:r>
        <w:rPr>
          <w:rFonts w:ascii="Calibri" w:cs="Calibri" w:eastAsia="Calibri" w:hAnsi="Calibri"/>
          <w:b/>
          <w:bCs/>
          <w:color w:val="13293D"/>
          <w:sz w:val="22"/>
          <w:szCs w:val="22"/>
        </w:rPr>
        <w:t xml:space="preserve">Section 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2. Business Problem &amp; Opportunity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Traditional insurance claims intake is slow and manually intensive: customers fill paper or PDF forms, adjusters manually read supporting documents, and status updates require phone calls or email. This creates friction for customers and operational overhead for staff.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Pain Points Addressed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Manual, unstructured claim submissions that are slow to review and easy to misfile.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Limited self-service visibility into claim or policy status for customers.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High manual effort to read, summarize, and triage supporting documents (medical reports, repair estimates, police reports, etc.).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consistent, structured record of communication between the insurer and the claimant.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Opportunity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By combining a self-service portal with an LLM-based assistant, the insurer can accelerate first-pass review, reduce manual data entry, and give customers a faster, more transparent experience — while keeping a human adjuster in the loop for final decisions.</w:t>
      </w:r>
    </w:p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3. Proposed Solution Overview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portal is built as a decoupled web application: an Angular single-page application for the user experience, and a FastAPI service that exposes REST endpoints, manages persistence, and orchestrates calls to OpenAI's GPT-4o-mini model for AI-assisted tasks.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Core User Flows Demonstrated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Account registration &amp; secure login (JWT-based authentication).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Policyholder dashboard for viewing policies and claims.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New claim submission with supporting document upload.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AI-assisted review of submitted claim details and documents.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Individual claim detail view with status tracking (e.g., route pattern /claims/{id}).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Why This Approach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Angular Signals + zoneless change detection: a modern, high-performance rendering model with less boilerplate than legacy Angular.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FastAPI: async-first Python framework, fast to iterate on and well suited to wrapping AI API calls.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GPT-4o-mini: a low-cost, low-latency model appropriate for a POC — validates the interaction pattern before committing to a more expensive model.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Cloud-native deployment (Vercel + Render) to prove the app can run entirely on managed infrastructure with no custom ops overhead.</w:t>
      </w:r>
    </w:p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4. Technical Architecture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follows a standard three-tier pattern: a client SPA, a stateless API layer, and a persistence + AI services layer.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700"/>
      </w:tblGrid>
      <w:tr>
        <w:trPr>
          <w:tblHeader/>
        </w:trPr>
        <w:tc>
          <w:tcPr>
            <w:tcW w:type="dxa" w:w="1800"/>
            <w:shd w:fill="1F3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000"/>
            <w:shd w:fill="1F3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700"/>
            <w:shd w:fill="1F3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 in the POC</w:t>
            </w:r>
          </w:p>
        </w:tc>
      </w:tr>
      <w:tr>
        <w:trPr>
          <w:tblHeader w:val="false"/>
        </w:trPr>
        <w:tc>
          <w:tcPr>
            <w:tcW w:type="dxa" w:w="1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Frontend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Angular 17+ (Signals, zoneless change detection), TypeScript, HTML/SCSS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Renders the portal UI, manages client-side state reactively, calls backend REST API</w:t>
            </w:r>
          </w:p>
        </w:tc>
      </w:tr>
      <w:tr>
        <w:trPr>
          <w:tblHeader w:val="false"/>
        </w:trPr>
        <w:tc>
          <w:tcPr>
            <w:tcW w:type="dxa" w:w="18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Backend / API</w:t>
            </w:r>
          </w:p>
        </w:tc>
        <w:tc>
          <w:tcPr>
            <w:tcW w:type="dxa" w:w="30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FastAPI (Python), Uvicorn</w:t>
            </w:r>
          </w:p>
        </w:tc>
        <w:tc>
          <w:tcPr>
            <w:tcW w:type="dxa" w:w="47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Exposes REST endpoints for auth, claims, policies; coordinates AI calls</w:t>
            </w:r>
          </w:p>
        </w:tc>
      </w:tr>
      <w:tr>
        <w:trPr>
          <w:tblHeader w:val="false"/>
        </w:trPr>
        <w:tc>
          <w:tcPr>
            <w:tcW w:type="dxa" w:w="1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AI Layer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OpenAI API — GPT-4o-mini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Assists with claim review / document understanding tasks</w:t>
            </w:r>
          </w:p>
        </w:tc>
      </w:tr>
      <w:tr>
        <w:trPr>
          <w:tblHeader w:val="false"/>
        </w:trPr>
        <w:tc>
          <w:tcPr>
            <w:tcW w:type="dxa" w:w="18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Data</w:t>
            </w:r>
          </w:p>
        </w:tc>
        <w:tc>
          <w:tcPr>
            <w:tcW w:type="dxa" w:w="30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SQL database (SQLite for local dev; PostgreSQL-compatible for production)</w:t>
            </w:r>
          </w:p>
        </w:tc>
        <w:tc>
          <w:tcPr>
            <w:tcW w:type="dxa" w:w="47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Stores users, policies, claims, and related metadata</w:t>
            </w:r>
          </w:p>
        </w:tc>
      </w:tr>
      <w:tr>
        <w:trPr>
          <w:tblHeader w:val="false"/>
        </w:trPr>
        <w:tc>
          <w:tcPr>
            <w:tcW w:type="dxa" w:w="1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Auth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JWT-based authentication (SECRET_KEY signed tokens)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Secures API endpoints and gates client routes via an authGuard</w:t>
            </w:r>
          </w:p>
        </w:tc>
      </w:tr>
      <w:tr>
        <w:trPr>
          <w:tblHeader w:val="false"/>
        </w:trPr>
        <w:tc>
          <w:tcPr>
            <w:tcW w:type="dxa" w:w="18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Hosting — Frontend</w:t>
            </w:r>
          </w:p>
        </w:tc>
        <w:tc>
          <w:tcPr>
            <w:tcW w:type="dxa" w:w="30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Vercel</w:t>
            </w:r>
          </w:p>
        </w:tc>
        <w:tc>
          <w:tcPr>
            <w:tcW w:type="dxa" w:w="47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Static/SSR hosting for the Angular app</w:t>
            </w:r>
          </w:p>
        </w:tc>
      </w:tr>
      <w:tr>
        <w:trPr>
          <w:tblHeader w:val="false"/>
        </w:trPr>
        <w:tc>
          <w:tcPr>
            <w:tcW w:type="dxa" w:w="1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Hosting — Backend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Render (Web Service / Blueprint via render.yaml)</w:t>
            </w:r>
          </w:p>
        </w:tc>
        <w:tc>
          <w:tcPr>
            <w:tcW w:type="dxa" w:w="4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Hosts the FastAPI service and database</w:t>
            </w:r>
          </w:p>
        </w:tc>
      </w:tr>
    </w:tbl>
    <w:p>
      <w:pPr>
        <w:spacing w:before="24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High-Level Request Flow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 User authenticates from the Angular app → FastAPI issues a JWT.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 User submits a claim and uploads supporting documents through the portal.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 FastAPI persists the claim record and forwards relevant content to the OpenAI API for AI-assisted review.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4.  The AI response (e.g., a summary, extracted fields, or triage suggestion) is stored and surfaced back to the user/adjuster in the claim detail view.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5.  Client routes such as /upload/{id} and /claims/{id} render the corresponding step of the journey.</w:t>
      </w:r>
    </w:p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4b. End-to-End Process Flow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diagram below traces a single claim from submission through AI-assisted review to the policyholder seeing a result. It maps directly onto the layers introduced in Section 4.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Steps in the Flow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 The policyholder logs in to the Angular portal (JWT-authenticated session).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 They submit a new claim and upload supporting documents through the client UI.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 The FastAPI backend validates the request and creates a claim record.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4.  The backend fans out in parallel: it persists the claim and document metadata to the SQL database, and sends the relevant content to OpenAI's GPT-4o-mini for AI-assisted review.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5.  The backend merges the AI-generated result (e.g. a summary or triage suggestion) with the stored claim record.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6.  The Angular frontend renders the updated claim detail view (route pattern /claims/{id}).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7.  The policyholder or an adjuster reviews the claim status and the AI-generated summary.</w:t>
      </w:r>
    </w:p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5. Scope of the POC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POC is intentionally scoped as a technical validation, not a production-ready system. The table below draws the line between what is demonstrated today and what would be required for a pilot.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In Scope — Demonstrated Today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Angular frontend with signal-based state management and zoneless rendering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FastAPI backend with REST endpoints for auth, policies, and claims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JWT authentication with route guarding on the client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Document upload flow tied to a specific claim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OpenAI GPT-4o-mini integration for AI-assisted claim review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SQL-backed persistence (SQLite locally, PostgreSQL-ready)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Cloud deployment pipeline (Vercel + Render, including render.yaml blueprint)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Out of Scope — Deferred to Future Phases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Production-grade security hardening (secrets management, rate limiting, audit logging)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Real underwriting or claims-adjudication business logic (fraud scoring, payout automation)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Integration with a live policy administration or core insurance system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Multi-tenant support, role-based access beyond a basic auth guard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Formal accessibility (WCAG) and load/performance testing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Mobile app equivalents (web-responsive only)</w:t>
      </w:r>
    </w:p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6. Deployment Model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POC is designed to run entirely on managed, low-cost infrastructure, which keeps validation cost near zero while still being reachable over the public internet for stakeholder review.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Backend — Render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Deployed as a Python web service (or via the included render.yaml Blueprint).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Environment variables: PYTHON_VERSION, SECRET_KEY (JWT signing), DATABASE_URL, OPENAI_API_KEY.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Start command: uvicorn app.main:app --host 0.0.0.0 --port $PORT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Frontend — Vercel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Deployed from the /frontend directory using Angular's default build (npm run build).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Publicly reachable at ai-insurance-portal.vercel.app for demo purposes.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Local Development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Backend: cd backend &amp;&amp; uv run uvicorn app.main:app --reload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Frontend: cd frontend &amp;&amp; npm run start</w:t>
      </w:r>
    </w:p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7. Current Limitations &amp; Open Items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As a POC, a few items are tracked as open work rather than production blockers. These are pulled directly from the project's </w:t>
      </w:r>
      <w:r>
        <w:rPr>
          <w:rFonts w:ascii="Calibri" w:cs="Calibri" w:eastAsia="Calibri" w:hAnsi="Calibri"/>
          <w:b/>
          <w:bCs/>
          <w:color w:val="13293D"/>
          <w:sz w:val="22"/>
          <w:szCs w:val="22"/>
        </w:rPr>
        <w:t xml:space="preserve">TODO.md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Angular SSR routing needs adjustment so parameterized client routes (e.g., /upload/123, /claims/5) render correctly on the client instead of being forced through server rendering.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authGuard needs to be made SSR-safe — it should not evaluate login state during server rendering, which can currently cause incorrect redirects or blank screens.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Verification is still needed to confirm /upload/123 and /claims/5 reliably load their components with no blank-screen regressions.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8860B" w:color="auto" w:val="clear"/>
        </w:rPr>
        <w:t xml:space="preserve">  KNOWN ISSUE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 None of the above are architectural blockers — they are routing/SSR configuration fixes expected before broader user testing begins.</w:t>
      </w:r>
    </w:p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8. Success Criteria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following criteria were used to judge whether the POC proves out the intended concept.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1900"/>
      </w:tblGrid>
      <w:tr>
        <w:trPr>
          <w:tblHeader/>
        </w:trPr>
        <w:tc>
          <w:tcPr>
            <w:tcW w:type="dxa" w:w="3400"/>
            <w:shd w:fill="1F3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4200"/>
            <w:shd w:fill="1F3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Target for POC</w:t>
            </w:r>
          </w:p>
        </w:tc>
        <w:tc>
          <w:tcPr>
            <w:tcW w:type="dxa" w:w="1900"/>
            <w:shd w:fill="1F3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End-to-end claim submission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User can log in, submit a claim, and upload a document without errors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Demonstrated</w:t>
            </w:r>
          </w:p>
        </w:tc>
      </w:tr>
      <w:tr>
        <w:trPr>
          <w:tblHeader w:val="false"/>
        </w:trPr>
        <w:tc>
          <w:tcPr>
            <w:tcW w:type="dxa" w:w="34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AI-assisted review</w:t>
            </w:r>
          </w:p>
        </w:tc>
        <w:tc>
          <w:tcPr>
            <w:tcW w:type="dxa" w:w="42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AI layer returns a usable response for a submitted claim/document</w:t>
            </w:r>
          </w:p>
        </w:tc>
        <w:tc>
          <w:tcPr>
            <w:tcW w:type="dxa" w:w="19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Demonstrated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Client-side routing stability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All core routes render without blank screens, including under SSR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34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Cloud deployment</w:t>
            </w:r>
          </w:p>
        </w:tc>
        <w:tc>
          <w:tcPr>
            <w:tcW w:type="dxa" w:w="42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Full stack reachable via public URLs with no local setup</w:t>
            </w:r>
          </w:p>
        </w:tc>
        <w:tc>
          <w:tcPr>
            <w:tcW w:type="dxa" w:w="19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Demonstrated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Cost per AI call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Stay within a low, predictable per-request cost using GPT-4o-mini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 be measured</w:t>
            </w:r>
          </w:p>
        </w:tc>
      </w:tr>
    </w:tbl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9. Recommended Next Steps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Short Term (1–2 weeks)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Resolve the three SSR/routing items in Section 7 to stabilize the demo experience.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Move secrets (OPENAI_API_KEY, SECRET_KEY) to a proper secrets manager and confirm they are not exposed in any client bundle.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 basic automated tests around auth, claim submission, and the AI integration endpoint.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Medium Term (1–2 months)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Pilot with a small internal group or a single line of business to gather real usage data and AI-response quality feedback.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Introduce structured evaluation of AI outputs (accuracy, latency, cost per claim) to decide if GPT-4o-mini is sufficient or a larger model is warranted for specific tasks.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Migrate from SQLite to a managed PostgreSQL instance and add data backup/retention policies.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293D"/>
          <w:sz w:val="24"/>
          <w:szCs w:val="24"/>
        </w:rPr>
        <w:t xml:space="preserve">Longer Term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Define integration points with core policy administration / claims systems if the POC is approved for productization.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 role-based access control for adjusters vs. policyholders, and audit logging for compliance.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Evaluate accessibility, security review, and load testing ahead of a production rollout.</w:t>
      </w:r>
    </w:p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10. Risks &amp; Considerations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900"/>
      </w:tblGrid>
      <w:tr>
        <w:trPr>
          <w:tblHeader/>
        </w:trPr>
        <w:tc>
          <w:tcPr>
            <w:tcW w:type="dxa" w:w="3000"/>
            <w:shd w:fill="1F3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600"/>
            <w:shd w:fill="1F3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4900"/>
            <w:shd w:fill="1F3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AI output accuracy/hallucination on claim data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Medium–High</w:t>
            </w:r>
          </w:p>
        </w:tc>
        <w:tc>
          <w:tcPr>
            <w:tcW w:type="dxa" w:w="4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Keep a human adjuster in the loop for all decisions; log and review AI outputs</w:t>
            </w:r>
          </w:p>
        </w:tc>
      </w:tr>
      <w:tr>
        <w:trPr>
          <w:tblHeader w:val="false"/>
        </w:trPr>
        <w:tc>
          <w:tcPr>
            <w:tcW w:type="dxa" w:w="30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Data privacy of sensitive claim/medical documents sent to a third-party AI API</w:t>
            </w:r>
          </w:p>
        </w:tc>
        <w:tc>
          <w:tcPr>
            <w:tcW w:type="dxa" w:w="16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High</w:t>
            </w:r>
          </w:p>
        </w:tc>
        <w:tc>
          <w:tcPr>
            <w:tcW w:type="dxa" w:w="49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Review OpenAI data-handling terms; consider redaction or a private/enterprise AI endpoint before production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SSR/routing issues affecting user experience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Low</w:t>
            </w:r>
          </w:p>
        </w:tc>
        <w:tc>
          <w:tcPr>
            <w:tcW w:type="dxa" w:w="4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Tracked in Section 7; fix is scoped and well understood</w:t>
            </w:r>
          </w:p>
        </w:tc>
      </w:tr>
      <w:tr>
        <w:trPr>
          <w:tblHeader w:val="false"/>
        </w:trPr>
        <w:tc>
          <w:tcPr>
            <w:tcW w:type="dxa" w:w="30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Single-model dependency (OpenAI)</w:t>
            </w:r>
          </w:p>
        </w:tc>
        <w:tc>
          <w:tcPr>
            <w:tcW w:type="dxa" w:w="16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Medium</w:t>
            </w:r>
          </w:p>
        </w:tc>
        <w:tc>
          <w:tcPr>
            <w:tcW w:type="dxa" w:w="49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Abstract the AI call behind an internal interface to allow provider swap later</w:t>
            </w:r>
          </w:p>
        </w:tc>
      </w:tr>
    </w:tbl>
    <w:p>
      <w:pPr>
        <w:pStyle w:val="Heading1"/>
        <w:pBdr>
          <w:bottom w:val="single" w:color="1F3B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11. Conclusion &amp; Ask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POC demonstrates a technically sound, end-to-end path for combining a modern web portal with an AI-assisted layer for insurance claims handling. The core architecture — Angular + FastAPI + OpenAI, deployed on managed cloud infrastructure — is sound and reusable for a production build.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3293D"/>
          <w:sz w:val="22"/>
          <w:szCs w:val="22"/>
        </w:rPr>
        <w:t xml:space="preserve">Recommendation: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Approve a short stabilization pass (Section 9, Short Term) followed by a limited internal pilot to gather real usage data before committing further engineering investment.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3293D"/>
          <w:sz w:val="22"/>
          <w:szCs w:val="22"/>
        </w:rPr>
        <w:t xml:space="preserve">Ask of the Manager: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Time-box approval to fix the remaining SSR/routing issues, and sign-off to run a small internal pilot with real (or de-identified) claim scenarios.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0"/>
        <w:sz w:val="16"/>
        <w:szCs w:val="16"/>
      </w:rPr>
      <w:t xml:space="preserve">Page </w:t>
    </w:r>
    <w:r>
      <w:rPr>
        <w:rFonts w:ascii="Calibri" w:cs="Calibri" w:eastAsia="Calibri" w:hAnsi="Calibri"/>
        <w:color w:val="5B66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670"/>
        <w:sz w:val="16"/>
        <w:szCs w:val="16"/>
      </w:rPr>
      <w:t xml:space="preserve"> of </w:t>
    </w:r>
    <w:r>
      <w:rPr>
        <w:rFonts w:ascii="Calibri" w:cs="Calibri" w:eastAsia="Calibri" w:hAnsi="Calibri"/>
        <w:color w:val="5B66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5B6670"/>
        <w:sz w:val="16"/>
        <w:szCs w:val="16"/>
      </w:rPr>
      <w:t xml:space="preserve">AI Insurance Portal — Proof of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8ab26f769a07e7ede49496ee44695d9046a67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2026-07-06T05:21:38.434Z</dcterms:created>
  <dcterms:modified xsi:type="dcterms:W3CDTF">2026-07-06T05:21:38.444Z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