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i w:val="0"/>
          <w:color w:val="1F3A5F"/>
          <w:sz w:val="30"/>
        </w:rPr>
        <w:t>MEMORANDUM</w:t>
      </w:r>
    </w:p>
    <w:tbl>
      <w:tblPr>
        <w:tblW w:type="dxa" w:w="9360"/>
        <w:tblLayout w:type="fixed"/>
        <w:tblLook w:firstColumn="1" w:firstRow="1" w:lastColumn="0" w:lastRow="0" w:noHBand="0" w:noVBand="1" w:val="04A0"/>
        <w:tblLayout w:type="fixed"/>
      </w:tblPr>
      <w:tblGrid>
        <w:gridCol w:w="1080"/>
        <w:gridCol w:w="8280"/>
      </w:tblGrid>
      <w:tr>
        <w:tc>
          <w:tcPr>
            <w:tcW w:type="dxa" w:w="1080"/>
          </w:tcPr>
          <w:p>
            <w:pPr>
              <w:spacing w:after="40"/>
            </w:pPr>
            <w:r/>
            <w:r>
              <w:rPr>
                <w:b/>
              </w:rPr>
              <w:t>TO:</w:t>
            </w:r>
          </w:p>
        </w:tc>
        <w:tc>
          <w:tcPr>
            <w:tcW w:type="dxa" w:w="8280"/>
          </w:tcPr>
          <w:p>
            <w:pPr>
              <w:spacing w:after="40"/>
            </w:pPr>
            <w:r/>
            <w:r>
              <w:rPr>
                <w:b w:val="0"/>
              </w:rPr>
              <w:t>Sam DeLuca, P.E., City Engineer, City of Milbrook</w:t>
            </w:r>
          </w:p>
        </w:tc>
      </w:tr>
      <w:tr>
        <w:tc>
          <w:tcPr>
            <w:tcW w:type="dxa" w:w="1080"/>
          </w:tcPr>
          <w:p>
            <w:pPr>
              <w:spacing w:after="40"/>
            </w:pPr>
            <w:r/>
            <w:r>
              <w:rPr>
                <w:b/>
              </w:rPr>
              <w:t>FROM:</w:t>
            </w:r>
          </w:p>
        </w:tc>
        <w:tc>
          <w:tcPr>
            <w:tcW w:type="dxa" w:w="8280"/>
          </w:tcPr>
          <w:p>
            <w:pPr>
              <w:spacing w:after="40"/>
            </w:pPr>
            <w:r/>
            <w:r>
              <w:rPr>
                <w:b w:val="0"/>
              </w:rPr>
              <w:t>Marcus Okafor, P.E., Project Manager, Larkspur Civil Group, Inc.</w:t>
            </w:r>
          </w:p>
        </w:tc>
      </w:tr>
      <w:tr>
        <w:tc>
          <w:tcPr>
            <w:tcW w:type="dxa" w:w="1080"/>
          </w:tcPr>
          <w:p>
            <w:pPr>
              <w:spacing w:after="40"/>
            </w:pPr>
            <w:r/>
            <w:r>
              <w:rPr>
                <w:b/>
              </w:rPr>
              <w:t>CC:</w:t>
            </w:r>
          </w:p>
        </w:tc>
        <w:tc>
          <w:tcPr>
            <w:tcW w:type="dxa" w:w="8280"/>
          </w:tcPr>
          <w:p>
            <w:pPr>
              <w:spacing w:after="40"/>
            </w:pPr>
            <w:r/>
            <w:r>
              <w:rPr>
                <w:b w:val="0"/>
              </w:rPr>
              <w:t>Elena Vasquez, P.E., Principal-in-Charge; Priya Raman, P.E., Structural Lead (Bridge Engineer of Record); Dana Whitfield, P.E., Resident Engineer</w:t>
            </w:r>
          </w:p>
        </w:tc>
      </w:tr>
      <w:tr>
        <w:tc>
          <w:tcPr>
            <w:tcW w:type="dxa" w:w="1080"/>
          </w:tcPr>
          <w:p>
            <w:pPr>
              <w:spacing w:after="40"/>
            </w:pPr>
            <w:r/>
            <w:r>
              <w:rPr>
                <w:b/>
              </w:rPr>
              <w:t>DATE:</w:t>
            </w:r>
          </w:p>
        </w:tc>
        <w:tc>
          <w:tcPr>
            <w:tcW w:type="dxa" w:w="8280"/>
          </w:tcPr>
          <w:p>
            <w:pPr>
              <w:spacing w:after="40"/>
            </w:pPr>
            <w:r/>
            <w:r>
              <w:rPr>
                <w:b w:val="0"/>
              </w:rPr>
              <w:t>May 15, 2026</w:t>
            </w:r>
          </w:p>
        </w:tc>
      </w:tr>
      <w:tr>
        <w:tc>
          <w:tcPr>
            <w:tcW w:type="dxa" w:w="1080"/>
          </w:tcPr>
          <w:p>
            <w:pPr>
              <w:spacing w:after="40"/>
            </w:pPr>
            <w:r/>
            <w:r>
              <w:rPr>
                <w:b/>
              </w:rPr>
              <w:t>RE:</w:t>
            </w:r>
          </w:p>
        </w:tc>
        <w:tc>
          <w:tcPr>
            <w:tcW w:type="dxa" w:w="8280"/>
          </w:tcPr>
          <w:p>
            <w:pPr>
              <w:spacing w:after="40"/>
            </w:pPr>
            <w:r/>
            <w:r>
              <w:rPr>
                <w:b/>
              </w:rPr>
              <w:t>WP-2401 / STP 2024(041) MK — Pecan Creek Bridge, Bent 2 Drilled Shafts: Foundation Determination Following Redoak Addendum No. 1 (April 21, 2026)</w:t>
            </w:r>
          </w:p>
        </w:tc>
      </w:tr>
    </w:tbl>
    <w:p>
      <w:pPr>
        <w:spacing w:after="40" w:before="80"/>
        <w:pBdr>
          <w:bottom w:val="single" w:sz="6" w:space="1" w:color="808080"/>
        </w:pBdr>
      </w:pPr>
      <w:r>
        <w:rPr>
          <w:b w:val="0"/>
          <w:i/>
          <w:sz w:val="18"/>
        </w:rPr>
        <w:t>Confidential — prepared for the City's evaluation of Vantera's Bent 2 claim and the 05/27/2026 executive-session package. All elevations are feet, NAVD 88.</w:t>
      </w:r>
    </w:p>
    <w:p>
      <w:pPr>
        <w:keepNext/>
        <w:spacing w:before="180" w:after="60"/>
      </w:pPr>
      <w:r>
        <w:rPr>
          <w:b/>
          <w:color w:val="1F3A5F"/>
          <w:sz w:val="23"/>
        </w:rPr>
        <w:t>1.  Bottom line</w:t>
      </w:r>
    </w:p>
    <w:p>
      <w:r>
        <w:rPr>
          <w:b/>
          <w:i w:val="0"/>
        </w:rPr>
        <w:t xml:space="preserve">The Bent 2 shafts are not adequate as designed. </w:t>
      </w:r>
      <w:r>
        <w:rPr>
          <w:b w:val="0"/>
          <w:i w:val="0"/>
        </w:rPr>
        <w:t xml:space="preserve">The Contract requires an 8-ft minimum rock socket in sound limestone. The plans set the Bent 2 tip at 504.3 ft, 8.0 ft below 512.3 ft — but 512.3 ft is the top of </w:t>
      </w:r>
      <w:r>
        <w:rPr>
          <w:b w:val="0"/>
          <w:i/>
        </w:rPr>
        <w:t>weathered</w:t>
      </w:r>
      <w:r>
        <w:rPr>
          <w:b w:val="0"/>
          <w:i w:val="0"/>
        </w:rPr>
        <w:t xml:space="preserve"> rock (auger refusal) at Boring B-7, not the top of sound limestone. Redoak's sealed April 21 addendum re-confirms the B-7 profile: weathered limestone from 512.3 to 509.4 ft (RQD 28%, clay-seam infill) and sound limestone from 509.4 ft down. The plan tip therefore provides </w:t>
      </w:r>
      <w:r>
        <w:rPr>
          <w:b/>
          <w:i w:val="0"/>
        </w:rPr>
        <w:t>5.1 ft</w:t>
      </w:r>
      <w:r>
        <w:rPr>
          <w:b w:val="0"/>
          <w:i w:val="0"/>
        </w:rPr>
        <w:t xml:space="preserve"> of socket in sound limestone, 2.9 ft short. A compliant tip is at or below </w:t>
      </w:r>
      <w:r>
        <w:rPr>
          <w:b/>
          <w:i w:val="0"/>
        </w:rPr>
        <w:t>501.4 ft</w:t>
      </w:r>
      <w:r>
        <w:rPr>
          <w:b w:val="0"/>
          <w:i w:val="0"/>
        </w:rPr>
        <w:t>. This is a deficiency in Larkspur's design, not a site condition.</w:t>
      </w:r>
    </w:p>
    <w:p>
      <w:pPr>
        <w:pStyle w:val="ListBullet"/>
        <w:spacing w:after="60"/>
      </w:pPr>
      <w:r>
        <w:rPr>
          <w:b/>
          <w:i w:val="0"/>
        </w:rPr>
        <w:t xml:space="preserve">It is not a differing site condition. </w:t>
      </w:r>
      <w:r>
        <w:rPr>
          <w:b w:val="0"/>
          <w:i w:val="0"/>
        </w:rPr>
        <w:t>Rock was encountered at Bent 2 at about 512.0 ft, within 0.3 ft of B-7. The condition does not differ materially from the Contract Documents, and this finding gives no support to Vantera's §4.3 claim (Section 4).</w:t>
      </w:r>
    </w:p>
    <w:p>
      <w:pPr>
        <w:pStyle w:val="ListBullet"/>
        <w:spacing w:after="60"/>
      </w:pPr>
      <w:r>
        <w:rPr>
          <w:b/>
          <w:i w:val="0"/>
        </w:rPr>
        <w:t xml:space="preserve">On this record it cannot fairly be charged to Vantera. </w:t>
      </w:r>
      <w:r>
        <w:rPr>
          <w:b w:val="0"/>
          <w:i w:val="0"/>
        </w:rPr>
        <w:t>Vantera drilled to the plan tip on a sound-rock call recorded by our inspector, and our Resident Engineer accepted the tip. Verification and any corrective work we direct are changes under GC §10, not Contractor correction work (Section 5).</w:t>
      </w:r>
    </w:p>
    <w:p>
      <w:pPr>
        <w:pStyle w:val="ListBullet"/>
        <w:spacing w:after="60"/>
      </w:pPr>
      <w:r>
        <w:rPr>
          <w:b/>
          <w:i w:val="0"/>
        </w:rPr>
        <w:t xml:space="preserve">Adequacy of what was built is still open. </w:t>
      </w:r>
      <w:r>
        <w:rPr>
          <w:b w:val="0"/>
          <w:i w:val="0"/>
        </w:rPr>
        <w:t>The shaft was concreted on 03/25/2026 and the column and cap are on it. Whether it can be accepted as built depends on a sealed re-evaluation by the bridge Engineer of Record, with Redoak's concurrence, supported by verification of the rock at the shaft. The same design basis was used at all four substructure units.</w:t>
      </w:r>
    </w:p>
    <w:p>
      <w:pPr>
        <w:pStyle w:val="ListBullet"/>
        <w:spacing w:after="80"/>
      </w:pPr>
      <w:r>
        <w:rPr>
          <w:b/>
          <w:i w:val="0"/>
        </w:rPr>
        <w:t xml:space="preserve">For the 05/27 package: </w:t>
      </w:r>
      <w:r>
        <w:rPr>
          <w:b w:val="0"/>
          <w:i w:val="0"/>
        </w:rPr>
        <w:t>carry the Bent 2 foundation as an open item with the path in Section 5 — not as closed, and not as "consistent with the record." The differing-site-condition recommendation can go forward on its own merits once the record corrections in Section 5, item 2 are made.</w:t>
      </w:r>
    </w:p>
    <w:p>
      <w:pPr>
        <w:keepNext/>
        <w:spacing w:before="180" w:after="60"/>
      </w:pPr>
      <w:r>
        <w:rPr>
          <w:b/>
          <w:color w:val="1F3A5F"/>
          <w:sz w:val="23"/>
        </w:rPr>
        <w:t>2.  What the design required and what it provides</w:t>
      </w:r>
    </w:p>
    <w:tbl>
      <w:tblPr>
        <w:tblStyle w:val="TableGrid"/>
        <w:tblW w:type="dxa" w:w="9360"/>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520"/>
        <w:gridCol w:w="4104"/>
        <w:gridCol w:w="2736"/>
      </w:tblGrid>
      <w:tr>
        <w:trPr>
          <w:tblHeader w:val="true"/>
          <w:cantSplit/>
        </w:trPr>
        <w:tc>
          <w:tcPr>
            <w:tcW w:type="dxa" w:w="2520"/>
            <w:shd w:val="clear" w:color="auto" w:fill="D9E2EC"/>
          </w:tcPr>
          <w:p>
            <w:pPr>
              <w:spacing w:after="0" w:line="240" w:lineRule="auto"/>
            </w:pPr>
            <w:r/>
            <w:r>
              <w:rPr>
                <w:b/>
                <w:i w:val="0"/>
                <w:sz w:val="17"/>
              </w:rPr>
              <w:t>Item</w:t>
            </w:r>
          </w:p>
        </w:tc>
        <w:tc>
          <w:tcPr>
            <w:tcW w:type="dxa" w:w="4104"/>
            <w:shd w:val="clear" w:color="auto" w:fill="D9E2EC"/>
          </w:tcPr>
          <w:p>
            <w:pPr>
              <w:spacing w:after="0" w:line="240" w:lineRule="auto"/>
            </w:pPr>
            <w:r/>
            <w:r>
              <w:rPr>
                <w:b/>
                <w:i w:val="0"/>
                <w:sz w:val="17"/>
              </w:rPr>
              <w:t>Value</w:t>
            </w:r>
          </w:p>
        </w:tc>
        <w:tc>
          <w:tcPr>
            <w:tcW w:type="dxa" w:w="2736"/>
            <w:shd w:val="clear" w:color="auto" w:fill="D9E2EC"/>
          </w:tcPr>
          <w:p>
            <w:pPr>
              <w:spacing w:after="0" w:line="240" w:lineRule="auto"/>
            </w:pPr>
            <w:r/>
            <w:r>
              <w:rPr>
                <w:b/>
                <w:i w:val="0"/>
                <w:sz w:val="17"/>
              </w:rPr>
              <w:t>Source</w:t>
            </w:r>
          </w:p>
        </w:tc>
      </w:tr>
      <w:tr>
        <w:trPr>
          <w:cantSplit/>
        </w:trPr>
        <w:tc>
          <w:tcPr>
            <w:tcW w:type="dxa" w:w="2520"/>
          </w:tcPr>
          <w:p>
            <w:pPr>
              <w:spacing w:after="0" w:line="240" w:lineRule="auto"/>
            </w:pPr>
            <w:r/>
            <w:r>
              <w:rPr>
                <w:b/>
                <w:i w:val="0"/>
                <w:sz w:val="17"/>
              </w:rPr>
              <w:t>Required socket</w:t>
            </w:r>
          </w:p>
        </w:tc>
        <w:tc>
          <w:tcPr>
            <w:tcW w:type="dxa" w:w="4104"/>
          </w:tcPr>
          <w:p>
            <w:pPr>
              <w:spacing w:after="0" w:line="240" w:lineRule="auto"/>
            </w:pPr>
            <w:r/>
            <w:r>
              <w:rPr>
                <w:b w:val="0"/>
                <w:i w:val="0"/>
                <w:sz w:val="17"/>
              </w:rPr>
              <w:t>8.0 ft minimum into sound (Class II or better) limestone, measured from the top of continuous sound rock</w:t>
            </w:r>
          </w:p>
        </w:tc>
        <w:tc>
          <w:tcPr>
            <w:tcW w:type="dxa" w:w="2736"/>
          </w:tcPr>
          <w:p>
            <w:pPr>
              <w:spacing w:after="0" w:line="240" w:lineRule="auto"/>
            </w:pPr>
            <w:r/>
            <w:r>
              <w:rPr>
                <w:b w:val="0"/>
                <w:i w:val="0"/>
                <w:sz w:val="17"/>
              </w:rPr>
              <w:t>Redoak Report §7.3; Sheet B-04; B-17 Note 1; Spec 421.02; Addendum No. 1, Cl. 2.2</w:t>
            </w:r>
          </w:p>
        </w:tc>
      </w:tr>
      <w:tr>
        <w:trPr>
          <w:cantSplit/>
        </w:trPr>
        <w:tc>
          <w:tcPr>
            <w:tcW w:type="dxa" w:w="2520"/>
          </w:tcPr>
          <w:p>
            <w:pPr>
              <w:spacing w:after="0" w:line="240" w:lineRule="auto"/>
            </w:pPr>
            <w:r/>
            <w:r>
              <w:rPr>
                <w:b/>
                <w:i w:val="0"/>
                <w:sz w:val="17"/>
              </w:rPr>
              <w:t>Sound rock, as defined</w:t>
            </w:r>
          </w:p>
        </w:tc>
        <w:tc>
          <w:tcPr>
            <w:tcW w:type="dxa" w:w="4104"/>
          </w:tcPr>
          <w:p>
            <w:pPr>
              <w:spacing w:after="0" w:line="240" w:lineRule="auto"/>
            </w:pPr>
            <w:r/>
            <w:r>
              <w:rPr>
                <w:b w:val="0"/>
                <w:i w:val="0"/>
                <w:sz w:val="17"/>
              </w:rPr>
              <w:t>RQD ≥ 60%; no clay seam wider than 1 in. in any 5-ft core run; UCS ≥ 4,000 psi; no void &gt; 6 in.</w:t>
            </w:r>
          </w:p>
        </w:tc>
        <w:tc>
          <w:tcPr>
            <w:tcW w:type="dxa" w:w="2736"/>
          </w:tcPr>
          <w:p>
            <w:pPr>
              <w:spacing w:after="0" w:line="240" w:lineRule="auto"/>
            </w:pPr>
            <w:r/>
            <w:r>
              <w:rPr>
                <w:b w:val="0"/>
                <w:i w:val="0"/>
                <w:sz w:val="17"/>
              </w:rPr>
              <w:t>Redoak Report §4.4</w:t>
            </w:r>
          </w:p>
        </w:tc>
      </w:tr>
      <w:tr>
        <w:trPr>
          <w:cantSplit/>
        </w:trPr>
        <w:tc>
          <w:tcPr>
            <w:tcW w:type="dxa" w:w="2520"/>
          </w:tcPr>
          <w:p>
            <w:pPr>
              <w:spacing w:after="0" w:line="240" w:lineRule="auto"/>
            </w:pPr>
            <w:r/>
            <w:r>
              <w:rPr>
                <w:b/>
                <w:i w:val="0"/>
                <w:sz w:val="17"/>
              </w:rPr>
              <w:t>Top of rock at B-7 (auger refusal)</w:t>
            </w:r>
          </w:p>
        </w:tc>
        <w:tc>
          <w:tcPr>
            <w:tcW w:type="dxa" w:w="4104"/>
          </w:tcPr>
          <w:p>
            <w:pPr>
              <w:spacing w:after="0" w:line="240" w:lineRule="auto"/>
            </w:pPr>
            <w:r/>
            <w:r>
              <w:rPr>
                <w:b w:val="0"/>
                <w:i w:val="0"/>
                <w:sz w:val="17"/>
              </w:rPr>
              <w:t>512.3 ft — weathered, tan-gray limestone</w:t>
            </w:r>
          </w:p>
        </w:tc>
        <w:tc>
          <w:tcPr>
            <w:tcW w:type="dxa" w:w="2736"/>
          </w:tcPr>
          <w:p>
            <w:pPr>
              <w:spacing w:after="0" w:line="240" w:lineRule="auto"/>
            </w:pPr>
            <w:r/>
            <w:r>
              <w:rPr>
                <w:b w:val="0"/>
                <w:i w:val="0"/>
                <w:sz w:val="17"/>
              </w:rPr>
              <w:t>B-7 log; Redoak Addendum §2</w:t>
            </w:r>
          </w:p>
        </w:tc>
      </w:tr>
      <w:tr>
        <w:trPr>
          <w:cantSplit/>
        </w:trPr>
        <w:tc>
          <w:tcPr>
            <w:tcW w:type="dxa" w:w="2520"/>
          </w:tcPr>
          <w:p>
            <w:pPr>
              <w:spacing w:after="0" w:line="240" w:lineRule="auto"/>
            </w:pPr>
            <w:r/>
            <w:r>
              <w:rPr>
                <w:b/>
                <w:i w:val="0"/>
                <w:sz w:val="17"/>
              </w:rPr>
              <w:t>Weathered interval</w:t>
            </w:r>
          </w:p>
        </w:tc>
        <w:tc>
          <w:tcPr>
            <w:tcW w:type="dxa" w:w="4104"/>
          </w:tcPr>
          <w:p>
            <w:pPr>
              <w:spacing w:after="0" w:line="240" w:lineRule="auto"/>
            </w:pPr>
            <w:r/>
            <w:r>
              <w:rPr>
                <w:b w:val="0"/>
                <w:i w:val="0"/>
                <w:sz w:val="17"/>
              </w:rPr>
              <w:t>512.3 to 509.4 ft; recovery 70%, RQD 28%; clay seam at 14.2–14.6 ft depth</w:t>
            </w:r>
          </w:p>
        </w:tc>
        <w:tc>
          <w:tcPr>
            <w:tcW w:type="dxa" w:w="2736"/>
          </w:tcPr>
          <w:p>
            <w:pPr>
              <w:spacing w:after="0" w:line="240" w:lineRule="auto"/>
            </w:pPr>
            <w:r/>
            <w:r>
              <w:rPr>
                <w:b w:val="0"/>
                <w:i w:val="0"/>
                <w:sz w:val="17"/>
              </w:rPr>
              <w:t>B-7 log; Redoak Addendum §2</w:t>
            </w:r>
          </w:p>
        </w:tc>
      </w:tr>
      <w:tr>
        <w:trPr>
          <w:cantSplit/>
        </w:trPr>
        <w:tc>
          <w:tcPr>
            <w:tcW w:type="dxa" w:w="2520"/>
          </w:tcPr>
          <w:p>
            <w:pPr>
              <w:spacing w:after="0" w:line="240" w:lineRule="auto"/>
            </w:pPr>
            <w:r/>
            <w:r>
              <w:rPr>
                <w:b/>
                <w:i w:val="0"/>
                <w:sz w:val="17"/>
              </w:rPr>
              <w:t>Top of sound limestone at B-7</w:t>
            </w:r>
          </w:p>
        </w:tc>
        <w:tc>
          <w:tcPr>
            <w:tcW w:type="dxa" w:w="4104"/>
          </w:tcPr>
          <w:p>
            <w:pPr>
              <w:spacing w:after="0" w:line="240" w:lineRule="auto"/>
            </w:pPr>
            <w:r/>
            <w:r>
              <w:rPr>
                <w:b w:val="0"/>
                <w:i w:val="0"/>
                <w:sz w:val="17"/>
              </w:rPr>
              <w:t>509.4 ft (the 2024 report §7.3 and a B-7 log note give "approximately 510.1 ft")</w:t>
            </w:r>
          </w:p>
        </w:tc>
        <w:tc>
          <w:tcPr>
            <w:tcW w:type="dxa" w:w="2736"/>
          </w:tcPr>
          <w:p>
            <w:pPr>
              <w:spacing w:after="0" w:line="240" w:lineRule="auto"/>
            </w:pPr>
            <w:r/>
            <w:r>
              <w:rPr>
                <w:b w:val="0"/>
                <w:i w:val="0"/>
                <w:sz w:val="17"/>
              </w:rPr>
              <w:t>B-7 log strata; Redoak Addendum §§2, 4</w:t>
            </w:r>
          </w:p>
        </w:tc>
      </w:tr>
      <w:tr>
        <w:trPr>
          <w:cantSplit/>
        </w:trPr>
        <w:tc>
          <w:tcPr>
            <w:tcW w:type="dxa" w:w="2520"/>
          </w:tcPr>
          <w:p>
            <w:pPr>
              <w:spacing w:after="0" w:line="240" w:lineRule="auto"/>
            </w:pPr>
            <w:r/>
            <w:r>
              <w:rPr>
                <w:b/>
                <w:i w:val="0"/>
                <w:sz w:val="17"/>
              </w:rPr>
              <w:t>Plan tip</w:t>
            </w:r>
          </w:p>
        </w:tc>
        <w:tc>
          <w:tcPr>
            <w:tcW w:type="dxa" w:w="4104"/>
          </w:tcPr>
          <w:p>
            <w:pPr>
              <w:spacing w:after="0" w:line="240" w:lineRule="auto"/>
            </w:pPr>
            <w:r/>
            <w:r>
              <w:rPr>
                <w:b w:val="0"/>
                <w:i w:val="0"/>
                <w:sz w:val="17"/>
              </w:rPr>
              <w:t>504.3 ft (8.0 ft below 512.3 ft)</w:t>
            </w:r>
          </w:p>
        </w:tc>
        <w:tc>
          <w:tcPr>
            <w:tcW w:type="dxa" w:w="2736"/>
          </w:tcPr>
          <w:p>
            <w:pPr>
              <w:spacing w:after="0" w:line="240" w:lineRule="auto"/>
            </w:pPr>
            <w:r/>
            <w:r>
              <w:rPr>
                <w:b w:val="0"/>
                <w:i w:val="0"/>
                <w:sz w:val="17"/>
              </w:rPr>
              <w:t>B-04; B-16; Spec 421.02; Addendum No. 1, Cl. 2.8</w:t>
            </w:r>
          </w:p>
        </w:tc>
      </w:tr>
      <w:tr>
        <w:trPr>
          <w:cantSplit/>
        </w:trPr>
        <w:tc>
          <w:tcPr>
            <w:tcW w:type="dxa" w:w="2520"/>
          </w:tcPr>
          <w:p>
            <w:pPr>
              <w:spacing w:after="0" w:line="240" w:lineRule="auto"/>
            </w:pPr>
            <w:r/>
            <w:r>
              <w:rPr>
                <w:b/>
                <w:i w:val="0"/>
                <w:sz w:val="17"/>
              </w:rPr>
              <w:t>Socket in sound limestone at plan tip</w:t>
            </w:r>
          </w:p>
        </w:tc>
        <w:tc>
          <w:tcPr>
            <w:tcW w:type="dxa" w:w="4104"/>
          </w:tcPr>
          <w:p>
            <w:pPr>
              <w:spacing w:after="0" w:line="240" w:lineRule="auto"/>
            </w:pPr>
            <w:r/>
            <w:r>
              <w:rPr>
                <w:b/>
                <w:i w:val="0"/>
                <w:sz w:val="17"/>
              </w:rPr>
              <w:t>5.1 ft — 2.9 ft short</w:t>
            </w:r>
            <w:r>
              <w:rPr>
                <w:b w:val="0"/>
                <w:i w:val="0"/>
                <w:sz w:val="17"/>
              </w:rPr>
              <w:t xml:space="preserve"> (5.8 ft, 2.2 ft short, using 510.1 ft)</w:t>
            </w:r>
          </w:p>
        </w:tc>
        <w:tc>
          <w:tcPr>
            <w:tcW w:type="dxa" w:w="2736"/>
          </w:tcPr>
          <w:p>
            <w:pPr>
              <w:spacing w:after="0" w:line="240" w:lineRule="auto"/>
            </w:pPr>
            <w:r/>
            <w:r>
              <w:rPr>
                <w:b w:val="0"/>
                <w:i w:val="0"/>
                <w:sz w:val="17"/>
              </w:rPr>
              <w:t>Computed</w:t>
            </w:r>
          </w:p>
        </w:tc>
      </w:tr>
      <w:tr>
        <w:trPr>
          <w:cantSplit/>
        </w:trPr>
        <w:tc>
          <w:tcPr>
            <w:tcW w:type="dxa" w:w="2520"/>
          </w:tcPr>
          <w:p>
            <w:pPr>
              <w:spacing w:after="0" w:line="240" w:lineRule="auto"/>
            </w:pPr>
            <w:r/>
            <w:r>
              <w:rPr>
                <w:b/>
                <w:i w:val="0"/>
                <w:sz w:val="17"/>
              </w:rPr>
              <w:t>Tip needed for 8.0 ft in sound limestone</w:t>
            </w:r>
          </w:p>
        </w:tc>
        <w:tc>
          <w:tcPr>
            <w:tcW w:type="dxa" w:w="4104"/>
          </w:tcPr>
          <w:p>
            <w:pPr>
              <w:spacing w:after="0" w:line="240" w:lineRule="auto"/>
            </w:pPr>
            <w:r/>
            <w:r>
              <w:rPr>
                <w:b/>
                <w:i w:val="0"/>
                <w:sz w:val="17"/>
              </w:rPr>
              <w:t>501.4 ft or lower</w:t>
            </w:r>
            <w:r>
              <w:rPr>
                <w:b w:val="0"/>
                <w:i w:val="0"/>
                <w:sz w:val="17"/>
              </w:rPr>
              <w:t xml:space="preserve"> (Redoak §7.3: "approximately 502.1 ft ... or below")</w:t>
            </w:r>
          </w:p>
        </w:tc>
        <w:tc>
          <w:tcPr>
            <w:tcW w:type="dxa" w:w="2736"/>
          </w:tcPr>
          <w:p>
            <w:pPr>
              <w:spacing w:after="0" w:line="240" w:lineRule="auto"/>
            </w:pPr>
            <w:r/>
            <w:r>
              <w:rPr>
                <w:b w:val="0"/>
                <w:i w:val="0"/>
                <w:sz w:val="17"/>
              </w:rPr>
              <w:t>Computed; Redoak Report §7.3</w:t>
            </w:r>
          </w:p>
        </w:tc>
      </w:tr>
    </w:tbl>
    <w:p>
      <w:pPr>
        <w:spacing w:after="40"/>
      </w:pPr>
    </w:p>
    <w:p>
      <w:r>
        <w:rPr>
          <w:b w:val="0"/>
          <w:i w:val="0"/>
        </w:rPr>
        <w:t>The error is in where the 8 ft was measured from. Sheet B-04 labels 512.3 ft "top of rock (design)" and sets the tip to give "8.0 ft embedment below top of rock." Redoak's 2024 report kept the two surfaces separate and stated that an 8-ft socket into sound rock "places the design shaft tip at approximately elevation 502.1 ft NAVD 88 or below, subject to Larkspur's structural review" (§7.3). Our plans did not carry that through. Our Scour Evaluation (09/28/2024), Appendix B.5, computed that the 504.3-ft tip is only 5.8 ft below sound rock and still recorded the socket as adequate. Its §8.3 and Conclusion 5, and Sheet S-3R Note 2, state that the tip has 8.0 ft of embedment in sound limestone, and Addendum No. 1 Clarification 2.8 and Floodplain Permit FDP-2024-0087 §8 repeat the 8.0 ft of embedment below a 512.3-ft scour floor. Those statements are wrong.</w:t>
      </w:r>
    </w:p>
    <w:p>
      <w:pPr>
        <w:keepNext/>
        <w:spacing w:after="40"/>
      </w:pPr>
      <w:r>
        <w:rPr>
          <w:b w:val="0"/>
          <w:i w:val="0"/>
        </w:rPr>
        <w:t>The shortfall carries into the other design checks:</w:t>
      </w:r>
    </w:p>
    <w:p>
      <w:pPr>
        <w:pStyle w:val="ListBullet"/>
        <w:spacing w:after="60"/>
      </w:pPr>
      <w:r>
        <w:rPr>
          <w:b/>
          <w:i w:val="0"/>
        </w:rPr>
        <w:t xml:space="preserve">Scour. </w:t>
      </w:r>
      <w:r>
        <w:rPr>
          <w:b w:val="0"/>
          <w:i w:val="0"/>
        </w:rPr>
        <w:t>The Bent 2 scour floor was set at 512.3 ft — the top of the weathered zone — and described as conservative. It is not: the weathered limestone is the material most exposed to erosion, and the surveyed pool thalweg near Bent 2 (511.8 ft) is already below 512.3 ft. With the scour floor at the sound-rock surface, embedment below the scour floor at the plan tip is 5.1 ft, not 8.0 ft. The pier-scour computation also modeled a single 4-ft pier; B-04 shows two 5-ft columns. The Scour Evaluation's own §11.1 requires re-evaluation when the top-of-rock interpretation changes.</w:t>
      </w:r>
    </w:p>
    <w:p>
      <w:pPr>
        <w:pStyle w:val="ListBullet"/>
        <w:spacing w:after="60"/>
      </w:pPr>
      <w:r>
        <w:rPr>
          <w:b/>
          <w:i w:val="0"/>
        </w:rPr>
        <w:t xml:space="preserve">Lateral. </w:t>
      </w:r>
      <w:r>
        <w:rPr>
          <w:b w:val="0"/>
          <w:i w:val="0"/>
        </w:rPr>
        <w:t>Redoak's weathered-rock parameters (k = 100 pci) are one-quarter of the sound-rock values (k = 400 pci) (Redoak §6.3). Any lateral analysis that treated 512.3–504.3 ft as sound rock must be re-run. The LPILE runs are not in the project record I reviewed.</w:t>
      </w:r>
    </w:p>
    <w:p>
      <w:pPr>
        <w:pStyle w:val="ListBullet"/>
        <w:spacing w:after="80"/>
      </w:pPr>
      <w:r>
        <w:rPr>
          <w:b/>
          <w:i w:val="0"/>
        </w:rPr>
        <w:t xml:space="preserve">Axial. </w:t>
      </w:r>
      <w:r>
        <w:rPr>
          <w:b w:val="0"/>
          <w:i w:val="0"/>
        </w:rPr>
        <w:t>The plan tip still bears in sound limestone at B-7 (UCS 10,200 psi at Elev. 503.4 ft; no voids below 16 ft), so tip bearing itself may be acceptable. The record does not contain the Bent 2 load and capacity calculations, however, and a screening check has to be resolved first. At 40 ksf with side resistance neglected (B-04; Spec 421.03), each 48-in. shaft has an allowable capacity of about 503 kips (about 1,005 kips for two). Girder weights in approved Submittal 503-04 give a bare-girder reaction at Bent 2 of about 489 kips; adding the 8-in. deck as dimensioned on B-01 (about 741 kips) and the cap and columns (about 246 kips) gives about 1,480 kips of dead load before rails, wearing surface and live load. The 40-ksf value carries a factor of safety of 3 and is conservative for rock of this strength (Redoak §6.2), so this is not a sign of distress. But the documented basis does not close, and it has to be reconciled before more superstructure load goes onto Bent 2.</w:t>
      </w:r>
    </w:p>
    <w:p>
      <w:pPr>
        <w:keepNext/>
        <w:spacing w:before="180" w:after="60"/>
      </w:pPr>
      <w:r>
        <w:rPr>
          <w:b/>
          <w:color w:val="1F3A5F"/>
          <w:sz w:val="23"/>
        </w:rPr>
        <w:t>3.  What was built at Bent 2</w:t>
      </w:r>
    </w:p>
    <w:p>
      <w:pPr>
        <w:keepNext/>
        <w:spacing w:after="60"/>
      </w:pPr>
      <w:r>
        <w:rPr>
          <w:b w:val="0"/>
          <w:i w:val="0"/>
        </w:rPr>
        <w:t>Our daily reports record the following for the Bent 2 shaft:</w:t>
      </w:r>
    </w:p>
    <w:tbl>
      <w:tblPr>
        <w:tblStyle w:val="TableGrid"/>
        <w:tblW w:type="dxa" w:w="9360"/>
        <w:jc w:val="center"/>
        <w:tblLayout w:type="fixed"/>
        <w:tblLook w:firstColumn="1" w:firstRow="1" w:lastColumn="0" w:lastRow="0" w:noHBand="0" w:noVBand="1" w:val="04A0"/>
        <w:tblCellMar>
          <w:top w:w="40" w:type="dxa"/>
          <w:left w:w="70" w:type="dxa"/>
          <w:bottom w:w="40" w:type="dxa"/>
          <w:right w:w="70" w:type="dxa"/>
        </w:tblCellMar>
        <w:tblLayout w:type="fixed"/>
      </w:tblPr>
      <w:tblGrid>
        <w:gridCol w:w="1655"/>
        <w:gridCol w:w="6263"/>
        <w:gridCol w:w="1440"/>
      </w:tblGrid>
      <w:tr>
        <w:trPr>
          <w:tblHeader w:val="true"/>
          <w:cantSplit/>
        </w:trPr>
        <w:tc>
          <w:tcPr>
            <w:tcW w:type="dxa" w:w="1656"/>
            <w:shd w:val="clear" w:color="auto" w:fill="D9E2EC"/>
          </w:tcPr>
          <w:p>
            <w:pPr>
              <w:spacing w:after="0" w:line="240" w:lineRule="auto"/>
            </w:pPr>
            <w:r/>
            <w:r>
              <w:rPr>
                <w:b/>
                <w:i w:val="0"/>
                <w:sz w:val="17"/>
              </w:rPr>
              <w:t>Date</w:t>
            </w:r>
          </w:p>
        </w:tc>
        <w:tc>
          <w:tcPr>
            <w:tcW w:type="dxa" w:w="6264"/>
            <w:shd w:val="clear" w:color="auto" w:fill="D9E2EC"/>
          </w:tcPr>
          <w:p>
            <w:pPr>
              <w:spacing w:after="0" w:line="240" w:lineRule="auto"/>
            </w:pPr>
            <w:r/>
            <w:r>
              <w:rPr>
                <w:b/>
                <w:i w:val="0"/>
                <w:sz w:val="17"/>
              </w:rPr>
              <w:t>Event</w:t>
            </w:r>
          </w:p>
        </w:tc>
        <w:tc>
          <w:tcPr>
            <w:tcW w:type="dxa" w:w="1440"/>
            <w:shd w:val="clear" w:color="auto" w:fill="D9E2EC"/>
          </w:tcPr>
          <w:p>
            <w:pPr>
              <w:spacing w:after="0" w:line="240" w:lineRule="auto"/>
            </w:pPr>
            <w:r/>
            <w:r>
              <w:rPr>
                <w:b/>
                <w:i w:val="0"/>
                <w:sz w:val="17"/>
              </w:rPr>
              <w:t>Record</w:t>
            </w:r>
          </w:p>
        </w:tc>
      </w:tr>
      <w:tr>
        <w:trPr>
          <w:cantSplit/>
        </w:trPr>
        <w:tc>
          <w:tcPr>
            <w:tcW w:type="dxa" w:w="1656"/>
          </w:tcPr>
          <w:p>
            <w:pPr>
              <w:spacing w:after="0" w:line="240" w:lineRule="auto"/>
            </w:pPr>
            <w:r/>
            <w:r>
              <w:rPr>
                <w:b w:val="0"/>
                <w:i w:val="0"/>
                <w:sz w:val="17"/>
              </w:rPr>
              <w:t>03/16/2026</w:t>
            </w:r>
          </w:p>
        </w:tc>
        <w:tc>
          <w:tcPr>
            <w:tcW w:type="dxa" w:w="6264"/>
          </w:tcPr>
          <w:p>
            <w:pPr>
              <w:spacing w:after="0" w:line="240" w:lineRule="auto"/>
            </w:pPr>
            <w:r/>
            <w:r>
              <w:rPr>
                <w:b w:val="0"/>
                <w:i w:val="0"/>
                <w:sz w:val="17"/>
              </w:rPr>
              <w:t>Casing set to about 525 ft; about 12 ft of overburden drilled</w:t>
            </w:r>
          </w:p>
        </w:tc>
        <w:tc>
          <w:tcPr>
            <w:tcW w:type="dxa" w:w="1440"/>
          </w:tcPr>
          <w:p>
            <w:pPr>
              <w:spacing w:after="0" w:line="240" w:lineRule="auto"/>
            </w:pPr>
            <w:r/>
            <w:r>
              <w:rPr>
                <w:b w:val="0"/>
                <w:i w:val="0"/>
                <w:sz w:val="17"/>
              </w:rPr>
              <w:t>DR-0291</w:t>
            </w:r>
          </w:p>
        </w:tc>
      </w:tr>
      <w:tr>
        <w:trPr>
          <w:cantSplit/>
        </w:trPr>
        <w:tc>
          <w:tcPr>
            <w:tcW w:type="dxa" w:w="1656"/>
          </w:tcPr>
          <w:p>
            <w:pPr>
              <w:spacing w:after="0" w:line="240" w:lineRule="auto"/>
            </w:pPr>
            <w:r/>
            <w:r>
              <w:rPr>
                <w:b w:val="0"/>
                <w:i w:val="0"/>
                <w:sz w:val="17"/>
              </w:rPr>
              <w:t>03/17/2026</w:t>
            </w:r>
          </w:p>
        </w:tc>
        <w:tc>
          <w:tcPr>
            <w:tcW w:type="dxa" w:w="6264"/>
          </w:tcPr>
          <w:p>
            <w:pPr>
              <w:spacing w:after="0" w:line="240" w:lineRule="auto"/>
            </w:pPr>
            <w:r/>
            <w:r>
              <w:rPr>
                <w:b w:val="0"/>
                <w:i w:val="0"/>
                <w:sz w:val="17"/>
              </w:rPr>
              <w:t>Rock contact at about 512.0 ft; cuttings from 512.0 to 509.6 ft logged visually as "fine-grained, sound limestone"; RE notified</w:t>
            </w:r>
          </w:p>
        </w:tc>
        <w:tc>
          <w:tcPr>
            <w:tcW w:type="dxa" w:w="1440"/>
          </w:tcPr>
          <w:p>
            <w:pPr>
              <w:spacing w:after="0" w:line="240" w:lineRule="auto"/>
            </w:pPr>
            <w:r/>
            <w:r>
              <w:rPr>
                <w:b w:val="0"/>
                <w:i w:val="0"/>
                <w:sz w:val="17"/>
              </w:rPr>
              <w:t>DR-0292</w:t>
            </w:r>
          </w:p>
        </w:tc>
      </w:tr>
      <w:tr>
        <w:trPr>
          <w:cantSplit/>
        </w:trPr>
        <w:tc>
          <w:tcPr>
            <w:tcW w:type="dxa" w:w="1656"/>
          </w:tcPr>
          <w:p>
            <w:pPr>
              <w:spacing w:after="0" w:line="240" w:lineRule="auto"/>
            </w:pPr>
            <w:r/>
            <w:r>
              <w:rPr>
                <w:b w:val="0"/>
                <w:i w:val="0"/>
                <w:sz w:val="17"/>
              </w:rPr>
              <w:t>03/20/2026</w:t>
            </w:r>
          </w:p>
        </w:tc>
        <w:tc>
          <w:tcPr>
            <w:tcW w:type="dxa" w:w="6264"/>
          </w:tcPr>
          <w:p>
            <w:pPr>
              <w:spacing w:after="0" w:line="240" w:lineRule="auto"/>
            </w:pPr>
            <w:r/>
            <w:r>
              <w:rPr>
                <w:b w:val="0"/>
                <w:i w:val="0"/>
                <w:sz w:val="17"/>
              </w:rPr>
              <w:t>Socket reported at 8.0 ft, to about 504.0 ft</w:t>
            </w:r>
          </w:p>
        </w:tc>
        <w:tc>
          <w:tcPr>
            <w:tcW w:type="dxa" w:w="1440"/>
          </w:tcPr>
          <w:p>
            <w:pPr>
              <w:spacing w:after="0" w:line="240" w:lineRule="auto"/>
            </w:pPr>
            <w:r/>
            <w:r>
              <w:rPr>
                <w:b w:val="0"/>
                <w:i w:val="0"/>
                <w:sz w:val="17"/>
              </w:rPr>
              <w:t>DR-0295</w:t>
            </w:r>
          </w:p>
        </w:tc>
      </w:tr>
      <w:tr>
        <w:trPr>
          <w:cantSplit/>
        </w:trPr>
        <w:tc>
          <w:tcPr>
            <w:tcW w:type="dxa" w:w="1656"/>
          </w:tcPr>
          <w:p>
            <w:pPr>
              <w:spacing w:after="0" w:line="240" w:lineRule="auto"/>
            </w:pPr>
            <w:r/>
            <w:r>
              <w:rPr>
                <w:b w:val="0"/>
                <w:i w:val="0"/>
                <w:sz w:val="17"/>
              </w:rPr>
              <w:t>03/23/2026</w:t>
            </w:r>
          </w:p>
        </w:tc>
        <w:tc>
          <w:tcPr>
            <w:tcW w:type="dxa" w:w="6264"/>
          </w:tcPr>
          <w:p>
            <w:pPr>
              <w:spacing w:after="0" w:line="240" w:lineRule="auto"/>
            </w:pPr>
            <w:r/>
            <w:r>
              <w:rPr>
                <w:b w:val="0"/>
                <w:i w:val="0"/>
                <w:sz w:val="17"/>
              </w:rPr>
              <w:t>Tip surveyed and accepted at 504.3 ft; RE present</w:t>
            </w:r>
          </w:p>
        </w:tc>
        <w:tc>
          <w:tcPr>
            <w:tcW w:type="dxa" w:w="1440"/>
          </w:tcPr>
          <w:p>
            <w:pPr>
              <w:spacing w:after="0" w:line="240" w:lineRule="auto"/>
            </w:pPr>
            <w:r/>
            <w:r>
              <w:rPr>
                <w:b w:val="0"/>
                <w:i w:val="0"/>
                <w:sz w:val="17"/>
              </w:rPr>
              <w:t>DR-0296</w:t>
            </w:r>
          </w:p>
        </w:tc>
      </w:tr>
      <w:tr>
        <w:trPr>
          <w:cantSplit/>
        </w:trPr>
        <w:tc>
          <w:tcPr>
            <w:tcW w:type="dxa" w:w="1656"/>
          </w:tcPr>
          <w:p>
            <w:pPr>
              <w:spacing w:after="0" w:line="240" w:lineRule="auto"/>
            </w:pPr>
            <w:r/>
            <w:r>
              <w:rPr>
                <w:b w:val="0"/>
                <w:i w:val="0"/>
                <w:sz w:val="17"/>
              </w:rPr>
              <w:t>03/25/2026</w:t>
            </w:r>
          </w:p>
        </w:tc>
        <w:tc>
          <w:tcPr>
            <w:tcW w:type="dxa" w:w="6264"/>
          </w:tcPr>
          <w:p>
            <w:pPr>
              <w:spacing w:after="0" w:line="240" w:lineRule="auto"/>
            </w:pPr>
            <w:r/>
            <w:r>
              <w:rPr>
                <w:b w:val="0"/>
                <w:i w:val="0"/>
                <w:sz w:val="17"/>
              </w:rPr>
              <w:t>Placement W-13 by tremie, about 93–96 CY; Structural Lead and RE present</w:t>
            </w:r>
          </w:p>
        </w:tc>
        <w:tc>
          <w:tcPr>
            <w:tcW w:type="dxa" w:w="1440"/>
          </w:tcPr>
          <w:p>
            <w:pPr>
              <w:spacing w:after="0" w:line="240" w:lineRule="auto"/>
            </w:pPr>
            <w:r/>
            <w:r>
              <w:rPr>
                <w:b w:val="0"/>
                <w:i w:val="0"/>
                <w:sz w:val="17"/>
              </w:rPr>
              <w:t>DR-0298</w:t>
            </w:r>
          </w:p>
        </w:tc>
      </w:tr>
      <w:tr>
        <w:trPr>
          <w:cantSplit/>
        </w:trPr>
        <w:tc>
          <w:tcPr>
            <w:tcW w:type="dxa" w:w="1656"/>
          </w:tcPr>
          <w:p>
            <w:pPr>
              <w:spacing w:after="0" w:line="240" w:lineRule="auto"/>
            </w:pPr>
            <w:r/>
            <w:r>
              <w:rPr>
                <w:b w:val="0"/>
                <w:i w:val="0"/>
                <w:sz w:val="17"/>
              </w:rPr>
              <w:t>04/08 and 04/30/2026</w:t>
            </w:r>
          </w:p>
        </w:tc>
        <w:tc>
          <w:tcPr>
            <w:tcW w:type="dxa" w:w="6264"/>
          </w:tcPr>
          <w:p>
            <w:pPr>
              <w:spacing w:after="0" w:line="240" w:lineRule="auto"/>
            </w:pPr>
            <w:r/>
            <w:r>
              <w:rPr>
                <w:b w:val="0"/>
                <w:i w:val="0"/>
                <w:sz w:val="17"/>
              </w:rPr>
              <w:t>Column (W-15) and cap (W-18) placed</w:t>
            </w:r>
          </w:p>
        </w:tc>
        <w:tc>
          <w:tcPr>
            <w:tcW w:type="dxa" w:w="1440"/>
          </w:tcPr>
          <w:p>
            <w:pPr>
              <w:spacing w:after="0" w:line="240" w:lineRule="auto"/>
            </w:pPr>
            <w:r/>
            <w:r>
              <w:rPr>
                <w:b w:val="0"/>
                <w:i w:val="0"/>
                <w:sz w:val="17"/>
              </w:rPr>
              <w:t>DR-0308; DR-0324</w:t>
            </w:r>
          </w:p>
        </w:tc>
      </w:tr>
    </w:tbl>
    <w:p>
      <w:pPr>
        <w:spacing w:after="40"/>
      </w:pPr>
    </w:p>
    <w:p>
      <w:pPr>
        <w:keepNext/>
        <w:spacing w:after="40"/>
      </w:pPr>
      <w:r>
        <w:rPr>
          <w:b w:val="0"/>
          <w:i w:val="0"/>
        </w:rPr>
        <w:t>Points that bear on adequacy:</w:t>
      </w:r>
    </w:p>
    <w:p>
      <w:pPr>
        <w:pStyle w:val="ListBullet"/>
        <w:spacing w:after="60"/>
      </w:pPr>
      <w:r>
        <w:rPr>
          <w:b/>
          <w:i w:val="0"/>
        </w:rPr>
        <w:t xml:space="preserve">Socket length. </w:t>
      </w:r>
      <w:r>
        <w:rPr>
          <w:b w:val="0"/>
          <w:i w:val="0"/>
        </w:rPr>
        <w:t>Measured from the logged rock contact, the accepted tip gives 7.7 ft of socket, not 8.0 ft. Measured from the B-7 sound-rock surface, it gives about 5.1 ft. The "sound from first contact" call is also inconsistent with the B-7 core, which logged 512.3–509.4 ft as weathered with RQD 28% — the comparison Spec 421.06(c) required us to make.</w:t>
      </w:r>
    </w:p>
    <w:p>
      <w:pPr>
        <w:pStyle w:val="ListBullet"/>
        <w:spacing w:after="60"/>
      </w:pPr>
      <w:r>
        <w:rPr>
          <w:b/>
          <w:i w:val="0"/>
        </w:rPr>
        <w:t xml:space="preserve">Verification. </w:t>
      </w:r>
      <w:r>
        <w:rPr>
          <w:b w:val="0"/>
          <w:i w:val="0"/>
        </w:rPr>
        <w:t>Sound rock was called from auger cuttings and a sidewall camera under slurry, which cannot establish the §4.4 criteria (RQD, seam width); those need core. The dailies do not record the rock probe or core required at the first production shaft in each unit (Spec 421.06(b)). Redoak §7.3 calls for sound-rock verification at each shaft by the geotechnical engineer of record or a designee; Redoak was not engaged for that, and its addendum offers it under separate authorization. The project record contains no CSL results, although approved Submittal 421-01 §8.4 made CSL a mandatory acceptance test on both Bent 2 shafts; the 3-to-45-day test window closed 05/09/2026.</w:t>
      </w:r>
    </w:p>
    <w:p>
      <w:pPr>
        <w:pStyle w:val="ListBullet"/>
        <w:spacing w:after="60"/>
      </w:pPr>
      <w:r>
        <w:rPr>
          <w:b/>
          <w:i w:val="0"/>
        </w:rPr>
        <w:t xml:space="preserve">Concrete volume. </w:t>
      </w:r>
      <w:r>
        <w:rPr>
          <w:b w:val="0"/>
          <w:i w:val="0"/>
        </w:rPr>
        <w:t>The recorded W-13 volume (about 93–96 CY) is roughly nine times the theoretical volume of a 48-in. shaft from casing top to tip (about 10–11 CY). Submittal 421-01 §6.4 requires a hold and notification for any deviation over 10%. Either the entries are wrong or a large overbreak went uninvestigated; in karst that has to be resolved, not assumed away. The same pattern appears at W-11, W-16 and W-17.</w:t>
      </w:r>
    </w:p>
    <w:p>
      <w:pPr>
        <w:pStyle w:val="ListBullet"/>
        <w:spacing w:after="60"/>
      </w:pPr>
      <w:r>
        <w:rPr>
          <w:b/>
          <w:i w:val="0"/>
        </w:rPr>
        <w:t xml:space="preserve">Number of shafts. </w:t>
      </w:r>
      <w:r>
        <w:rPr>
          <w:b w:val="0"/>
          <w:i w:val="0"/>
        </w:rPr>
        <w:t>The plans, Submittal 421-01 and the USACE verification all call for two shafts at Bent 2. The dailies document one Bent 2 shaft placement (W-13) and one column. The status of the second shaft must be confirmed from the shaft logs.</w:t>
      </w:r>
    </w:p>
    <w:p>
      <w:pPr>
        <w:pStyle w:val="ListBullet"/>
        <w:spacing w:after="80"/>
      </w:pPr>
      <w:r>
        <w:rPr>
          <w:b/>
          <w:i w:val="0"/>
        </w:rPr>
        <w:t xml:space="preserve">Same practice elsewhere. </w:t>
      </w:r>
      <w:r>
        <w:rPr>
          <w:b w:val="0"/>
          <w:i w:val="0"/>
        </w:rPr>
        <w:t>The socket was measured from first rock contact at Bent 1 (DR-0287, DR-0288) and at both Abutment 2 shafts (DR-0304 to DR-0309; DR-0313 to DR-0317).</w:t>
      </w:r>
    </w:p>
    <w:p>
      <w:pPr>
        <w:keepNext/>
        <w:spacing w:before="180" w:after="60"/>
      </w:pPr>
      <w:r>
        <w:rPr>
          <w:b/>
          <w:color w:val="1F3A5F"/>
          <w:sz w:val="23"/>
        </w:rPr>
        <w:t>4.  Why this is not a differing site condition</w:t>
      </w:r>
    </w:p>
    <w:p>
      <w:pPr>
        <w:pStyle w:val="ListBullet"/>
        <w:spacing w:after="60"/>
      </w:pPr>
      <w:r>
        <w:rPr>
          <w:b/>
          <w:i w:val="0"/>
        </w:rPr>
        <w:t xml:space="preserve">The condition matched the boring. </w:t>
      </w:r>
      <w:r>
        <w:rPr>
          <w:b w:val="0"/>
          <w:i w:val="0"/>
        </w:rPr>
        <w:t>Rock contact at about 512.0 ft versus 512.3 ft at B-7 is a 0.3-ft difference, well inside the ±6 ft disclosed in Redoak §5.2, and consistent with Bent 1 (511.2 ft vs. 510.7 ft at B-6) and Abutment 2 (512.5 and 513.2 ft vs. 511.9 ft at B-8).</w:t>
      </w:r>
    </w:p>
    <w:p>
      <w:pPr>
        <w:pStyle w:val="ListBullet"/>
        <w:spacing w:after="60"/>
      </w:pPr>
      <w:r>
        <w:rPr>
          <w:b/>
          <w:i w:val="0"/>
        </w:rPr>
        <w:t xml:space="preserve">Vantera's 518.4-ft figure is unsupported. </w:t>
      </w:r>
      <w:r>
        <w:rPr>
          <w:b w:val="0"/>
          <w:i w:val="0"/>
        </w:rPr>
        <w:t>Our dailies put the bit at about 513 ft after the first day's overburden drilling and rock contact at about 512 ft. Vantera's RFI-041 gave no elevation; its 05/08 claim misstates the report's top of rock as "approximately 524 ft" and encloses no survey data. Its statement that our inspector examined preserved conditions on 04/13 and 04/14 is not borne out: the shaft was concreted on 03/25, sixteen days before the 04/10 notice, and DR-0311 and DR-0312 record no such inspection.</w:t>
      </w:r>
    </w:p>
    <w:p>
      <w:pPr>
        <w:pStyle w:val="ListBullet"/>
        <w:spacing w:after="60"/>
      </w:pPr>
      <w:r>
        <w:rPr>
          <w:b/>
          <w:i w:val="0"/>
        </w:rPr>
        <w:t xml:space="preserve">Hardness was disclosed and has been paid once. </w:t>
      </w:r>
      <w:r>
        <w:rPr>
          <w:b w:val="0"/>
          <w:i w:val="0"/>
        </w:rPr>
        <w:t>B-7 recorded UCS of 10,200 to 13,400 psi. CO-06 (02/11/2026) paid $76,780 and 14 days for Bent 2 production loss "attributable to formation hardness within the design profile." Any recovery would have to net out CO-06.</w:t>
      </w:r>
    </w:p>
    <w:p>
      <w:pPr>
        <w:pStyle w:val="ListBullet"/>
        <w:spacing w:after="80"/>
      </w:pPr>
      <w:r>
        <w:rPr>
          <w:b/>
          <w:i w:val="0"/>
        </w:rPr>
        <w:t xml:space="preserve">The design error is not a "subsurface or otherwise concealed physical condition" under §4.3. </w:t>
      </w:r>
      <w:r>
        <w:rPr>
          <w:b w:val="0"/>
          <w:i w:val="0"/>
        </w:rPr>
        <w:t>It neither supports Vantera's claim nor reduces Vantera's right to be paid for work we direct to address it.</w:t>
      </w:r>
    </w:p>
    <w:p>
      <w:pPr>
        <w:keepNext/>
        <w:spacing w:before="180" w:after="60"/>
      </w:pPr>
      <w:r>
        <w:rPr>
          <w:b/>
          <w:color w:val="1F3A5F"/>
          <w:sz w:val="23"/>
        </w:rPr>
        <w:t>5.  What the Contract requires of us</w:t>
      </w:r>
    </w:p>
    <w:p>
      <w:pPr>
        <w:tabs>
          <w:tab w:pos="432" w:val="left"/>
        </w:tabs>
        <w:spacing w:after="80"/>
        <w:ind w:left="432" w:hanging="432"/>
      </w:pPr>
      <w:r>
        <w:rPr>
          <w:b/>
        </w:rPr>
        <w:t>1.</w:t>
        <w:tab/>
      </w:r>
      <w:r>
        <w:rPr>
          <w:b/>
          <w:i w:val="0"/>
        </w:rPr>
        <w:t xml:space="preserve">Issue the §4.3 determination. </w:t>
      </w:r>
      <w:r>
        <w:rPr>
          <w:b w:val="0"/>
          <w:i w:val="0"/>
        </w:rPr>
        <w:t>GC §4.3 requires the Engineer to investigate promptly and, where the condition does not differ materially, to notify the Owner and the Contractor in writing, stating reasons; Vantera's 21-day period to oppose runs from that notice. The RFI-041 response expressly reserved Vantera's notice for review "on its own record," so the determination is still owed on the 04/10 notice and the 05/08 claim. Under Agreement Article 2 the Engineer acts through its Principal-in-Charge, so the determination will issue over Elena Vasquez's signature by 05/22/2026, on the corrected record in item 2. It should decide only the subsurface-condition question and should not describe the Bent 2 design as adequate. Given the pending claim, we would like the City Attorney to review the wording.</w:t>
      </w:r>
    </w:p>
    <w:p>
      <w:pPr>
        <w:tabs>
          <w:tab w:pos="432" w:val="left"/>
        </w:tabs>
        <w:spacing w:after="80"/>
        <w:ind w:left="432" w:hanging="432"/>
      </w:pPr>
      <w:r>
        <w:rPr>
          <w:b/>
        </w:rPr>
        <w:t>2.</w:t>
        <w:tab/>
      </w:r>
      <w:r>
        <w:rPr>
          <w:b/>
          <w:i w:val="0"/>
        </w:rPr>
        <w:t xml:space="preserve">Correct our record before anyone relies on it. </w:t>
      </w:r>
      <w:r>
        <w:rPr>
          <w:b w:val="0"/>
          <w:i w:val="0"/>
        </w:rPr>
        <w:t>The RFI-041 response (§2.3) and DR-0317 describe Redoak's letter as re-confirming "top of sound limestone" at 512.3 ft; Redoak re-confirmed 512.3 ft as the top of weathered rock and placed sound limestone at 509.4 ft. The RFI-041 response also cites a nonexistent Specification Section 455/455.6 (drilled shafts are Section 421; rock confirmation is 421.06), and the copy on file has blank text in §2.1 and two blank bullets in §2.5. We will issue a supplemental RFI-041 response. Separately, the project copy of DR-0292 (03/17/2026) has two blank gaps where text appears to have been removed — in the sentence describing where hard drilling was reported, and in the remarks. Vantera's claim quotes that report as noting "hard drilling encountered above the anticipated top-of-rock elevation." We are retrieving the inspector's signed original and preserving every version. No copy of DR-0292 should go into the package until the gaps are explained.</w:t>
      </w:r>
    </w:p>
    <w:p>
      <w:pPr>
        <w:tabs>
          <w:tab w:pos="432" w:val="left"/>
        </w:tabs>
        <w:spacing w:after="40"/>
        <w:ind w:left="432" w:hanging="432"/>
      </w:pPr>
      <w:r>
        <w:rPr>
          <w:b/>
        </w:rPr>
        <w:t>3.</w:t>
        <w:tab/>
      </w:r>
      <w:r>
        <w:rPr>
          <w:b/>
          <w:i w:val="0"/>
        </w:rPr>
        <w:t xml:space="preserve">Direct verification in writing. </w:t>
      </w:r>
      <w:r>
        <w:rPr>
          <w:b w:val="0"/>
          <w:i w:val="0"/>
        </w:rPr>
        <w:t>Spec 421.06 lets the Engineer direct additional exploration and requires that direction in writing; GC §3.3 authorizes additional testing of completed work. With your concurrence, we will direct: (a) the signed shaft logs (Submittal 421-01 §8.5) and cutting logs (Addendum No. 1, Cl. 2.7) for every shaft, and Vantera's SUB-052 Bent 2 coring log, which is not on the project share; (b) confirmation whether CSL tubes were installed in W-13 and, if so, CSL by the City's testing firm (Cl. 2.6, Owner-paid); (c) NX-core borings beside the Bent 2 shaft(s), logged by Redoak against the §4.4 criteria (Cl. 2.5, Bid Item 421-A); and (d) Redoak's construction-phase authorization, as its addendum offers.</w:t>
      </w:r>
    </w:p>
    <w:p>
      <w:pPr>
        <w:spacing w:after="80"/>
        <w:ind w:left="432"/>
      </w:pPr>
      <w:r>
        <w:rPr>
          <w:b/>
          <w:i w:val="0"/>
        </w:rPr>
        <w:t xml:space="preserve">Timing matters. </w:t>
      </w:r>
      <w:r>
        <w:rPr>
          <w:b w:val="0"/>
          <w:i w:val="0"/>
        </w:rPr>
        <w:t>USACE Special Condition C requires the Bent 2 work platform and cofferdam to come out within 30 days of completion of the "shaft cap," and the floodplain permit limits in-stream work to October 1–May 31 where practicable. The platform should stay until the coring is done; we will coordinate with USACE and the Floodplain Administrator if more time is needed.</w:t>
      </w:r>
    </w:p>
    <w:p>
      <w:pPr>
        <w:tabs>
          <w:tab w:pos="432" w:val="left"/>
        </w:tabs>
        <w:spacing w:after="80"/>
        <w:ind w:left="432" w:hanging="432"/>
      </w:pPr>
      <w:r>
        <w:rPr>
          <w:b/>
        </w:rPr>
        <w:t>4.</w:t>
        <w:tab/>
      </w:r>
      <w:r>
        <w:rPr>
          <w:b/>
          <w:i w:val="0"/>
        </w:rPr>
        <w:t xml:space="preserve">Re-evaluate under seal and decide. </w:t>
      </w:r>
      <w:r>
        <w:rPr>
          <w:b w:val="0"/>
          <w:i w:val="0"/>
        </w:rPr>
        <w:t>Priya Raman, as bridge Engineer of Record, will re-evaluate Bent 2 for axial capacity (starting with the screening item in Section 2), lateral response and scour (scour floor at the sound-rock surface; actual column geometry), with Redoak's sealed concurrence, and revise the Scour Evaluation. Possible outcomes are: (a) accept as built, documented by sealed revisions to B-04, B-16, S-3R and the Scour Evaluation; (b) add a scour countermeasure at Bent 2 — riprap at Bent 2 was within the USACE-verified scope, but that verification expired 03/14/2026 with 12 months to complete work under contract, and any countermeasure has to preserve the floodplain permit's no-rise finding; or (c) add supplemental foundation elements. Before more superstructure load (girders, deck) goes onto Bent 2, we will issue an interim axial determination.</w:t>
      </w:r>
    </w:p>
    <w:p>
      <w:pPr>
        <w:tabs>
          <w:tab w:pos="432" w:val="left"/>
        </w:tabs>
        <w:spacing w:after="80"/>
        <w:ind w:left="432" w:hanging="432"/>
      </w:pPr>
      <w:r>
        <w:rPr>
          <w:b/>
        </w:rPr>
        <w:t>5.</w:t>
        <w:tab/>
      </w:r>
      <w:r>
        <w:rPr>
          <w:b/>
          <w:i w:val="0"/>
        </w:rPr>
        <w:t xml:space="preserve">Route directed work through a Change Order. </w:t>
      </w:r>
      <w:r>
        <w:rPr>
          <w:b w:val="0"/>
          <w:i w:val="0"/>
        </w:rPr>
        <w:t>Vantera built to the plan tip on our inspector's call and our RE's acceptance, and tip changes were for the Engineer to direct in writing (Spec 421.03, 421.06; Addendum No. 1, Cl. 2.2). Verification and any corrective work are therefore changes under GC §10.1 — a written Change Order executed by the City and Vantera on our recommendation, priced under §10.2 — not correction of rejected work under §11.2, unless testing shows a workmanship defect. Because Bent 2 is on the zero-float critical path, any hold we impose is likely to support a time extension under GC §6.4. On this issue alone I see no basis under §7.5(a) to withhold Pay App 14 amounts for the drilled-shaft items. As a federal-aid project (SP-1; 23 CFR), any such Change Order should be coordinated with TxDOT before execution. Cost responsibility between the City and Larkspur for the design deficiency is a separate matter under our agreement and does not affect Vantera's entitlement.</w:t>
      </w:r>
    </w:p>
    <w:p>
      <w:pPr>
        <w:tabs>
          <w:tab w:pos="432" w:val="left"/>
        </w:tabs>
        <w:spacing w:after="60"/>
        <w:ind w:left="432" w:hanging="432"/>
      </w:pPr>
      <w:r>
        <w:rPr>
          <w:b/>
        </w:rPr>
        <w:t>6.</w:t>
        <w:tab/>
      </w:r>
      <w:r>
        <w:rPr>
          <w:b/>
          <w:i w:val="0"/>
        </w:rPr>
        <w:t xml:space="preserve">Extend the review to all twelve shafts. </w:t>
      </w:r>
      <w:r>
        <w:rPr>
          <w:b w:val="0"/>
          <w:i w:val="0"/>
        </w:rPr>
        <w:t>Sheet B-16 applies the same basis at every unit:</w:t>
      </w:r>
    </w:p>
    <w:tbl>
      <w:tblPr>
        <w:tblStyle w:val="TableGrid"/>
        <w:tblW w:type="dxa" w:w="9360"/>
        <w:jc w:val="center"/>
        <w:tblLayout w:type="fixed"/>
        <w:tblLook w:firstColumn="1" w:firstRow="1" w:lastColumn="0" w:lastRow="0" w:noHBand="0" w:noVBand="1" w:val="04A0"/>
        <w:tblCellMar>
          <w:top w:w="40" w:type="dxa"/>
          <w:left w:w="70" w:type="dxa"/>
          <w:bottom w:w="40" w:type="dxa"/>
          <w:right w:w="70" w:type="dxa"/>
        </w:tblCellMar>
        <w:tblLayout w:type="fixed"/>
      </w:tblPr>
      <w:tblGrid>
        <w:gridCol w:w="864"/>
        <w:gridCol w:w="792"/>
        <w:gridCol w:w="1152"/>
        <w:gridCol w:w="1080"/>
        <w:gridCol w:w="864"/>
        <w:gridCol w:w="1440"/>
        <w:gridCol w:w="1655"/>
        <w:gridCol w:w="1512"/>
      </w:tblGrid>
      <w:tr>
        <w:trPr>
          <w:tblHeader w:val="true"/>
          <w:cantSplit/>
        </w:trPr>
        <w:tc>
          <w:tcPr>
            <w:tcW w:type="dxa" w:w="864"/>
            <w:shd w:val="clear" w:color="auto" w:fill="D9E2EC"/>
          </w:tcPr>
          <w:p>
            <w:pPr>
              <w:spacing w:after="0" w:line="240" w:lineRule="auto"/>
            </w:pPr>
            <w:r/>
            <w:r>
              <w:rPr>
                <w:b/>
                <w:i w:val="0"/>
                <w:sz w:val="16"/>
              </w:rPr>
              <w:t>Unit</w:t>
            </w:r>
          </w:p>
        </w:tc>
        <w:tc>
          <w:tcPr>
            <w:tcW w:type="dxa" w:w="792"/>
            <w:shd w:val="clear" w:color="auto" w:fill="D9E2EC"/>
          </w:tcPr>
          <w:p>
            <w:pPr>
              <w:spacing w:after="0" w:line="240" w:lineRule="auto"/>
            </w:pPr>
            <w:r/>
            <w:r>
              <w:rPr>
                <w:b/>
                <w:i w:val="0"/>
                <w:sz w:val="16"/>
              </w:rPr>
              <w:t>Boring</w:t>
            </w:r>
          </w:p>
        </w:tc>
        <w:tc>
          <w:tcPr>
            <w:tcW w:type="dxa" w:w="1152"/>
            <w:shd w:val="clear" w:color="auto" w:fill="D9E2EC"/>
          </w:tcPr>
          <w:p>
            <w:pPr>
              <w:spacing w:after="0" w:line="240" w:lineRule="auto"/>
            </w:pPr>
            <w:r/>
            <w:r>
              <w:rPr>
                <w:b/>
                <w:i w:val="0"/>
                <w:sz w:val="16"/>
              </w:rPr>
              <w:t>Top of rock (weathered)</w:t>
            </w:r>
          </w:p>
        </w:tc>
        <w:tc>
          <w:tcPr>
            <w:tcW w:type="dxa" w:w="1080"/>
            <w:shd w:val="clear" w:color="auto" w:fill="D9E2EC"/>
          </w:tcPr>
          <w:p>
            <w:pPr>
              <w:spacing w:after="0" w:line="240" w:lineRule="auto"/>
            </w:pPr>
            <w:r/>
            <w:r>
              <w:rPr>
                <w:b/>
                <w:i w:val="0"/>
                <w:sz w:val="16"/>
              </w:rPr>
              <w:t>Top of sound rock</w:t>
            </w:r>
          </w:p>
        </w:tc>
        <w:tc>
          <w:tcPr>
            <w:tcW w:type="dxa" w:w="864"/>
            <w:shd w:val="clear" w:color="auto" w:fill="D9E2EC"/>
          </w:tcPr>
          <w:p>
            <w:pPr>
              <w:spacing w:after="0" w:line="240" w:lineRule="auto"/>
            </w:pPr>
            <w:r/>
            <w:r>
              <w:rPr>
                <w:b/>
                <w:i w:val="0"/>
                <w:sz w:val="16"/>
              </w:rPr>
              <w:t>Plan tip</w:t>
            </w:r>
          </w:p>
        </w:tc>
        <w:tc>
          <w:tcPr>
            <w:tcW w:type="dxa" w:w="1440"/>
            <w:shd w:val="clear" w:color="auto" w:fill="D9E2EC"/>
          </w:tcPr>
          <w:p>
            <w:pPr>
              <w:spacing w:after="0" w:line="240" w:lineRule="auto"/>
            </w:pPr>
            <w:r/>
            <w:r>
              <w:rPr>
                <w:b/>
                <w:i w:val="0"/>
                <w:sz w:val="16"/>
              </w:rPr>
              <w:t>Socket in sound rock at plan tip</w:t>
            </w:r>
          </w:p>
        </w:tc>
        <w:tc>
          <w:tcPr>
            <w:tcW w:type="dxa" w:w="1656"/>
            <w:shd w:val="clear" w:color="auto" w:fill="D9E2EC"/>
          </w:tcPr>
          <w:p>
            <w:pPr>
              <w:spacing w:after="0" w:line="240" w:lineRule="auto"/>
            </w:pPr>
            <w:r/>
            <w:r>
              <w:rPr>
                <w:b/>
                <w:i w:val="0"/>
                <w:sz w:val="16"/>
              </w:rPr>
              <w:t>As-built tip (dailies)</w:t>
            </w:r>
          </w:p>
        </w:tc>
        <w:tc>
          <w:tcPr>
            <w:tcW w:type="dxa" w:w="1512"/>
            <w:shd w:val="clear" w:color="auto" w:fill="D9E2EC"/>
          </w:tcPr>
          <w:p>
            <w:pPr>
              <w:spacing w:after="0" w:line="240" w:lineRule="auto"/>
            </w:pPr>
            <w:r/>
            <w:r>
              <w:rPr>
                <w:b/>
                <w:i w:val="0"/>
                <w:sz w:val="16"/>
              </w:rPr>
              <w:t>Socket in sound rock as built</w:t>
            </w:r>
          </w:p>
        </w:tc>
      </w:tr>
      <w:tr>
        <w:trPr>
          <w:cantSplit/>
        </w:trPr>
        <w:tc>
          <w:tcPr>
            <w:tcW w:type="dxa" w:w="864"/>
          </w:tcPr>
          <w:p>
            <w:pPr>
              <w:spacing w:after="0" w:line="240" w:lineRule="auto"/>
            </w:pPr>
            <w:r/>
            <w:r>
              <w:rPr>
                <w:b w:val="0"/>
                <w:i w:val="0"/>
                <w:sz w:val="16"/>
              </w:rPr>
              <w:t>Abut. 1</w:t>
            </w:r>
          </w:p>
        </w:tc>
        <w:tc>
          <w:tcPr>
            <w:tcW w:type="dxa" w:w="792"/>
          </w:tcPr>
          <w:p>
            <w:pPr>
              <w:spacing w:after="0" w:line="240" w:lineRule="auto"/>
              <w:jc w:val="center"/>
            </w:pPr>
            <w:r/>
            <w:r>
              <w:rPr>
                <w:b w:val="0"/>
                <w:i w:val="0"/>
                <w:sz w:val="16"/>
              </w:rPr>
              <w:t>B-1</w:t>
            </w:r>
          </w:p>
        </w:tc>
        <w:tc>
          <w:tcPr>
            <w:tcW w:type="dxa" w:w="1152"/>
          </w:tcPr>
          <w:p>
            <w:pPr>
              <w:spacing w:after="0" w:line="240" w:lineRule="auto"/>
              <w:jc w:val="center"/>
            </w:pPr>
            <w:r/>
            <w:r>
              <w:rPr>
                <w:b w:val="0"/>
                <w:i w:val="0"/>
                <w:sz w:val="16"/>
              </w:rPr>
              <w:t>508.5</w:t>
            </w:r>
          </w:p>
        </w:tc>
        <w:tc>
          <w:tcPr>
            <w:tcW w:type="dxa" w:w="1080"/>
          </w:tcPr>
          <w:p>
            <w:pPr>
              <w:spacing w:after="0" w:line="240" w:lineRule="auto"/>
              <w:jc w:val="center"/>
            </w:pPr>
            <w:r/>
            <w:r>
              <w:rPr>
                <w:b w:val="0"/>
                <w:i w:val="0"/>
                <w:sz w:val="16"/>
              </w:rPr>
              <w:t>505.6</w:t>
            </w:r>
          </w:p>
        </w:tc>
        <w:tc>
          <w:tcPr>
            <w:tcW w:type="dxa" w:w="864"/>
          </w:tcPr>
          <w:p>
            <w:pPr>
              <w:spacing w:after="0" w:line="240" w:lineRule="auto"/>
              <w:jc w:val="center"/>
            </w:pPr>
            <w:r/>
            <w:r>
              <w:rPr>
                <w:b w:val="0"/>
                <w:i w:val="0"/>
                <w:sz w:val="16"/>
              </w:rPr>
              <w:t>500.5</w:t>
            </w:r>
          </w:p>
        </w:tc>
        <w:tc>
          <w:tcPr>
            <w:tcW w:type="dxa" w:w="1440"/>
          </w:tcPr>
          <w:p>
            <w:pPr>
              <w:spacing w:after="0" w:line="240" w:lineRule="auto"/>
              <w:jc w:val="center"/>
            </w:pPr>
            <w:r/>
            <w:r>
              <w:rPr>
                <w:b w:val="0"/>
                <w:i w:val="0"/>
                <w:sz w:val="16"/>
              </w:rPr>
              <w:t>5.1 ft</w:t>
            </w:r>
          </w:p>
        </w:tc>
        <w:tc>
          <w:tcPr>
            <w:tcW w:type="dxa" w:w="1656"/>
          </w:tcPr>
          <w:p>
            <w:pPr>
              <w:spacing w:after="0" w:line="240" w:lineRule="auto"/>
              <w:jc w:val="center"/>
            </w:pPr>
            <w:r/>
            <w:r>
              <w:rPr>
                <w:b w:val="0"/>
                <w:i w:val="0"/>
                <w:sz w:val="16"/>
              </w:rPr>
              <w:t>not in files reviewed</w:t>
            </w:r>
          </w:p>
        </w:tc>
        <w:tc>
          <w:tcPr>
            <w:tcW w:type="dxa" w:w="1512"/>
          </w:tcPr>
          <w:p>
            <w:pPr>
              <w:spacing w:after="0" w:line="240" w:lineRule="auto"/>
              <w:jc w:val="center"/>
            </w:pPr>
            <w:r/>
            <w:r>
              <w:rPr>
                <w:b w:val="0"/>
                <w:i w:val="0"/>
                <w:sz w:val="16"/>
              </w:rPr>
              <w:t>—</w:t>
            </w:r>
          </w:p>
        </w:tc>
      </w:tr>
      <w:tr>
        <w:trPr>
          <w:cantSplit/>
        </w:trPr>
        <w:tc>
          <w:tcPr>
            <w:tcW w:type="dxa" w:w="864"/>
          </w:tcPr>
          <w:p>
            <w:pPr>
              <w:spacing w:after="0" w:line="240" w:lineRule="auto"/>
            </w:pPr>
            <w:r/>
            <w:r>
              <w:rPr>
                <w:b w:val="0"/>
                <w:i w:val="0"/>
                <w:sz w:val="16"/>
              </w:rPr>
              <w:t>Bent 1</w:t>
            </w:r>
          </w:p>
        </w:tc>
        <w:tc>
          <w:tcPr>
            <w:tcW w:type="dxa" w:w="792"/>
          </w:tcPr>
          <w:p>
            <w:pPr>
              <w:spacing w:after="0" w:line="240" w:lineRule="auto"/>
              <w:jc w:val="center"/>
            </w:pPr>
            <w:r/>
            <w:r>
              <w:rPr>
                <w:b w:val="0"/>
                <w:i w:val="0"/>
                <w:sz w:val="16"/>
              </w:rPr>
              <w:t>B-6</w:t>
            </w:r>
          </w:p>
        </w:tc>
        <w:tc>
          <w:tcPr>
            <w:tcW w:type="dxa" w:w="1152"/>
          </w:tcPr>
          <w:p>
            <w:pPr>
              <w:spacing w:after="0" w:line="240" w:lineRule="auto"/>
              <w:jc w:val="center"/>
            </w:pPr>
            <w:r/>
            <w:r>
              <w:rPr>
                <w:b w:val="0"/>
                <w:i w:val="0"/>
                <w:sz w:val="16"/>
              </w:rPr>
              <w:t>510.7</w:t>
            </w:r>
          </w:p>
        </w:tc>
        <w:tc>
          <w:tcPr>
            <w:tcW w:type="dxa" w:w="1080"/>
          </w:tcPr>
          <w:p>
            <w:pPr>
              <w:spacing w:after="0" w:line="240" w:lineRule="auto"/>
              <w:jc w:val="center"/>
            </w:pPr>
            <w:r/>
            <w:r>
              <w:rPr>
                <w:b w:val="0"/>
                <w:i w:val="0"/>
                <w:sz w:val="16"/>
              </w:rPr>
              <w:t>508.0</w:t>
            </w:r>
          </w:p>
        </w:tc>
        <w:tc>
          <w:tcPr>
            <w:tcW w:type="dxa" w:w="864"/>
          </w:tcPr>
          <w:p>
            <w:pPr>
              <w:spacing w:after="0" w:line="240" w:lineRule="auto"/>
              <w:jc w:val="center"/>
            </w:pPr>
            <w:r/>
            <w:r>
              <w:rPr>
                <w:b w:val="0"/>
                <w:i w:val="0"/>
                <w:sz w:val="16"/>
              </w:rPr>
              <w:t>502.7</w:t>
            </w:r>
          </w:p>
        </w:tc>
        <w:tc>
          <w:tcPr>
            <w:tcW w:type="dxa" w:w="1440"/>
          </w:tcPr>
          <w:p>
            <w:pPr>
              <w:spacing w:after="0" w:line="240" w:lineRule="auto"/>
              <w:jc w:val="center"/>
            </w:pPr>
            <w:r/>
            <w:r>
              <w:rPr>
                <w:b w:val="0"/>
                <w:i w:val="0"/>
                <w:sz w:val="16"/>
              </w:rPr>
              <w:t>5.3 ft</w:t>
            </w:r>
          </w:p>
        </w:tc>
        <w:tc>
          <w:tcPr>
            <w:tcW w:type="dxa" w:w="1656"/>
          </w:tcPr>
          <w:p>
            <w:pPr>
              <w:spacing w:after="0" w:line="240" w:lineRule="auto"/>
              <w:jc w:val="center"/>
            </w:pPr>
            <w:r/>
            <w:r>
              <w:rPr>
                <w:b w:val="0"/>
                <w:i w:val="0"/>
                <w:sz w:val="16"/>
              </w:rPr>
              <w:t>502.4</w:t>
            </w:r>
          </w:p>
        </w:tc>
        <w:tc>
          <w:tcPr>
            <w:tcW w:type="dxa" w:w="1512"/>
          </w:tcPr>
          <w:p>
            <w:pPr>
              <w:spacing w:after="0" w:line="240" w:lineRule="auto"/>
              <w:jc w:val="center"/>
            </w:pPr>
            <w:r/>
            <w:r>
              <w:rPr>
                <w:b w:val="0"/>
                <w:i w:val="0"/>
                <w:sz w:val="16"/>
              </w:rPr>
              <w:t>5.6 ft</w:t>
            </w:r>
          </w:p>
        </w:tc>
      </w:tr>
      <w:tr>
        <w:trPr>
          <w:cantSplit/>
        </w:trPr>
        <w:tc>
          <w:tcPr>
            <w:tcW w:type="dxa" w:w="864"/>
          </w:tcPr>
          <w:p>
            <w:pPr>
              <w:spacing w:after="0" w:line="240" w:lineRule="auto"/>
            </w:pPr>
            <w:r/>
            <w:r>
              <w:rPr>
                <w:b/>
                <w:i w:val="0"/>
                <w:sz w:val="16"/>
              </w:rPr>
              <w:t>Bent 2</w:t>
            </w:r>
          </w:p>
        </w:tc>
        <w:tc>
          <w:tcPr>
            <w:tcW w:type="dxa" w:w="792"/>
          </w:tcPr>
          <w:p>
            <w:pPr>
              <w:spacing w:after="0" w:line="240" w:lineRule="auto"/>
              <w:jc w:val="center"/>
            </w:pPr>
            <w:r/>
            <w:r>
              <w:rPr>
                <w:b/>
                <w:i w:val="0"/>
                <w:sz w:val="16"/>
              </w:rPr>
              <w:t>B-7</w:t>
            </w:r>
          </w:p>
        </w:tc>
        <w:tc>
          <w:tcPr>
            <w:tcW w:type="dxa" w:w="1152"/>
          </w:tcPr>
          <w:p>
            <w:pPr>
              <w:spacing w:after="0" w:line="240" w:lineRule="auto"/>
              <w:jc w:val="center"/>
            </w:pPr>
            <w:r/>
            <w:r>
              <w:rPr>
                <w:b/>
                <w:i w:val="0"/>
                <w:sz w:val="16"/>
              </w:rPr>
              <w:t>512.3</w:t>
            </w:r>
          </w:p>
        </w:tc>
        <w:tc>
          <w:tcPr>
            <w:tcW w:type="dxa" w:w="1080"/>
          </w:tcPr>
          <w:p>
            <w:pPr>
              <w:spacing w:after="0" w:line="240" w:lineRule="auto"/>
              <w:jc w:val="center"/>
            </w:pPr>
            <w:r/>
            <w:r>
              <w:rPr>
                <w:b/>
                <w:i w:val="0"/>
                <w:sz w:val="16"/>
              </w:rPr>
              <w:t>509.4</w:t>
            </w:r>
          </w:p>
        </w:tc>
        <w:tc>
          <w:tcPr>
            <w:tcW w:type="dxa" w:w="864"/>
          </w:tcPr>
          <w:p>
            <w:pPr>
              <w:spacing w:after="0" w:line="240" w:lineRule="auto"/>
              <w:jc w:val="center"/>
            </w:pPr>
            <w:r/>
            <w:r>
              <w:rPr>
                <w:b/>
                <w:i w:val="0"/>
                <w:sz w:val="16"/>
              </w:rPr>
              <w:t>504.3</w:t>
            </w:r>
          </w:p>
        </w:tc>
        <w:tc>
          <w:tcPr>
            <w:tcW w:type="dxa" w:w="1440"/>
          </w:tcPr>
          <w:p>
            <w:pPr>
              <w:spacing w:after="0" w:line="240" w:lineRule="auto"/>
              <w:jc w:val="center"/>
            </w:pPr>
            <w:r/>
            <w:r>
              <w:rPr>
                <w:b/>
                <w:i w:val="0"/>
                <w:sz w:val="16"/>
              </w:rPr>
              <w:t>5.1 ft</w:t>
            </w:r>
          </w:p>
        </w:tc>
        <w:tc>
          <w:tcPr>
            <w:tcW w:type="dxa" w:w="1656"/>
          </w:tcPr>
          <w:p>
            <w:pPr>
              <w:spacing w:after="0" w:line="240" w:lineRule="auto"/>
              <w:jc w:val="center"/>
            </w:pPr>
            <w:r/>
            <w:r>
              <w:rPr>
                <w:b/>
                <w:i w:val="0"/>
                <w:sz w:val="16"/>
              </w:rPr>
              <w:t>504.3</w:t>
            </w:r>
          </w:p>
        </w:tc>
        <w:tc>
          <w:tcPr>
            <w:tcW w:type="dxa" w:w="1512"/>
          </w:tcPr>
          <w:p>
            <w:pPr>
              <w:spacing w:after="0" w:line="240" w:lineRule="auto"/>
              <w:jc w:val="center"/>
            </w:pPr>
            <w:r/>
            <w:r>
              <w:rPr>
                <w:b/>
                <w:i w:val="0"/>
                <w:sz w:val="16"/>
              </w:rPr>
              <w:t>5.1 ft</w:t>
            </w:r>
          </w:p>
        </w:tc>
      </w:tr>
      <w:tr>
        <w:trPr>
          <w:cantSplit/>
        </w:trPr>
        <w:tc>
          <w:tcPr>
            <w:tcW w:type="dxa" w:w="864"/>
          </w:tcPr>
          <w:p>
            <w:pPr>
              <w:spacing w:after="0" w:line="240" w:lineRule="auto"/>
            </w:pPr>
            <w:r/>
            <w:r>
              <w:rPr>
                <w:b w:val="0"/>
                <w:i w:val="0"/>
                <w:sz w:val="16"/>
              </w:rPr>
              <w:t>Abut. 2</w:t>
            </w:r>
          </w:p>
        </w:tc>
        <w:tc>
          <w:tcPr>
            <w:tcW w:type="dxa" w:w="792"/>
          </w:tcPr>
          <w:p>
            <w:pPr>
              <w:spacing w:after="0" w:line="240" w:lineRule="auto"/>
              <w:jc w:val="center"/>
            </w:pPr>
            <w:r/>
            <w:r>
              <w:rPr>
                <w:b w:val="0"/>
                <w:i w:val="0"/>
                <w:sz w:val="16"/>
              </w:rPr>
              <w:t>B-8</w:t>
            </w:r>
          </w:p>
        </w:tc>
        <w:tc>
          <w:tcPr>
            <w:tcW w:type="dxa" w:w="1152"/>
          </w:tcPr>
          <w:p>
            <w:pPr>
              <w:spacing w:after="0" w:line="240" w:lineRule="auto"/>
              <w:jc w:val="center"/>
            </w:pPr>
            <w:r/>
            <w:r>
              <w:rPr>
                <w:b w:val="0"/>
                <w:i w:val="0"/>
                <w:sz w:val="16"/>
              </w:rPr>
              <w:t>511.9</w:t>
            </w:r>
          </w:p>
        </w:tc>
        <w:tc>
          <w:tcPr>
            <w:tcW w:type="dxa" w:w="1080"/>
          </w:tcPr>
          <w:p>
            <w:pPr>
              <w:spacing w:after="0" w:line="240" w:lineRule="auto"/>
              <w:jc w:val="center"/>
            </w:pPr>
            <w:r/>
            <w:r>
              <w:rPr>
                <w:b w:val="0"/>
                <w:i w:val="0"/>
                <w:sz w:val="16"/>
              </w:rPr>
              <w:t>508.8</w:t>
            </w:r>
          </w:p>
        </w:tc>
        <w:tc>
          <w:tcPr>
            <w:tcW w:type="dxa" w:w="864"/>
          </w:tcPr>
          <w:p>
            <w:pPr>
              <w:spacing w:after="0" w:line="240" w:lineRule="auto"/>
              <w:jc w:val="center"/>
            </w:pPr>
            <w:r/>
            <w:r>
              <w:rPr>
                <w:b w:val="0"/>
                <w:i w:val="0"/>
                <w:sz w:val="16"/>
              </w:rPr>
              <w:t>503.9</w:t>
            </w:r>
          </w:p>
        </w:tc>
        <w:tc>
          <w:tcPr>
            <w:tcW w:type="dxa" w:w="1440"/>
          </w:tcPr>
          <w:p>
            <w:pPr>
              <w:spacing w:after="0" w:line="240" w:lineRule="auto"/>
              <w:jc w:val="center"/>
            </w:pPr>
            <w:r/>
            <w:r>
              <w:rPr>
                <w:b w:val="0"/>
                <w:i w:val="0"/>
                <w:sz w:val="16"/>
              </w:rPr>
              <w:t>4.9 ft</w:t>
            </w:r>
          </w:p>
        </w:tc>
        <w:tc>
          <w:tcPr>
            <w:tcW w:type="dxa" w:w="1656"/>
          </w:tcPr>
          <w:p>
            <w:pPr>
              <w:spacing w:after="0" w:line="240" w:lineRule="auto"/>
              <w:jc w:val="center"/>
            </w:pPr>
            <w:r/>
            <w:r>
              <w:rPr>
                <w:b w:val="0"/>
                <w:i w:val="0"/>
                <w:sz w:val="16"/>
              </w:rPr>
              <w:t>504.1 (W) / 504.5 (E)</w:t>
            </w:r>
          </w:p>
        </w:tc>
        <w:tc>
          <w:tcPr>
            <w:tcW w:type="dxa" w:w="1512"/>
          </w:tcPr>
          <w:p>
            <w:pPr>
              <w:spacing w:after="0" w:line="240" w:lineRule="auto"/>
              <w:jc w:val="center"/>
            </w:pPr>
            <w:r/>
            <w:r>
              <w:rPr>
                <w:b w:val="0"/>
                <w:i w:val="0"/>
                <w:sz w:val="16"/>
              </w:rPr>
              <w:t>4.7 / 4.3 ft</w:t>
            </w:r>
          </w:p>
        </w:tc>
      </w:tr>
    </w:tbl>
    <w:p>
      <w:pPr>
        <w:spacing w:after="40"/>
      </w:pPr>
    </w:p>
    <w:p>
      <w:pPr>
        <w:spacing w:after="80"/>
        <w:ind w:left="432"/>
      </w:pPr>
      <w:r>
        <w:rPr>
          <w:b w:val="0"/>
          <w:i w:val="0"/>
        </w:rPr>
        <w:t>Both Abutment 2 as-built tips are also above the 503.9-ft minimum tip in Spec 421.02. A compliant tip at each unit is 8.0 ft below the top of sound rock shown (497.6, 500.0, 501.4 and 500.8 ft).</w:t>
      </w:r>
    </w:p>
    <w:p>
      <w:pPr>
        <w:keepNext/>
        <w:spacing w:before="180" w:after="60"/>
      </w:pPr>
      <w:r>
        <w:rPr>
          <w:b/>
          <w:color w:val="1F3A5F"/>
          <w:sz w:val="23"/>
        </w:rPr>
        <w:t>6.  Record items to reconcile before the package goes to Council</w:t>
      </w:r>
    </w:p>
    <w:p>
      <w:pPr>
        <w:keepNext/>
        <w:spacing w:after="60"/>
      </w:pPr>
      <w:r>
        <w:rPr>
          <w:b w:val="0"/>
          <w:i w:val="0"/>
        </w:rPr>
        <w:t>These conflicts bear directly on the Bent 2 foundation and the claim, and should be resolved or expressly noted before the 05/22 delivery:</w:t>
      </w:r>
    </w:p>
    <w:tbl>
      <w:tblPr>
        <w:tblStyle w:val="TableGrid"/>
        <w:tblW w:type="dxa" w:w="9360"/>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232"/>
        <w:gridCol w:w="7128"/>
      </w:tblGrid>
      <w:tr>
        <w:trPr>
          <w:tblHeader w:val="true"/>
          <w:cantSplit/>
        </w:trPr>
        <w:tc>
          <w:tcPr>
            <w:tcW w:type="dxa" w:w="2232"/>
            <w:shd w:val="clear" w:color="auto" w:fill="D9E2EC"/>
          </w:tcPr>
          <w:p>
            <w:pPr>
              <w:spacing w:after="0" w:line="240" w:lineRule="auto"/>
            </w:pPr>
            <w:r/>
            <w:r>
              <w:rPr>
                <w:b/>
                <w:i w:val="0"/>
                <w:sz w:val="17"/>
              </w:rPr>
              <w:t>Topic</w:t>
            </w:r>
          </w:p>
        </w:tc>
        <w:tc>
          <w:tcPr>
            <w:tcW w:type="dxa" w:w="7128"/>
            <w:shd w:val="clear" w:color="auto" w:fill="D9E2EC"/>
          </w:tcPr>
          <w:p>
            <w:pPr>
              <w:spacing w:after="0" w:line="240" w:lineRule="auto"/>
            </w:pPr>
            <w:r/>
            <w:r>
              <w:rPr>
                <w:b/>
                <w:i w:val="0"/>
                <w:sz w:val="17"/>
              </w:rPr>
              <w:t>Conflict in the record</w:t>
            </w:r>
          </w:p>
        </w:tc>
      </w:tr>
      <w:tr>
        <w:trPr>
          <w:cantSplit/>
        </w:trPr>
        <w:tc>
          <w:tcPr>
            <w:tcW w:type="dxa" w:w="2232"/>
          </w:tcPr>
          <w:p>
            <w:pPr>
              <w:spacing w:after="0" w:line="240" w:lineRule="auto"/>
            </w:pPr>
            <w:r/>
            <w:r>
              <w:rPr>
                <w:b/>
                <w:i w:val="0"/>
                <w:sz w:val="17"/>
              </w:rPr>
              <w:t>When the Bent 2 shafts were built</w:t>
            </w:r>
          </w:p>
        </w:tc>
        <w:tc>
          <w:tcPr>
            <w:tcW w:type="dxa" w:w="7128"/>
          </w:tcPr>
          <w:p>
            <w:pPr>
              <w:spacing w:after="0" w:line="240" w:lineRule="auto"/>
            </w:pPr>
            <w:r/>
            <w:r>
              <w:rPr>
                <w:b w:val="0"/>
                <w:i w:val="0"/>
                <w:sz w:val="17"/>
              </w:rPr>
              <w:t>Dailies: drilled 03/16–03/20/2026, tip accepted 03/23, concreted 03/25. Schedule Update 15 (A5110): 09/09/2025–01/13/2026. CO-06: drilling 01/15–01/28/2026. SWPPP inspection log: drilling began 03/09/2026. Minutes #49–#52 and Vantera's April quantity report: drilling still under way in April–May.</w:t>
            </w:r>
          </w:p>
        </w:tc>
      </w:tr>
      <w:tr>
        <w:trPr>
          <w:cantSplit/>
        </w:trPr>
        <w:tc>
          <w:tcPr>
            <w:tcW w:type="dxa" w:w="2232"/>
          </w:tcPr>
          <w:p>
            <w:pPr>
              <w:spacing w:after="0" w:line="240" w:lineRule="auto"/>
            </w:pPr>
            <w:r/>
            <w:r>
              <w:rPr>
                <w:b/>
                <w:i w:val="0"/>
                <w:sz w:val="17"/>
              </w:rPr>
              <w:t>Number of Bent 2 shafts</w:t>
            </w:r>
          </w:p>
        </w:tc>
        <w:tc>
          <w:tcPr>
            <w:tcW w:type="dxa" w:w="7128"/>
          </w:tcPr>
          <w:p>
            <w:pPr>
              <w:spacing w:after="0" w:line="240" w:lineRule="auto"/>
            </w:pPr>
            <w:r/>
            <w:r>
              <w:rPr>
                <w:b w:val="0"/>
                <w:i w:val="0"/>
                <w:sz w:val="17"/>
              </w:rPr>
              <w:t>B-04, B-16, Submittal 421-01 and the USACE verification: two. Dailies: one placement (W-13). Scour Evaluation: single-column pier.</w:t>
            </w:r>
          </w:p>
        </w:tc>
      </w:tr>
      <w:tr>
        <w:trPr>
          <w:cantSplit/>
        </w:trPr>
        <w:tc>
          <w:tcPr>
            <w:tcW w:type="dxa" w:w="2232"/>
          </w:tcPr>
          <w:p>
            <w:pPr>
              <w:spacing w:after="0" w:line="240" w:lineRule="auto"/>
            </w:pPr>
            <w:r/>
            <w:r>
              <w:rPr>
                <w:b/>
                <w:i w:val="0"/>
                <w:sz w:val="17"/>
              </w:rPr>
              <w:t>Report number for 03/17/2026</w:t>
            </w:r>
          </w:p>
        </w:tc>
        <w:tc>
          <w:tcPr>
            <w:tcW w:type="dxa" w:w="7128"/>
          </w:tcPr>
          <w:p>
            <w:pPr>
              <w:spacing w:after="0" w:line="240" w:lineRule="auto"/>
            </w:pPr>
            <w:r/>
            <w:r>
              <w:rPr>
                <w:b w:val="0"/>
                <w:i w:val="0"/>
                <w:sz w:val="17"/>
              </w:rPr>
              <w:t>DR-0292 (file copy, with gaps); DR-0071 (RFI-041); DR-0269 (03/25 Council update). CO-06 cites DR-0347 to DR-0389 for December–January.</w:t>
            </w:r>
          </w:p>
        </w:tc>
      </w:tr>
      <w:tr>
        <w:trPr>
          <w:cantSplit/>
        </w:trPr>
        <w:tc>
          <w:tcPr>
            <w:tcW w:type="dxa" w:w="2232"/>
          </w:tcPr>
          <w:p>
            <w:pPr>
              <w:spacing w:after="0" w:line="240" w:lineRule="auto"/>
            </w:pPr>
            <w:r/>
            <w:r>
              <w:rPr>
                <w:b/>
                <w:i w:val="0"/>
                <w:sz w:val="17"/>
              </w:rPr>
              <w:t>Submittal 421-01</w:t>
            </w:r>
          </w:p>
        </w:tc>
        <w:tc>
          <w:tcPr>
            <w:tcW w:type="dxa" w:w="7128"/>
          </w:tcPr>
          <w:p>
            <w:pPr>
              <w:spacing w:after="0" w:line="240" w:lineRule="auto"/>
            </w:pPr>
            <w:r/>
            <w:r>
              <w:rPr>
                <w:b w:val="0"/>
                <w:i w:val="0"/>
                <w:sz w:val="17"/>
              </w:rPr>
              <w:t>Stamp: approved as noted 03/12/2025. Log: returned 05/23/2025 with "confirming-boring hold points at Bents 1 &amp; 2" (not on the stamped copy; no confirming boring in the record). RFI-041: "approved 02/06/2026." Rig: Watson CLM-25 (plan), Bauer BG-30 (dailies), IMT AF200 (claim). Slurry: mineral per plan and SUB-023; polymer used.</w:t>
            </w:r>
          </w:p>
        </w:tc>
      </w:tr>
      <w:tr>
        <w:trPr>
          <w:cantSplit/>
        </w:trPr>
        <w:tc>
          <w:tcPr>
            <w:tcW w:type="dxa" w:w="2232"/>
          </w:tcPr>
          <w:p>
            <w:pPr>
              <w:spacing w:after="0" w:line="240" w:lineRule="auto"/>
            </w:pPr>
            <w:r/>
            <w:r>
              <w:rPr>
                <w:b/>
                <w:i w:val="0"/>
                <w:sz w:val="17"/>
              </w:rPr>
              <w:t>Sheet and section references</w:t>
            </w:r>
          </w:p>
        </w:tc>
        <w:tc>
          <w:tcPr>
            <w:tcW w:type="dxa" w:w="7128"/>
          </w:tcPr>
          <w:p>
            <w:pPr>
              <w:spacing w:after="0" w:line="240" w:lineRule="auto"/>
            </w:pPr>
            <w:r/>
            <w:r>
              <w:rPr>
                <w:b w:val="0"/>
                <w:i w:val="0"/>
                <w:sz w:val="17"/>
              </w:rPr>
              <w:t>Spec 421.02 cites "Sheet S-4"; the Scour Evaluation, "Sheet S-2 (Rev 1)"; the RFI log, "Sheet S-6R"; RFI-041, "Section 455." The governing documents are Sheets B-04, B-16 and B-17 and Specification Section 421.</w:t>
            </w:r>
          </w:p>
        </w:tc>
      </w:tr>
    </w:tbl>
    <w:p>
      <w:pPr>
        <w:spacing w:after="40"/>
      </w:pPr>
    </w:p>
    <w:p>
      <w:pPr>
        <w:spacing w:after="280" w:before="40"/>
      </w:pPr>
      <w:r>
        <w:rPr>
          <w:b w:val="0"/>
          <w:i w:val="0"/>
        </w:rPr>
        <w:t>I recommend the 05/27 package state the determination in Section 1, list the Section 5 actions with dates, and carry the Bent 2 foundation as open until the sealed re-evaluation is issued. The §4.3 determination and the record corrections can be completed by 05/22; the verification and the sealed re-evaluation cannot, which is why the foundation item should not be presented as closed. I can walk you through this before the 05/22 delivery.</w:t>
      </w:r>
    </w:p>
    <w:p>
      <w:pPr>
        <w:spacing w:after="0"/>
      </w:pPr>
      <w:r>
        <w:rPr>
          <w:b w:val="0"/>
          <w:i w:val="0"/>
        </w:rPr>
      </w:r>
    </w:p>
    <w:p>
      <w:pPr>
        <w:keepNext/>
        <w:spacing w:after="0"/>
      </w:pPr>
      <w:r>
        <w:rPr>
          <w:b w:val="0"/>
          <w:i w:val="0"/>
        </w:rPr>
        <w:t>______________________________</w:t>
      </w:r>
    </w:p>
    <w:p>
      <w:pPr>
        <w:keepNext/>
        <w:spacing w:after="0"/>
      </w:pPr>
      <w:r>
        <w:rPr>
          <w:b/>
          <w:i w:val="0"/>
        </w:rPr>
        <w:t>Marcus Okafor, P.E.</w:t>
      </w:r>
    </w:p>
    <w:p>
      <w:pPr>
        <w:keepNext/>
        <w:spacing w:after="0"/>
      </w:pPr>
      <w:r>
        <w:rPr>
          <w:b w:val="0"/>
          <w:i w:val="0"/>
        </w:rPr>
        <w:t>Project Manager, Larkspur Civil Group, Inc.</w:t>
      </w:r>
    </w:p>
    <w:p>
      <w:pPr>
        <w:spacing w:after="200"/>
      </w:pPr>
      <w:r>
        <w:rPr>
          <w:b w:val="0"/>
          <w:i w:val="0"/>
        </w:rPr>
        <w:t>Texas P.E. No. 108772</w:t>
      </w:r>
    </w:p>
    <w:p>
      <w:pPr>
        <w:spacing w:after="0"/>
      </w:pPr>
      <w:r>
        <w:rPr>
          <w:b/>
          <w:i w:val="0"/>
          <w:sz w:val="16"/>
        </w:rPr>
        <w:t xml:space="preserve">Records reviewed: </w:t>
      </w:r>
      <w:r>
        <w:rPr>
          <w:b w:val="0"/>
          <w:i w:val="0"/>
          <w:sz w:val="16"/>
        </w:rPr>
        <w:t>Redoak Addendum No. 1, LTR-RG-2026-018 (04/21/2026); Redoak Report RG-24-0187 (08/22/2024), incl. logs B-1, B-6, B-7, B-8; IFC Plans conformed 11/07/2024 (B-01, B-04, B-16, B-17, S-3R); Specifications Section 421; Addendum No. 1; executed Contract (Agreement Art. 2; GC §§1.4, 3, 4.3, 6.4, 7.5, 10, 11); Submittal 421-01 and Submittal Log; Scour Evaluation LCG-WP2401-HYD-058; RFI-041 and RFI Log; Daily Reports, March–April 2026; Minutes #48–#52; Schedule Update 15; CO Package (CO-06); Vantera DSC claim and time-extension letter (05/08/2026); Submittal 503-04 (girders); USACE verification SWF-2024-00417; FDP-2024-0087.</w:t>
      </w:r>
    </w:p>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WP-2401 · Bent 2 Drilled Shafts — Foundation Determination · May 15, 2026 · Confidential · 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b/>
        <w:color w:val="1F3A5F"/>
        <w:sz w:val="22"/>
      </w:rPr>
      <w:t>LARKSPUR CIVIL GROUP, INC.</w:t>
    </w:r>
  </w:p>
  <w:p>
    <w:pPr>
      <w:spacing w:after="0"/>
      <w:pBdr>
        <w:bottom w:val="single" w:sz="8" w:space="1" w:color="1F3A5F"/>
      </w:pBdr>
    </w:pPr>
    <w:r>
      <w:rPr>
        <w:sz w:val="14"/>
      </w:rPr>
      <w:t>Engineering | CEI  ·  4225 Windsor Bluff Drive, Suite 800, Austin, TX 78745  ·  (512) 555-0180  ·  Texas Registered Engineering Firm F-9421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7"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7"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WP-2401 Bent 2 Drilled Shafts - Foundation Determination</dc:title>
  <dc:subject>Bent 2 drilled shaft adequacy and contract requirements</dc:subject>
  <dc:creator>Marcus Okafor, P.E., Larkspur Civil Group,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