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color w:val="555555"/>
          <w:sz w:val="18"/>
        </w:rPr>
        <w:t>MARLDEN PANEL PRODUCTS LTD</w:t>
      </w:r>
    </w:p>
    <w:p>
      <w:pPr>
        <w:spacing w:after="0"/>
      </w:pPr>
      <w:r>
        <w:rPr>
          <w:b/>
          <w:i w:val="0"/>
          <w:color w:val="1F3A5F"/>
          <w:sz w:val="40"/>
        </w:rPr>
        <w:t>DriveTec Support Day Position</w:t>
      </w:r>
    </w:p>
    <w:p>
      <w:pPr>
        <w:spacing w:after="160"/>
      </w:pPr>
      <w:r>
        <w:rPr>
          <w:b w:val="0"/>
          <w:i w:val="0"/>
          <w:color w:val="555555"/>
          <w:sz w:val="22"/>
        </w:rPr>
        <w:t>Line 2 MCC VFD Upgrade — PROJ-L2VFD-2026</w:t>
      </w:r>
    </w:p>
    <w:tbl>
      <w:tblPr>
        <w:tblW w:type="dxa" w:w="9411"/>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2041"/>
        <w:gridCol w:w="7370"/>
      </w:tblGrid>
      <w:tr>
        <w:trPr>
          <w:cantSplit/>
        </w:trPr>
        <w:tc>
          <w:tcPr>
            <w:tcW w:type="dxa" w:w="2041"/>
            <w:shd w:val="clear" w:color="auto" w:fill="F4F6F9"/>
            <w:vAlign w:val="top"/>
          </w:tcPr>
          <w:p>
            <w:pPr>
              <w:spacing w:after="20" w:line="240" w:lineRule="auto"/>
            </w:pPr>
            <w:r/>
            <w:r>
              <w:rPr>
                <w:b/>
                <w:i w:val="0"/>
                <w:sz w:val="19"/>
              </w:rPr>
              <w:t>Agreement</w:t>
            </w:r>
          </w:p>
        </w:tc>
        <w:tc>
          <w:tcPr>
            <w:tcW w:type="dxa" w:w="7370"/>
            <w:vAlign w:val="top"/>
          </w:tcPr>
          <w:p>
            <w:pPr>
              <w:spacing w:after="20" w:line="240" w:lineRule="auto"/>
            </w:pPr>
            <w:r/>
            <w:r>
              <w:rPr>
                <w:b w:val="0"/>
                <w:i w:val="0"/>
                <w:sz w:val="19"/>
              </w:rPr>
              <w:t>Supply and Commissioning Support Agreement DTX-SSA-2026-118 dated 04/20/2026 — DriveTec Systems GmbH / Marlden Panel Products Ltd</w:t>
            </w:r>
          </w:p>
        </w:tc>
      </w:tr>
      <w:tr>
        <w:trPr>
          <w:cantSplit/>
        </w:trPr>
        <w:tc>
          <w:tcPr>
            <w:tcW w:type="dxa" w:w="2041"/>
            <w:shd w:val="clear" w:color="auto" w:fill="F4F6F9"/>
            <w:vAlign w:val="top"/>
          </w:tcPr>
          <w:p>
            <w:pPr>
              <w:spacing w:after="20" w:line="240" w:lineRule="auto"/>
            </w:pPr>
            <w:r/>
            <w:r>
              <w:rPr>
                <w:b/>
                <w:i w:val="0"/>
                <w:sz w:val="19"/>
              </w:rPr>
              <w:t>Statement answered</w:t>
            </w:r>
          </w:p>
        </w:tc>
        <w:tc>
          <w:tcPr>
            <w:tcW w:type="dxa" w:w="7370"/>
            <w:vAlign w:val="top"/>
          </w:tcPr>
          <w:p>
            <w:pPr>
              <w:spacing w:after="20" w:line="240" w:lineRule="auto"/>
            </w:pPr>
            <w:r/>
            <w:r>
              <w:rPr>
                <w:b w:val="0"/>
                <w:i w:val="0"/>
                <w:sz w:val="19"/>
              </w:rPr>
              <w:t>Support and Consignment Statement DTX-SS-2026-0442 dated 07/20/2026 (A. Petrossian), issued under clause 6.3</w:t>
            </w:r>
          </w:p>
        </w:tc>
      </w:tr>
      <w:tr>
        <w:trPr>
          <w:cantSplit/>
        </w:trPr>
        <w:tc>
          <w:tcPr>
            <w:tcW w:type="dxa" w:w="2041"/>
            <w:shd w:val="clear" w:color="auto" w:fill="F4F6F9"/>
            <w:vAlign w:val="top"/>
          </w:tcPr>
          <w:p>
            <w:pPr>
              <w:spacing w:after="20" w:line="240" w:lineRule="auto"/>
            </w:pPr>
            <w:r/>
            <w:r>
              <w:rPr>
                <w:b/>
                <w:i w:val="0"/>
                <w:sz w:val="19"/>
              </w:rPr>
              <w:t>Position stated at</w:t>
            </w:r>
          </w:p>
        </w:tc>
        <w:tc>
          <w:tcPr>
            <w:tcW w:type="dxa" w:w="7370"/>
            <w:vAlign w:val="top"/>
          </w:tcPr>
          <w:p>
            <w:pPr>
              <w:spacing w:after="20" w:line="240" w:lineRule="auto"/>
            </w:pPr>
            <w:r/>
            <w:r>
              <w:rPr>
                <w:b w:val="0"/>
                <w:i w:val="0"/>
                <w:sz w:val="19"/>
              </w:rPr>
              <w:t>Close of 08/06/2026</w:t>
            </w:r>
          </w:p>
        </w:tc>
      </w:tr>
      <w:tr>
        <w:trPr>
          <w:cantSplit/>
        </w:trPr>
        <w:tc>
          <w:tcPr>
            <w:tcW w:type="dxa" w:w="2041"/>
            <w:shd w:val="clear" w:color="auto" w:fill="F4F6F9"/>
            <w:vAlign w:val="top"/>
          </w:tcPr>
          <w:p>
            <w:pPr>
              <w:spacing w:after="20" w:line="240" w:lineRule="auto"/>
            </w:pPr>
            <w:r/>
            <w:r>
              <w:rPr>
                <w:b/>
                <w:i w:val="0"/>
                <w:sz w:val="19"/>
              </w:rPr>
              <w:t>Prepared by</w:t>
            </w:r>
          </w:p>
        </w:tc>
        <w:tc>
          <w:tcPr>
            <w:tcW w:type="dxa" w:w="7370"/>
            <w:vAlign w:val="top"/>
          </w:tcPr>
          <w:p>
            <w:pPr>
              <w:spacing w:after="20" w:line="240" w:lineRule="auto"/>
            </w:pPr>
            <w:r/>
            <w:r>
              <w:rPr>
                <w:b w:val="0"/>
                <w:i w:val="0"/>
                <w:sz w:val="19"/>
              </w:rPr>
              <w:t>R. James, Lead Electrical Engineer — Purchaser's representative under DTX-SSA-2026-118</w:t>
            </w:r>
          </w:p>
        </w:tc>
      </w:tr>
      <w:tr>
        <w:trPr>
          <w:cantSplit/>
        </w:trPr>
        <w:tc>
          <w:tcPr>
            <w:tcW w:type="dxa" w:w="2041"/>
            <w:shd w:val="clear" w:color="auto" w:fill="F4F6F9"/>
            <w:vAlign w:val="top"/>
          </w:tcPr>
          <w:p>
            <w:pPr>
              <w:spacing w:after="20" w:line="240" w:lineRule="auto"/>
            </w:pPr>
            <w:r/>
            <w:r>
              <w:rPr>
                <w:b/>
                <w:i w:val="0"/>
                <w:sz w:val="19"/>
              </w:rPr>
              <w:t>Date</w:t>
            </w:r>
          </w:p>
        </w:tc>
        <w:tc>
          <w:tcPr>
            <w:tcW w:type="dxa" w:w="7370"/>
            <w:vAlign w:val="top"/>
          </w:tcPr>
          <w:p>
            <w:pPr>
              <w:spacing w:after="20" w:line="240" w:lineRule="auto"/>
            </w:pPr>
            <w:r/>
            <w:r>
              <w:rPr>
                <w:b w:val="0"/>
                <w:i w:val="0"/>
                <w:sz w:val="19"/>
              </w:rPr>
              <w:t>08/07/2026</w:t>
            </w:r>
          </w:p>
        </w:tc>
      </w:tr>
      <w:tr>
        <w:trPr>
          <w:cantSplit/>
        </w:trPr>
        <w:tc>
          <w:tcPr>
            <w:tcW w:type="dxa" w:w="2041"/>
            <w:shd w:val="clear" w:color="auto" w:fill="F4F6F9"/>
            <w:vAlign w:val="top"/>
          </w:tcPr>
          <w:p>
            <w:pPr>
              <w:spacing w:after="20" w:line="240" w:lineRule="auto"/>
            </w:pPr>
            <w:r/>
            <w:r>
              <w:rPr>
                <w:b/>
                <w:i w:val="0"/>
                <w:sz w:val="19"/>
              </w:rPr>
              <w:t>Contents</w:t>
            </w:r>
          </w:p>
        </w:tc>
        <w:tc>
          <w:tcPr>
            <w:tcW w:type="dxa" w:w="7370"/>
            <w:vAlign w:val="top"/>
          </w:tcPr>
          <w:p>
            <w:pPr>
              <w:spacing w:after="20" w:line="240" w:lineRule="auto"/>
            </w:pPr>
            <w:r/>
            <w:r>
              <w:rPr>
                <w:b w:val="0"/>
                <w:i w:val="0"/>
                <w:sz w:val="19"/>
              </w:rPr>
              <w:t>Section 1 — Response to the statement, with the position on the Support Days (for issue to DriveTec)</w:t>
            </w:r>
          </w:p>
          <w:p>
            <w:pPr>
              <w:spacing w:after="20" w:line="240" w:lineRule="auto"/>
            </w:pPr>
            <w:r>
              <w:rPr>
                <w:b w:val="0"/>
                <w:i w:val="0"/>
                <w:sz w:val="19"/>
              </w:rPr>
              <w:t>Section 2 — Note to Amara Petrossian, calling off 08/10–08/14/2026 (for issue by e-mail before 16:00 UK today)</w:t>
            </w:r>
          </w:p>
          <w:p>
            <w:pPr>
              <w:spacing w:after="20" w:line="240" w:lineRule="auto"/>
            </w:pPr>
            <w:r>
              <w:rPr>
                <w:b w:val="0"/>
                <w:i w:val="0"/>
                <w:sz w:val="19"/>
              </w:rPr>
              <w:t>Section 3 — File note (internal — not for issue)</w:t>
            </w:r>
          </w:p>
        </w:tc>
      </w:tr>
      <w:tr>
        <w:trPr>
          <w:cantSplit/>
        </w:trPr>
        <w:tc>
          <w:tcPr>
            <w:tcW w:type="dxa" w:w="2041"/>
            <w:shd w:val="clear" w:color="auto" w:fill="F4F6F9"/>
            <w:vAlign w:val="top"/>
          </w:tcPr>
          <w:p>
            <w:pPr>
              <w:spacing w:after="20" w:line="240" w:lineRule="auto"/>
            </w:pPr>
            <w:r/>
            <w:r>
              <w:rPr>
                <w:b/>
                <w:i w:val="0"/>
                <w:sz w:val="19"/>
              </w:rPr>
              <w:t>Figures</w:t>
            </w:r>
          </w:p>
        </w:tc>
        <w:tc>
          <w:tcPr>
            <w:tcW w:type="dxa" w:w="7370"/>
            <w:vAlign w:val="top"/>
          </w:tcPr>
          <w:p>
            <w:pPr>
              <w:spacing w:after="20" w:line="240" w:lineRule="auto"/>
            </w:pPr>
            <w:r/>
            <w:r>
              <w:rPr>
                <w:b w:val="0"/>
                <w:i w:val="0"/>
                <w:sz w:val="19"/>
              </w:rPr>
              <w:t>Exclusive of VAT. Schedule 2 rates: Support Day £890; Saturday, Sunday or Scottish public holiday £1,335 (1.5 × £890); consignment spare holding charge £45 per calendar day.</w:t>
            </w:r>
          </w:p>
        </w:tc>
      </w:tr>
    </w:tbl>
    <w:p>
      <w:pPr>
        <w:spacing w:after="40"/>
      </w:pPr>
    </w:p>
    <w:p>
      <w:pPr>
        <w:pStyle w:val="Heading1"/>
      </w:pPr>
      <w:r>
        <w:t>Section 1 — Response to Statement DTX-SS-2026-0442, with the position on the Support Days</w:t>
      </w:r>
    </w:p>
    <w:tbl>
      <w:tblPr>
        <w:tblW w:type="dxa" w:w="9411"/>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1474"/>
        <w:gridCol w:w="7937"/>
      </w:tblGrid>
      <w:tr>
        <w:trPr>
          <w:cantSplit/>
        </w:trPr>
        <w:tc>
          <w:tcPr>
            <w:tcW w:type="dxa" w:w="1474"/>
            <w:shd w:val="clear" w:color="auto" w:fill="F4F6F9"/>
            <w:vAlign w:val="top"/>
          </w:tcPr>
          <w:p>
            <w:pPr>
              <w:spacing w:after="20" w:line="240" w:lineRule="auto"/>
            </w:pPr>
            <w:r/>
            <w:r>
              <w:rPr>
                <w:b/>
                <w:i w:val="0"/>
                <w:sz w:val="19"/>
              </w:rPr>
              <w:t>To</w:t>
            </w:r>
          </w:p>
        </w:tc>
        <w:tc>
          <w:tcPr>
            <w:tcW w:type="dxa" w:w="7937"/>
            <w:vAlign w:val="top"/>
          </w:tcPr>
          <w:p>
            <w:pPr>
              <w:spacing w:after="20" w:line="240" w:lineRule="auto"/>
            </w:pPr>
            <w:r/>
            <w:r>
              <w:rPr>
                <w:b w:val="0"/>
                <w:i w:val="0"/>
                <w:sz w:val="19"/>
              </w:rPr>
              <w:t>DriveTec Systems GmbH — for the attention of A. Petrossian, VFD Vendor Project Engineer</w:t>
            </w:r>
          </w:p>
        </w:tc>
      </w:tr>
      <w:tr>
        <w:trPr>
          <w:cantSplit/>
        </w:trPr>
        <w:tc>
          <w:tcPr>
            <w:tcW w:type="dxa" w:w="1474"/>
            <w:shd w:val="clear" w:color="auto" w:fill="F4F6F9"/>
            <w:vAlign w:val="top"/>
          </w:tcPr>
          <w:p>
            <w:pPr>
              <w:spacing w:after="20" w:line="240" w:lineRule="auto"/>
            </w:pPr>
            <w:r/>
            <w:r>
              <w:rPr>
                <w:b/>
                <w:i w:val="0"/>
                <w:sz w:val="19"/>
              </w:rPr>
              <w:t>From</w:t>
            </w:r>
          </w:p>
        </w:tc>
        <w:tc>
          <w:tcPr>
            <w:tcW w:type="dxa" w:w="7937"/>
            <w:vAlign w:val="top"/>
          </w:tcPr>
          <w:p>
            <w:pPr>
              <w:spacing w:after="20" w:line="240" w:lineRule="auto"/>
            </w:pPr>
            <w:r/>
            <w:r>
              <w:rPr>
                <w:b w:val="0"/>
                <w:i w:val="0"/>
                <w:sz w:val="19"/>
              </w:rPr>
              <w:t>Marlden Panel Products Ltd — R. James, Lead Electrical Engineer (Purchaser's representative)</w:t>
            </w:r>
          </w:p>
        </w:tc>
      </w:tr>
      <w:tr>
        <w:trPr>
          <w:cantSplit/>
        </w:trPr>
        <w:tc>
          <w:tcPr>
            <w:tcW w:type="dxa" w:w="1474"/>
            <w:shd w:val="clear" w:color="auto" w:fill="F4F6F9"/>
            <w:vAlign w:val="top"/>
          </w:tcPr>
          <w:p>
            <w:pPr>
              <w:spacing w:after="20" w:line="240" w:lineRule="auto"/>
            </w:pPr>
            <w:r/>
            <w:r>
              <w:rPr>
                <w:b/>
                <w:i w:val="0"/>
                <w:sz w:val="19"/>
              </w:rPr>
              <w:t>Date</w:t>
            </w:r>
          </w:p>
        </w:tc>
        <w:tc>
          <w:tcPr>
            <w:tcW w:type="dxa" w:w="7937"/>
            <w:vAlign w:val="top"/>
          </w:tcPr>
          <w:p>
            <w:pPr>
              <w:spacing w:after="20" w:line="240" w:lineRule="auto"/>
            </w:pPr>
            <w:r/>
            <w:r>
              <w:rPr>
                <w:b w:val="0"/>
                <w:i w:val="0"/>
                <w:sz w:val="19"/>
              </w:rPr>
              <w:t>08/07/2026</w:t>
            </w:r>
          </w:p>
        </w:tc>
      </w:tr>
      <w:tr>
        <w:trPr>
          <w:cantSplit/>
        </w:trPr>
        <w:tc>
          <w:tcPr>
            <w:tcW w:type="dxa" w:w="1474"/>
            <w:shd w:val="clear" w:color="auto" w:fill="F4F6F9"/>
            <w:vAlign w:val="top"/>
          </w:tcPr>
          <w:p>
            <w:pPr>
              <w:spacing w:after="20" w:line="240" w:lineRule="auto"/>
            </w:pPr>
            <w:r/>
            <w:r>
              <w:rPr>
                <w:b/>
                <w:i w:val="0"/>
                <w:sz w:val="19"/>
              </w:rPr>
              <w:t>Subject</w:t>
            </w:r>
          </w:p>
        </w:tc>
        <w:tc>
          <w:tcPr>
            <w:tcW w:type="dxa" w:w="7937"/>
            <w:vAlign w:val="top"/>
          </w:tcPr>
          <w:p>
            <w:pPr>
              <w:spacing w:after="20" w:line="240" w:lineRule="auto"/>
            </w:pPr>
            <w:r/>
            <w:r>
              <w:rPr>
                <w:b w:val="0"/>
                <w:i w:val="0"/>
                <w:sz w:val="19"/>
              </w:rPr>
              <w:t>Support and Consignment Statement DTX-SS-2026-0442 of 07/20/2026 — Agreement DTX-SSA-2026-118, clause 6.3</w:t>
            </w:r>
          </w:p>
        </w:tc>
      </w:tr>
    </w:tbl>
    <w:p>
      <w:pPr>
        <w:spacing w:after="40"/>
      </w:pPr>
    </w:p>
    <w:p>
      <w:r>
        <w:rPr>
          <w:b w:val="0"/>
          <w:i w:val="0"/>
        </w:rPr>
        <w:t>Marlden does not agree the statement as issued. Our position on each Part, and on the Support Days at the close of 08/06/2026, is set out below. All figures are exclusive of VAT.</w:t>
      </w:r>
    </w:p>
    <w:p>
      <w:pPr>
        <w:pStyle w:val="Heading2"/>
      </w:pPr>
      <w:r>
        <w:t>1.1  Summary</w:t>
      </w:r>
    </w:p>
    <w:tbl>
      <w:tblPr>
        <w:tblW w:type="dxa" w:w="9412"/>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3742"/>
        <w:gridCol w:w="2211"/>
        <w:gridCol w:w="2268"/>
        <w:gridCol w:w="1191"/>
      </w:tblGrid>
      <w:tr>
        <w:trPr>
          <w:cantSplit/>
          <w:tblHeader w:val="true"/>
        </w:trPr>
        <w:tc>
          <w:tcPr>
            <w:tcW w:type="dxa" w:w="3742"/>
            <w:shd w:val="clear" w:color="auto" w:fill="DCE3EC"/>
            <w:vAlign w:val="top"/>
          </w:tcPr>
          <w:p>
            <w:pPr>
              <w:spacing w:after="20" w:line="240" w:lineRule="auto"/>
            </w:pPr>
            <w:r/>
            <w:r>
              <w:rPr>
                <w:b/>
                <w:i w:val="0"/>
                <w:sz w:val="19"/>
              </w:rPr>
              <w:t>Part</w:t>
            </w:r>
          </w:p>
        </w:tc>
        <w:tc>
          <w:tcPr>
            <w:tcW w:type="dxa" w:w="2211"/>
            <w:shd w:val="clear" w:color="auto" w:fill="DCE3EC"/>
            <w:vAlign w:val="top"/>
          </w:tcPr>
          <w:p>
            <w:pPr>
              <w:spacing w:after="20" w:line="240" w:lineRule="auto"/>
            </w:pPr>
            <w:r/>
            <w:r>
              <w:rPr>
                <w:b/>
                <w:i w:val="0"/>
                <w:sz w:val="19"/>
              </w:rPr>
              <w:t>Statement</w:t>
            </w:r>
          </w:p>
        </w:tc>
        <w:tc>
          <w:tcPr>
            <w:tcW w:type="dxa" w:w="2268"/>
            <w:shd w:val="clear" w:color="auto" w:fill="DCE3EC"/>
            <w:vAlign w:val="top"/>
          </w:tcPr>
          <w:p>
            <w:pPr>
              <w:spacing w:after="20" w:line="240" w:lineRule="auto"/>
            </w:pPr>
            <w:r/>
            <w:r>
              <w:rPr>
                <w:b/>
                <w:i w:val="0"/>
                <w:sz w:val="19"/>
              </w:rPr>
              <w:t>Marlden</w:t>
            </w:r>
          </w:p>
        </w:tc>
        <w:tc>
          <w:tcPr>
            <w:tcW w:type="dxa" w:w="1191"/>
            <w:shd w:val="clear" w:color="auto" w:fill="DCE3EC"/>
            <w:vAlign w:val="top"/>
          </w:tcPr>
          <w:p>
            <w:pPr>
              <w:spacing w:after="20" w:line="240" w:lineRule="auto"/>
            </w:pPr>
            <w:r/>
            <w:r>
              <w:rPr>
                <w:b/>
                <w:i w:val="0"/>
                <w:sz w:val="19"/>
              </w:rPr>
              <w:t>Clause</w:t>
            </w:r>
          </w:p>
        </w:tc>
      </w:tr>
      <w:tr>
        <w:trPr>
          <w:cantSplit/>
        </w:trPr>
        <w:tc>
          <w:tcPr>
            <w:tcW w:type="dxa" w:w="3742"/>
            <w:vAlign w:val="top"/>
          </w:tcPr>
          <w:p>
            <w:pPr>
              <w:spacing w:after="20" w:line="240" w:lineRule="auto"/>
            </w:pPr>
            <w:r/>
            <w:r>
              <w:rPr>
                <w:b w:val="0"/>
                <w:i w:val="0"/>
                <w:sz w:val="19"/>
              </w:rPr>
              <w:t>A — Support Days consumed to 07/20/2026</w:t>
            </w:r>
          </w:p>
        </w:tc>
        <w:tc>
          <w:tcPr>
            <w:tcW w:type="dxa" w:w="2211"/>
            <w:vAlign w:val="top"/>
          </w:tcPr>
          <w:p>
            <w:pPr>
              <w:spacing w:after="20" w:line="240" w:lineRule="auto"/>
            </w:pPr>
            <w:r/>
            <w:r>
              <w:rPr>
                <w:b w:val="0"/>
                <w:i w:val="0"/>
                <w:sz w:val="19"/>
              </w:rPr>
              <w:t>5 consumed; nil remaining</w:t>
            </w:r>
          </w:p>
        </w:tc>
        <w:tc>
          <w:tcPr>
            <w:tcW w:type="dxa" w:w="2268"/>
            <w:vAlign w:val="top"/>
          </w:tcPr>
          <w:p>
            <w:pPr>
              <w:spacing w:after="20" w:line="240" w:lineRule="auto"/>
            </w:pPr>
            <w:r/>
            <w:r>
              <w:rPr>
                <w:b w:val="0"/>
                <w:i w:val="0"/>
                <w:sz w:val="19"/>
              </w:rPr>
              <w:t>0 consumed; 5 remaining; £0</w:t>
            </w:r>
          </w:p>
        </w:tc>
        <w:tc>
          <w:tcPr>
            <w:tcW w:type="dxa" w:w="1191"/>
            <w:vAlign w:val="top"/>
          </w:tcPr>
          <w:p>
            <w:pPr>
              <w:spacing w:after="20" w:line="240" w:lineRule="auto"/>
            </w:pPr>
            <w:r/>
            <w:r>
              <w:rPr>
                <w:b w:val="0"/>
                <w:i w:val="0"/>
                <w:sz w:val="19"/>
              </w:rPr>
              <w:t>4.2</w:t>
            </w:r>
          </w:p>
        </w:tc>
      </w:tr>
      <w:tr>
        <w:trPr>
          <w:cantSplit/>
        </w:trPr>
        <w:tc>
          <w:tcPr>
            <w:tcW w:type="dxa" w:w="3742"/>
            <w:vAlign w:val="top"/>
          </w:tcPr>
          <w:p>
            <w:pPr>
              <w:spacing w:after="20" w:line="240" w:lineRule="auto"/>
            </w:pPr>
            <w:r/>
            <w:r>
              <w:rPr>
                <w:b w:val="0"/>
                <w:i w:val="0"/>
                <w:sz w:val="19"/>
              </w:rPr>
              <w:t>B — Commissioning support, on-call window 08/05–08/14/2026</w:t>
            </w:r>
          </w:p>
        </w:tc>
        <w:tc>
          <w:tcPr>
            <w:tcW w:type="dxa" w:w="2211"/>
            <w:vAlign w:val="top"/>
          </w:tcPr>
          <w:p>
            <w:pPr>
              <w:spacing w:after="20" w:line="240" w:lineRule="auto"/>
            </w:pPr>
            <w:r/>
            <w:r>
              <w:rPr>
                <w:b w:val="0"/>
                <w:i w:val="0"/>
                <w:sz w:val="19"/>
              </w:rPr>
              <w:t>8 days × £890 = £7,120</w:t>
            </w:r>
          </w:p>
        </w:tc>
        <w:tc>
          <w:tcPr>
            <w:tcW w:type="dxa" w:w="2268"/>
            <w:vAlign w:val="top"/>
          </w:tcPr>
          <w:p>
            <w:pPr>
              <w:spacing w:after="20" w:line="240" w:lineRule="auto"/>
            </w:pPr>
            <w:r/>
            <w:r>
              <w:rPr>
                <w:b w:val="0"/>
                <w:i w:val="0"/>
                <w:sz w:val="19"/>
              </w:rPr>
              <w:t>£0</w:t>
            </w:r>
          </w:p>
        </w:tc>
        <w:tc>
          <w:tcPr>
            <w:tcW w:type="dxa" w:w="1191"/>
            <w:vAlign w:val="top"/>
          </w:tcPr>
          <w:p>
            <w:pPr>
              <w:spacing w:after="20" w:line="240" w:lineRule="auto"/>
            </w:pPr>
            <w:r/>
            <w:r>
              <w:rPr>
                <w:b w:val="0"/>
                <w:i w:val="0"/>
                <w:sz w:val="19"/>
              </w:rPr>
              <w:t>4.1, 4.2, 4.3</w:t>
            </w:r>
          </w:p>
        </w:tc>
      </w:tr>
      <w:tr>
        <w:trPr>
          <w:cantSplit/>
        </w:trPr>
        <w:tc>
          <w:tcPr>
            <w:tcW w:type="dxa" w:w="3742"/>
            <w:vAlign w:val="top"/>
          </w:tcPr>
          <w:p>
            <w:pPr>
              <w:spacing w:after="20" w:line="240" w:lineRule="auto"/>
            </w:pPr>
            <w:r/>
            <w:r>
              <w:rPr>
                <w:b w:val="0"/>
                <w:i w:val="0"/>
                <w:sz w:val="19"/>
              </w:rPr>
              <w:t>C — Consignment spare DTX-60, holding charge 07/13–07/20/2026</w:t>
            </w:r>
          </w:p>
        </w:tc>
        <w:tc>
          <w:tcPr>
            <w:tcW w:type="dxa" w:w="2211"/>
            <w:vAlign w:val="top"/>
          </w:tcPr>
          <w:p>
            <w:pPr>
              <w:spacing w:after="20" w:line="240" w:lineRule="auto"/>
            </w:pPr>
            <w:r/>
            <w:r>
              <w:rPr>
                <w:b w:val="0"/>
                <w:i w:val="0"/>
                <w:sz w:val="19"/>
              </w:rPr>
              <w:t>7 days × £45 = £315</w:t>
            </w:r>
          </w:p>
        </w:tc>
        <w:tc>
          <w:tcPr>
            <w:tcW w:type="dxa" w:w="2268"/>
            <w:vAlign w:val="top"/>
          </w:tcPr>
          <w:p>
            <w:pPr>
              <w:spacing w:after="20" w:line="240" w:lineRule="auto"/>
            </w:pPr>
            <w:r/>
            <w:r>
              <w:rPr>
                <w:b w:val="0"/>
                <w:i w:val="0"/>
                <w:sz w:val="19"/>
              </w:rPr>
              <w:t>£0</w:t>
            </w:r>
          </w:p>
        </w:tc>
        <w:tc>
          <w:tcPr>
            <w:tcW w:type="dxa" w:w="1191"/>
            <w:vAlign w:val="top"/>
          </w:tcPr>
          <w:p>
            <w:pPr>
              <w:spacing w:after="20" w:line="240" w:lineRule="auto"/>
            </w:pPr>
            <w:r/>
            <w:r>
              <w:rPr>
                <w:b w:val="0"/>
                <w:i w:val="0"/>
                <w:sz w:val="19"/>
              </w:rPr>
              <w:t>3.3, Sch. 2</w:t>
            </w:r>
          </w:p>
        </w:tc>
      </w:tr>
      <w:tr>
        <w:trPr>
          <w:cantSplit/>
        </w:trPr>
        <w:tc>
          <w:tcPr>
            <w:tcW w:type="dxa" w:w="3742"/>
            <w:shd w:val="clear" w:color="auto" w:fill="EEF1F5"/>
            <w:vAlign w:val="top"/>
          </w:tcPr>
          <w:p>
            <w:pPr>
              <w:spacing w:after="20" w:line="240" w:lineRule="auto"/>
            </w:pPr>
            <w:r/>
            <w:r>
              <w:rPr>
                <w:b/>
                <w:i w:val="0"/>
                <w:sz w:val="19"/>
              </w:rPr>
              <w:t>Total anticipated, Parts B and C</w:t>
            </w:r>
          </w:p>
        </w:tc>
        <w:tc>
          <w:tcPr>
            <w:tcW w:type="dxa" w:w="2211"/>
            <w:shd w:val="clear" w:color="auto" w:fill="EEF1F5"/>
            <w:vAlign w:val="top"/>
          </w:tcPr>
          <w:p>
            <w:pPr>
              <w:spacing w:after="20" w:line="240" w:lineRule="auto"/>
            </w:pPr>
            <w:r/>
            <w:r>
              <w:rPr>
                <w:b/>
                <w:i w:val="0"/>
                <w:sz w:val="19"/>
              </w:rPr>
              <w:t>£7,435</w:t>
            </w:r>
          </w:p>
        </w:tc>
        <w:tc>
          <w:tcPr>
            <w:tcW w:type="dxa" w:w="2268"/>
            <w:shd w:val="clear" w:color="auto" w:fill="EEF1F5"/>
            <w:vAlign w:val="top"/>
          </w:tcPr>
          <w:p>
            <w:pPr>
              <w:spacing w:after="20" w:line="240" w:lineRule="auto"/>
            </w:pPr>
            <w:r/>
            <w:r>
              <w:rPr>
                <w:b/>
                <w:i w:val="0"/>
                <w:sz w:val="19"/>
              </w:rPr>
              <w:t>£0</w:t>
            </w:r>
          </w:p>
        </w:tc>
        <w:tc>
          <w:tcPr>
            <w:tcW w:type="dxa" w:w="1191"/>
            <w:shd w:val="clear" w:color="auto" w:fill="EEF1F5"/>
            <w:vAlign w:val="top"/>
          </w:tcPr>
          <w:p>
            <w:pPr>
              <w:spacing w:after="20" w:line="240" w:lineRule="auto"/>
            </w:pPr>
            <w:r/>
          </w:p>
        </w:tc>
      </w:tr>
    </w:tbl>
    <w:p>
      <w:pPr>
        <w:spacing w:after="40"/>
      </w:pPr>
    </w:p>
    <w:p>
      <w:pPr>
        <w:pStyle w:val="Heading2"/>
      </w:pPr>
      <w:r>
        <w:t>1.2  Position on the Support Days at the close of 08/06/2026</w:t>
      </w:r>
    </w:p>
    <w:tbl>
      <w:tblPr>
        <w:tblW w:type="dxa" w:w="9411"/>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6576"/>
        <w:gridCol w:w="1474"/>
        <w:gridCol w:w="1361"/>
      </w:tblGrid>
      <w:tr>
        <w:trPr>
          <w:cantSplit/>
          <w:tblHeader w:val="true"/>
        </w:trPr>
        <w:tc>
          <w:tcPr>
            <w:tcW w:type="dxa" w:w="6576"/>
            <w:shd w:val="clear" w:color="auto" w:fill="DCE3EC"/>
            <w:vAlign w:val="top"/>
          </w:tcPr>
          <w:p>
            <w:pPr>
              <w:spacing w:after="20" w:line="240" w:lineRule="auto"/>
            </w:pPr>
            <w:r/>
          </w:p>
        </w:tc>
        <w:tc>
          <w:tcPr>
            <w:tcW w:type="dxa" w:w="1474"/>
            <w:shd w:val="clear" w:color="auto" w:fill="DCE3EC"/>
            <w:vAlign w:val="top"/>
          </w:tcPr>
          <w:p>
            <w:pPr>
              <w:spacing w:after="20" w:line="240" w:lineRule="auto"/>
            </w:pPr>
            <w:r/>
            <w:r>
              <w:rPr>
                <w:b/>
                <w:i w:val="0"/>
                <w:sz w:val="19"/>
              </w:rPr>
              <w:t>Support Days</w:t>
            </w:r>
          </w:p>
        </w:tc>
        <w:tc>
          <w:tcPr>
            <w:tcW w:type="dxa" w:w="1361"/>
            <w:shd w:val="clear" w:color="auto" w:fill="DCE3EC"/>
            <w:vAlign w:val="top"/>
          </w:tcPr>
          <w:p>
            <w:pPr>
              <w:spacing w:after="20" w:line="240" w:lineRule="auto"/>
            </w:pPr>
            <w:r/>
            <w:r>
              <w:rPr>
                <w:b/>
                <w:i w:val="0"/>
                <w:sz w:val="19"/>
              </w:rPr>
              <w:t>£</w:t>
            </w:r>
          </w:p>
        </w:tc>
      </w:tr>
      <w:tr>
        <w:trPr>
          <w:cantSplit/>
        </w:trPr>
        <w:tc>
          <w:tcPr>
            <w:tcW w:type="dxa" w:w="6576"/>
            <w:vAlign w:val="top"/>
          </w:tcPr>
          <w:p>
            <w:pPr>
              <w:spacing w:after="20" w:line="240" w:lineRule="auto"/>
            </w:pPr>
            <w:r/>
            <w:r>
              <w:rPr>
                <w:b w:val="0"/>
                <w:i w:val="0"/>
                <w:sz w:val="19"/>
              </w:rPr>
              <w:t>Included in the Contract Price (clause 4.2)</w:t>
            </w:r>
          </w:p>
        </w:tc>
        <w:tc>
          <w:tcPr>
            <w:tcW w:type="dxa" w:w="1474"/>
            <w:vAlign w:val="top"/>
          </w:tcPr>
          <w:p>
            <w:pPr>
              <w:spacing w:after="20" w:line="240" w:lineRule="auto"/>
              <w:jc w:val="right"/>
            </w:pPr>
            <w:r/>
            <w:r>
              <w:rPr>
                <w:b w:val="0"/>
                <w:i w:val="0"/>
                <w:sz w:val="19"/>
              </w:rPr>
              <w:t>5</w:t>
            </w:r>
          </w:p>
        </w:tc>
        <w:tc>
          <w:tcPr>
            <w:tcW w:type="dxa" w:w="1361"/>
            <w:vAlign w:val="top"/>
          </w:tcPr>
          <w:p>
            <w:pPr>
              <w:spacing w:after="20" w:line="240" w:lineRule="auto"/>
              <w:jc w:val="right"/>
            </w:pPr>
            <w:r/>
            <w:r>
              <w:rPr>
                <w:b w:val="0"/>
                <w:i w:val="0"/>
                <w:sz w:val="19"/>
              </w:rPr>
              <w:t>—</w:t>
            </w:r>
          </w:p>
        </w:tc>
      </w:tr>
      <w:tr>
        <w:trPr>
          <w:cantSplit/>
        </w:trPr>
        <w:tc>
          <w:tcPr>
            <w:tcW w:type="dxa" w:w="6576"/>
            <w:vAlign w:val="top"/>
          </w:tcPr>
          <w:p>
            <w:pPr>
              <w:spacing w:after="20" w:line="240" w:lineRule="auto"/>
            </w:pPr>
            <w:r/>
            <w:r>
              <w:rPr>
                <w:b w:val="0"/>
                <w:i w:val="0"/>
                <w:sz w:val="19"/>
              </w:rPr>
              <w:t>Consumed by the RFI answers listed in Part A</w:t>
            </w:r>
          </w:p>
        </w:tc>
        <w:tc>
          <w:tcPr>
            <w:tcW w:type="dxa" w:w="1474"/>
            <w:vAlign w:val="top"/>
          </w:tcPr>
          <w:p>
            <w:pPr>
              <w:spacing w:after="20" w:line="240" w:lineRule="auto"/>
              <w:jc w:val="right"/>
            </w:pPr>
            <w:r/>
            <w:r>
              <w:rPr>
                <w:b w:val="0"/>
                <w:i w:val="0"/>
                <w:sz w:val="19"/>
              </w:rPr>
              <w:t>0</w:t>
            </w:r>
          </w:p>
        </w:tc>
        <w:tc>
          <w:tcPr>
            <w:tcW w:type="dxa" w:w="1361"/>
            <w:vAlign w:val="top"/>
          </w:tcPr>
          <w:p>
            <w:pPr>
              <w:spacing w:after="20" w:line="240" w:lineRule="auto"/>
              <w:jc w:val="right"/>
            </w:pPr>
            <w:r/>
            <w:r>
              <w:rPr>
                <w:b w:val="0"/>
                <w:i w:val="0"/>
                <w:sz w:val="19"/>
              </w:rPr>
              <w:t>£0</w:t>
            </w:r>
          </w:p>
        </w:tc>
      </w:tr>
      <w:tr>
        <w:trPr>
          <w:cantSplit/>
        </w:trPr>
        <w:tc>
          <w:tcPr>
            <w:tcW w:type="dxa" w:w="6576"/>
            <w:vAlign w:val="top"/>
          </w:tcPr>
          <w:p>
            <w:pPr>
              <w:spacing w:after="20" w:line="240" w:lineRule="auto"/>
            </w:pPr>
            <w:r/>
            <w:r>
              <w:rPr>
                <w:b w:val="0"/>
                <w:i w:val="0"/>
                <w:sz w:val="19"/>
              </w:rPr>
              <w:t>Consumed on Wednesday 08/05/2026</w:t>
            </w:r>
          </w:p>
        </w:tc>
        <w:tc>
          <w:tcPr>
            <w:tcW w:type="dxa" w:w="1474"/>
            <w:vAlign w:val="top"/>
          </w:tcPr>
          <w:p>
            <w:pPr>
              <w:spacing w:after="20" w:line="240" w:lineRule="auto"/>
              <w:jc w:val="right"/>
            </w:pPr>
            <w:r/>
            <w:r>
              <w:rPr>
                <w:b w:val="0"/>
                <w:i w:val="0"/>
                <w:sz w:val="19"/>
              </w:rPr>
              <w:t>0</w:t>
            </w:r>
          </w:p>
        </w:tc>
        <w:tc>
          <w:tcPr>
            <w:tcW w:type="dxa" w:w="1361"/>
            <w:vAlign w:val="top"/>
          </w:tcPr>
          <w:p>
            <w:pPr>
              <w:spacing w:after="20" w:line="240" w:lineRule="auto"/>
              <w:jc w:val="right"/>
            </w:pPr>
            <w:r/>
            <w:r>
              <w:rPr>
                <w:b w:val="0"/>
                <w:i w:val="0"/>
                <w:sz w:val="19"/>
              </w:rPr>
              <w:t>£0</w:t>
            </w:r>
          </w:p>
        </w:tc>
      </w:tr>
      <w:tr>
        <w:trPr>
          <w:cantSplit/>
        </w:trPr>
        <w:tc>
          <w:tcPr>
            <w:tcW w:type="dxa" w:w="6576"/>
            <w:vAlign w:val="top"/>
          </w:tcPr>
          <w:p>
            <w:pPr>
              <w:spacing w:after="20" w:line="240" w:lineRule="auto"/>
            </w:pPr>
            <w:r/>
            <w:r>
              <w:rPr>
                <w:b w:val="0"/>
                <w:i w:val="0"/>
                <w:sz w:val="19"/>
              </w:rPr>
              <w:t>Consumed on Thursday 08/06/2026</w:t>
            </w:r>
          </w:p>
        </w:tc>
        <w:tc>
          <w:tcPr>
            <w:tcW w:type="dxa" w:w="1474"/>
            <w:vAlign w:val="top"/>
          </w:tcPr>
          <w:p>
            <w:pPr>
              <w:spacing w:after="20" w:line="240" w:lineRule="auto"/>
              <w:jc w:val="right"/>
            </w:pPr>
            <w:r/>
            <w:r>
              <w:rPr>
                <w:b w:val="0"/>
                <w:i w:val="0"/>
                <w:sz w:val="19"/>
              </w:rPr>
              <w:t>0</w:t>
            </w:r>
          </w:p>
        </w:tc>
        <w:tc>
          <w:tcPr>
            <w:tcW w:type="dxa" w:w="1361"/>
            <w:vAlign w:val="top"/>
          </w:tcPr>
          <w:p>
            <w:pPr>
              <w:spacing w:after="20" w:line="240" w:lineRule="auto"/>
              <w:jc w:val="right"/>
            </w:pPr>
            <w:r/>
            <w:r>
              <w:rPr>
                <w:b w:val="0"/>
                <w:i w:val="0"/>
                <w:sz w:val="19"/>
              </w:rPr>
              <w:t>£0</w:t>
            </w:r>
          </w:p>
        </w:tc>
      </w:tr>
      <w:tr>
        <w:trPr>
          <w:cantSplit/>
        </w:trPr>
        <w:tc>
          <w:tcPr>
            <w:tcW w:type="dxa" w:w="6576"/>
            <w:vAlign w:val="top"/>
          </w:tcPr>
          <w:p>
            <w:pPr>
              <w:spacing w:after="20" w:line="240" w:lineRule="auto"/>
            </w:pPr>
            <w:r/>
            <w:r>
              <w:rPr>
                <w:b w:val="0"/>
                <w:i w:val="0"/>
                <w:sz w:val="19"/>
              </w:rPr>
              <w:t>Consumed at the close of 08/06/2026</w:t>
            </w:r>
          </w:p>
        </w:tc>
        <w:tc>
          <w:tcPr>
            <w:tcW w:type="dxa" w:w="1474"/>
            <w:vAlign w:val="top"/>
          </w:tcPr>
          <w:p>
            <w:pPr>
              <w:spacing w:after="20" w:line="240" w:lineRule="auto"/>
              <w:jc w:val="right"/>
            </w:pPr>
            <w:r/>
            <w:r>
              <w:rPr>
                <w:b w:val="0"/>
                <w:i w:val="0"/>
                <w:sz w:val="19"/>
              </w:rPr>
              <w:t>0</w:t>
            </w:r>
          </w:p>
        </w:tc>
        <w:tc>
          <w:tcPr>
            <w:tcW w:type="dxa" w:w="1361"/>
            <w:vAlign w:val="top"/>
          </w:tcPr>
          <w:p>
            <w:pPr>
              <w:spacing w:after="20" w:line="240" w:lineRule="auto"/>
              <w:jc w:val="right"/>
            </w:pPr>
            <w:r/>
            <w:r>
              <w:rPr>
                <w:b w:val="0"/>
                <w:i w:val="0"/>
                <w:sz w:val="19"/>
              </w:rPr>
              <w:t>£0</w:t>
            </w:r>
          </w:p>
        </w:tc>
      </w:tr>
      <w:tr>
        <w:trPr>
          <w:cantSplit/>
        </w:trPr>
        <w:tc>
          <w:tcPr>
            <w:tcW w:type="dxa" w:w="6576"/>
            <w:vAlign w:val="top"/>
          </w:tcPr>
          <w:p>
            <w:pPr>
              <w:spacing w:after="20" w:line="240" w:lineRule="auto"/>
            </w:pPr>
            <w:r/>
            <w:r>
              <w:rPr>
                <w:b w:val="0"/>
                <w:i w:val="0"/>
                <w:sz w:val="19"/>
              </w:rPr>
              <w:t>Included Support Days remaining at the close of 08/06/2026</w:t>
            </w:r>
          </w:p>
        </w:tc>
        <w:tc>
          <w:tcPr>
            <w:tcW w:type="dxa" w:w="1474"/>
            <w:vAlign w:val="top"/>
          </w:tcPr>
          <w:p>
            <w:pPr>
              <w:spacing w:after="20" w:line="240" w:lineRule="auto"/>
              <w:jc w:val="right"/>
            </w:pPr>
            <w:r/>
            <w:r>
              <w:rPr>
                <w:b w:val="0"/>
                <w:i w:val="0"/>
                <w:sz w:val="19"/>
              </w:rPr>
              <w:t>5</w:t>
            </w:r>
          </w:p>
        </w:tc>
        <w:tc>
          <w:tcPr>
            <w:tcW w:type="dxa" w:w="1361"/>
            <w:vAlign w:val="top"/>
          </w:tcPr>
          <w:p>
            <w:pPr>
              <w:spacing w:after="20" w:line="240" w:lineRule="auto"/>
              <w:jc w:val="right"/>
            </w:pPr>
            <w:r/>
            <w:r>
              <w:rPr>
                <w:b w:val="0"/>
                <w:i w:val="0"/>
                <w:sz w:val="19"/>
              </w:rPr>
              <w:t>—</w:t>
            </w:r>
          </w:p>
        </w:tc>
      </w:tr>
      <w:tr>
        <w:trPr>
          <w:cantSplit/>
        </w:trPr>
        <w:tc>
          <w:tcPr>
            <w:tcW w:type="dxa" w:w="6576"/>
            <w:vAlign w:val="top"/>
          </w:tcPr>
          <w:p>
            <w:pPr>
              <w:spacing w:after="20" w:line="240" w:lineRule="auto"/>
            </w:pPr>
            <w:r/>
            <w:r>
              <w:rPr>
                <w:b w:val="0"/>
                <w:i w:val="0"/>
                <w:sz w:val="19"/>
              </w:rPr>
              <w:t>Consignment spare holding charge to the close of 08/06/2026</w:t>
            </w:r>
          </w:p>
        </w:tc>
        <w:tc>
          <w:tcPr>
            <w:tcW w:type="dxa" w:w="1474"/>
            <w:vAlign w:val="top"/>
          </w:tcPr>
          <w:p>
            <w:pPr>
              <w:spacing w:after="20" w:line="240" w:lineRule="auto"/>
              <w:jc w:val="right"/>
            </w:pPr>
            <w:r/>
            <w:r>
              <w:rPr>
                <w:b w:val="0"/>
                <w:i w:val="0"/>
                <w:sz w:val="19"/>
              </w:rPr>
              <w:t>—</w:t>
            </w:r>
          </w:p>
        </w:tc>
        <w:tc>
          <w:tcPr>
            <w:tcW w:type="dxa" w:w="1361"/>
            <w:vAlign w:val="top"/>
          </w:tcPr>
          <w:p>
            <w:pPr>
              <w:spacing w:after="20" w:line="240" w:lineRule="auto"/>
              <w:jc w:val="right"/>
            </w:pPr>
            <w:r/>
            <w:r>
              <w:rPr>
                <w:b w:val="0"/>
                <w:i w:val="0"/>
                <w:sz w:val="19"/>
              </w:rPr>
              <w:t>£0</w:t>
            </w:r>
          </w:p>
        </w:tc>
      </w:tr>
    </w:tbl>
    <w:p>
      <w:pPr>
        <w:spacing w:after="40"/>
      </w:pPr>
    </w:p>
    <w:p>
      <w:r>
        <w:rPr>
          <w:b/>
          <w:i w:val="0"/>
        </w:rPr>
        <w:t>At the close of 08/06/2026 none of the five included Support Days has been consumed, and the support window has cost Marlden nothing.</w:t>
      </w:r>
    </w:p>
    <w:p>
      <w:r>
        <w:rPr>
          <w:b w:val="0"/>
          <w:i w:val="0"/>
        </w:rPr>
        <w:t>Under clause 4.2 a Support Day is a day of commissioning support that the Purchaser has called off in writing to the Vendor's project engineer, identifying the date and the scope of the support required, before the day on which it is provided. Marlden had called off no Support Day up to the close of 08/06/2026.</w:t>
      </w:r>
    </w:p>
    <w:p>
      <w:r>
        <w:rPr>
          <w:b w:val="0"/>
          <w:i w:val="0"/>
        </w:rPr>
        <w:t>DriveTec's remote support log DTX-RS-2026-0311 records exchanges with site on 08/05 and 08/06. On each day the support was asked for by telephone, on the day, by Callan Whitmore of Ravenscar Commissioning Services, Marlden's commissioning contractor, and the log gives the support mode as “per the contractor schedule”. That schedule (Ravenscar, Rev C, 07/09/2026) is Ravenscar's programme and was circulated to DriveTec for information. Its entry placing you on call from 08/05 to 08/14 records when you were to be available; it calls off no day, and it is not a call-off by Marlden. Neither 08/05 nor 08/06 is therefore a Support Day: neither consumes an included day and neither is chargeable.</w:t>
      </w:r>
    </w:p>
    <w:p>
      <w:r>
        <w:rPr>
          <w:b w:val="0"/>
          <w:i w:val="0"/>
        </w:rPr>
        <w:t>We are grateful for your help on both days. The window opened without a call-off from Marlden; our e-mail of today calls off the rest of it (see Part B below).</w:t>
      </w:r>
    </w:p>
    <w:p>
      <w:pPr>
        <w:pStyle w:val="Heading2"/>
      </w:pPr>
      <w:r>
        <w:t>1.3  Part A — Support Days consumed to date: not agreed. 0 consumed; 5 remaining</w:t>
      </w:r>
    </w:p>
    <w:p>
      <w:pPr>
        <w:keepNext/>
      </w:pPr>
      <w:r>
        <w:rPr>
          <w:b w:val="0"/>
          <w:i w:val="0"/>
        </w:rPr>
        <w:t>Each of the four items is a Marlden request for information answered by DriveTec (Line 2 RFI log):</w:t>
      </w:r>
    </w:p>
    <w:tbl>
      <w:tblPr>
        <w:tblW w:type="dxa" w:w="9410"/>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1020"/>
        <w:gridCol w:w="2948"/>
        <w:gridCol w:w="2211"/>
        <w:gridCol w:w="1474"/>
        <w:gridCol w:w="1757"/>
      </w:tblGrid>
      <w:tr>
        <w:trPr>
          <w:cantSplit/>
          <w:tblHeader w:val="true"/>
        </w:trPr>
        <w:tc>
          <w:tcPr>
            <w:tcW w:type="dxa" w:w="1020"/>
            <w:shd w:val="clear" w:color="auto" w:fill="DCE3EC"/>
            <w:vAlign w:val="top"/>
          </w:tcPr>
          <w:p>
            <w:pPr>
              <w:spacing w:after="20" w:line="240" w:lineRule="auto"/>
            </w:pPr>
            <w:r/>
            <w:r>
              <w:rPr>
                <w:b/>
                <w:i w:val="0"/>
                <w:sz w:val="19"/>
              </w:rPr>
              <w:t>Ref</w:t>
            </w:r>
          </w:p>
        </w:tc>
        <w:tc>
          <w:tcPr>
            <w:tcW w:type="dxa" w:w="2948"/>
            <w:shd w:val="clear" w:color="auto" w:fill="DCE3EC"/>
            <w:vAlign w:val="top"/>
          </w:tcPr>
          <w:p>
            <w:pPr>
              <w:spacing w:after="20" w:line="240" w:lineRule="auto"/>
            </w:pPr>
            <w:r/>
            <w:r>
              <w:rPr>
                <w:b/>
                <w:i w:val="0"/>
                <w:sz w:val="19"/>
              </w:rPr>
              <w:t>Subject</w:t>
            </w:r>
          </w:p>
        </w:tc>
        <w:tc>
          <w:tcPr>
            <w:tcW w:type="dxa" w:w="2211"/>
            <w:shd w:val="clear" w:color="auto" w:fill="DCE3EC"/>
            <w:vAlign w:val="top"/>
          </w:tcPr>
          <w:p>
            <w:pPr>
              <w:spacing w:after="20" w:line="240" w:lineRule="auto"/>
            </w:pPr>
            <w:r/>
            <w:r>
              <w:rPr>
                <w:b/>
                <w:i w:val="0"/>
                <w:sz w:val="19"/>
              </w:rPr>
              <w:t>Raised</w:t>
            </w:r>
          </w:p>
        </w:tc>
        <w:tc>
          <w:tcPr>
            <w:tcW w:type="dxa" w:w="1474"/>
            <w:shd w:val="clear" w:color="auto" w:fill="DCE3EC"/>
            <w:vAlign w:val="top"/>
          </w:tcPr>
          <w:p>
            <w:pPr>
              <w:spacing w:after="20" w:line="240" w:lineRule="auto"/>
            </w:pPr>
            <w:r/>
            <w:r>
              <w:rPr>
                <w:b/>
                <w:i w:val="0"/>
                <w:sz w:val="19"/>
              </w:rPr>
              <w:t>DriveTec answer</w:t>
            </w:r>
          </w:p>
        </w:tc>
        <w:tc>
          <w:tcPr>
            <w:tcW w:type="dxa" w:w="1757"/>
            <w:shd w:val="clear" w:color="auto" w:fill="DCE3EC"/>
            <w:vAlign w:val="top"/>
          </w:tcPr>
          <w:p>
            <w:pPr>
              <w:spacing w:after="20" w:line="240" w:lineRule="auto"/>
            </w:pPr>
            <w:r/>
            <w:r>
              <w:rPr>
                <w:b/>
                <w:i w:val="0"/>
                <w:sz w:val="19"/>
              </w:rPr>
              <w:t>Support Days</w:t>
            </w:r>
          </w:p>
        </w:tc>
      </w:tr>
      <w:tr>
        <w:trPr>
          <w:cantSplit/>
        </w:trPr>
        <w:tc>
          <w:tcPr>
            <w:tcW w:type="dxa" w:w="1020"/>
            <w:vAlign w:val="top"/>
          </w:tcPr>
          <w:p>
            <w:pPr>
              <w:spacing w:after="20" w:line="240" w:lineRule="auto"/>
            </w:pPr>
            <w:r/>
            <w:r>
              <w:rPr>
                <w:b w:val="0"/>
                <w:i w:val="0"/>
                <w:sz w:val="19"/>
              </w:rPr>
              <w:t>RFI-005</w:t>
            </w:r>
          </w:p>
        </w:tc>
        <w:tc>
          <w:tcPr>
            <w:tcW w:type="dxa" w:w="2948"/>
            <w:vAlign w:val="top"/>
          </w:tcPr>
          <w:p>
            <w:pPr>
              <w:spacing w:after="20" w:line="240" w:lineRule="auto"/>
            </w:pPr>
            <w:r/>
            <w:r>
              <w:rPr>
                <w:b w:val="0"/>
                <w:i w:val="0"/>
                <w:sz w:val="19"/>
              </w:rPr>
              <w:t>Recommended drive spares holding</w:t>
            </w:r>
          </w:p>
        </w:tc>
        <w:tc>
          <w:tcPr>
            <w:tcW w:type="dxa" w:w="2211"/>
            <w:vAlign w:val="top"/>
          </w:tcPr>
          <w:p>
            <w:pPr>
              <w:spacing w:after="20" w:line="240" w:lineRule="auto"/>
            </w:pPr>
            <w:r/>
            <w:r>
              <w:rPr>
                <w:b w:val="0"/>
                <w:i w:val="0"/>
                <w:sz w:val="19"/>
              </w:rPr>
              <w:t>06/11/2026 (T. Hollis)</w:t>
            </w:r>
          </w:p>
        </w:tc>
        <w:tc>
          <w:tcPr>
            <w:tcW w:type="dxa" w:w="1474"/>
            <w:vAlign w:val="top"/>
          </w:tcPr>
          <w:p>
            <w:pPr>
              <w:spacing w:after="20" w:line="240" w:lineRule="auto"/>
            </w:pPr>
            <w:r/>
            <w:r>
              <w:rPr>
                <w:b w:val="0"/>
                <w:i w:val="0"/>
                <w:sz w:val="19"/>
              </w:rPr>
              <w:t>06/15/2026</w:t>
            </w:r>
          </w:p>
        </w:tc>
        <w:tc>
          <w:tcPr>
            <w:tcW w:type="dxa" w:w="1757"/>
            <w:vAlign w:val="top"/>
          </w:tcPr>
          <w:p>
            <w:pPr>
              <w:spacing w:after="20" w:line="240" w:lineRule="auto"/>
            </w:pPr>
            <w:r/>
            <w:r>
              <w:rPr>
                <w:b w:val="0"/>
                <w:i w:val="0"/>
                <w:sz w:val="19"/>
              </w:rPr>
              <w:t>0  (statement: 2)</w:t>
            </w:r>
          </w:p>
        </w:tc>
      </w:tr>
      <w:tr>
        <w:trPr>
          <w:cantSplit/>
        </w:trPr>
        <w:tc>
          <w:tcPr>
            <w:tcW w:type="dxa" w:w="1020"/>
            <w:vAlign w:val="top"/>
          </w:tcPr>
          <w:p>
            <w:pPr>
              <w:spacing w:after="20" w:line="240" w:lineRule="auto"/>
            </w:pPr>
            <w:r/>
            <w:r>
              <w:rPr>
                <w:b w:val="0"/>
                <w:i w:val="0"/>
                <w:sz w:val="19"/>
              </w:rPr>
              <w:t>RFI-009</w:t>
            </w:r>
          </w:p>
        </w:tc>
        <w:tc>
          <w:tcPr>
            <w:tcW w:type="dxa" w:w="2948"/>
            <w:vAlign w:val="top"/>
          </w:tcPr>
          <w:p>
            <w:pPr>
              <w:spacing w:after="20" w:line="240" w:lineRule="auto"/>
            </w:pPr>
            <w:r/>
            <w:r>
              <w:rPr>
                <w:b w:val="0"/>
                <w:i w:val="0"/>
                <w:sz w:val="19"/>
              </w:rPr>
              <w:t>Drive firmware revision</w:t>
            </w:r>
          </w:p>
        </w:tc>
        <w:tc>
          <w:tcPr>
            <w:tcW w:type="dxa" w:w="2211"/>
            <w:vAlign w:val="top"/>
          </w:tcPr>
          <w:p>
            <w:pPr>
              <w:spacing w:after="20" w:line="240" w:lineRule="auto"/>
            </w:pPr>
            <w:r/>
            <w:r>
              <w:rPr>
                <w:b w:val="0"/>
                <w:i w:val="0"/>
                <w:sz w:val="19"/>
              </w:rPr>
              <w:t>06/20/2026 (F. Machar)</w:t>
            </w:r>
          </w:p>
        </w:tc>
        <w:tc>
          <w:tcPr>
            <w:tcW w:type="dxa" w:w="1474"/>
            <w:vAlign w:val="top"/>
          </w:tcPr>
          <w:p>
            <w:pPr>
              <w:spacing w:after="20" w:line="240" w:lineRule="auto"/>
            </w:pPr>
            <w:r/>
            <w:r>
              <w:rPr>
                <w:b w:val="0"/>
                <w:i w:val="0"/>
                <w:sz w:val="19"/>
              </w:rPr>
              <w:t>06/23/2026</w:t>
            </w:r>
          </w:p>
        </w:tc>
        <w:tc>
          <w:tcPr>
            <w:tcW w:type="dxa" w:w="1757"/>
            <w:vAlign w:val="top"/>
          </w:tcPr>
          <w:p>
            <w:pPr>
              <w:spacing w:after="20" w:line="240" w:lineRule="auto"/>
            </w:pPr>
            <w:r/>
            <w:r>
              <w:rPr>
                <w:b w:val="0"/>
                <w:i w:val="0"/>
                <w:sz w:val="19"/>
              </w:rPr>
              <w:t>0  (statement: 1)</w:t>
            </w:r>
          </w:p>
        </w:tc>
      </w:tr>
      <w:tr>
        <w:trPr>
          <w:cantSplit/>
        </w:trPr>
        <w:tc>
          <w:tcPr>
            <w:tcW w:type="dxa" w:w="1020"/>
            <w:vAlign w:val="top"/>
          </w:tcPr>
          <w:p>
            <w:pPr>
              <w:spacing w:after="20" w:line="240" w:lineRule="auto"/>
            </w:pPr>
            <w:r/>
            <w:r>
              <w:rPr>
                <w:b w:val="0"/>
                <w:i w:val="0"/>
                <w:sz w:val="19"/>
              </w:rPr>
              <w:t>RFI-011</w:t>
            </w:r>
          </w:p>
        </w:tc>
        <w:tc>
          <w:tcPr>
            <w:tcW w:type="dxa" w:w="2948"/>
            <w:vAlign w:val="top"/>
          </w:tcPr>
          <w:p>
            <w:pPr>
              <w:spacing w:after="20" w:line="240" w:lineRule="auto"/>
            </w:pPr>
            <w:r/>
            <w:r>
              <w:rPr>
                <w:b w:val="0"/>
                <w:i w:val="0"/>
                <w:sz w:val="19"/>
              </w:rPr>
              <w:t>Gland plate cut-outs Section A</w:t>
            </w:r>
          </w:p>
        </w:tc>
        <w:tc>
          <w:tcPr>
            <w:tcW w:type="dxa" w:w="2211"/>
            <w:vAlign w:val="top"/>
          </w:tcPr>
          <w:p>
            <w:pPr>
              <w:spacing w:after="20" w:line="240" w:lineRule="auto"/>
            </w:pPr>
            <w:r/>
            <w:r>
              <w:rPr>
                <w:b w:val="0"/>
                <w:i w:val="0"/>
                <w:sz w:val="19"/>
              </w:rPr>
              <w:t>06/22/2026 (D. Fenwick)</w:t>
            </w:r>
          </w:p>
        </w:tc>
        <w:tc>
          <w:tcPr>
            <w:tcW w:type="dxa" w:w="1474"/>
            <w:vAlign w:val="top"/>
          </w:tcPr>
          <w:p>
            <w:pPr>
              <w:spacing w:after="20" w:line="240" w:lineRule="auto"/>
            </w:pPr>
            <w:r/>
            <w:r>
              <w:rPr>
                <w:b w:val="0"/>
                <w:i w:val="0"/>
                <w:sz w:val="19"/>
              </w:rPr>
              <w:t>06/25/2026</w:t>
            </w:r>
          </w:p>
        </w:tc>
        <w:tc>
          <w:tcPr>
            <w:tcW w:type="dxa" w:w="1757"/>
            <w:vAlign w:val="top"/>
          </w:tcPr>
          <w:p>
            <w:pPr>
              <w:spacing w:after="20" w:line="240" w:lineRule="auto"/>
            </w:pPr>
            <w:r/>
            <w:r>
              <w:rPr>
                <w:b w:val="0"/>
                <w:i w:val="0"/>
                <w:sz w:val="19"/>
              </w:rPr>
              <w:t>0  (statement: 1)</w:t>
            </w:r>
          </w:p>
        </w:tc>
      </w:tr>
      <w:tr>
        <w:trPr>
          <w:cantSplit/>
        </w:trPr>
        <w:tc>
          <w:tcPr>
            <w:tcW w:type="dxa" w:w="1020"/>
            <w:vAlign w:val="top"/>
          </w:tcPr>
          <w:p>
            <w:pPr>
              <w:spacing w:after="20" w:line="240" w:lineRule="auto"/>
            </w:pPr>
            <w:r/>
            <w:r>
              <w:rPr>
                <w:b w:val="0"/>
                <w:i w:val="0"/>
                <w:sz w:val="19"/>
              </w:rPr>
              <w:t>RFI-031</w:t>
            </w:r>
          </w:p>
        </w:tc>
        <w:tc>
          <w:tcPr>
            <w:tcW w:type="dxa" w:w="2948"/>
            <w:vAlign w:val="top"/>
          </w:tcPr>
          <w:p>
            <w:pPr>
              <w:spacing w:after="20" w:line="240" w:lineRule="auto"/>
            </w:pPr>
            <w:r/>
            <w:r>
              <w:rPr>
                <w:b w:val="0"/>
                <w:i w:val="0"/>
                <w:sz w:val="19"/>
              </w:rPr>
              <w:t>EMC filter placement</w:t>
            </w:r>
          </w:p>
        </w:tc>
        <w:tc>
          <w:tcPr>
            <w:tcW w:type="dxa" w:w="2211"/>
            <w:vAlign w:val="top"/>
          </w:tcPr>
          <w:p>
            <w:pPr>
              <w:spacing w:after="20" w:line="240" w:lineRule="auto"/>
            </w:pPr>
            <w:r/>
            <w:r>
              <w:rPr>
                <w:b w:val="0"/>
                <w:i w:val="0"/>
                <w:sz w:val="19"/>
              </w:rPr>
              <w:t>07/13/2026 (D. Fenwick)</w:t>
            </w:r>
          </w:p>
        </w:tc>
        <w:tc>
          <w:tcPr>
            <w:tcW w:type="dxa" w:w="1474"/>
            <w:vAlign w:val="top"/>
          </w:tcPr>
          <w:p>
            <w:pPr>
              <w:spacing w:after="20" w:line="240" w:lineRule="auto"/>
            </w:pPr>
            <w:r/>
            <w:r>
              <w:rPr>
                <w:b w:val="0"/>
                <w:i w:val="0"/>
                <w:sz w:val="19"/>
              </w:rPr>
              <w:t>Outstanding</w:t>
            </w:r>
          </w:p>
        </w:tc>
        <w:tc>
          <w:tcPr>
            <w:tcW w:type="dxa" w:w="1757"/>
            <w:vAlign w:val="top"/>
          </w:tcPr>
          <w:p>
            <w:pPr>
              <w:spacing w:after="20" w:line="240" w:lineRule="auto"/>
            </w:pPr>
            <w:r/>
            <w:r>
              <w:rPr>
                <w:b w:val="0"/>
                <w:i w:val="0"/>
                <w:sz w:val="19"/>
              </w:rPr>
              <w:t>0  (statement: 1)</w:t>
            </w:r>
          </w:p>
        </w:tc>
      </w:tr>
      <w:tr>
        <w:trPr>
          <w:cantSplit/>
        </w:trPr>
        <w:tc>
          <w:tcPr>
            <w:tcW w:type="dxa" w:w="1020"/>
            <w:shd w:val="clear" w:color="auto" w:fill="EEF1F5"/>
            <w:vAlign w:val="top"/>
          </w:tcPr>
          <w:p>
            <w:pPr>
              <w:spacing w:after="20" w:line="240" w:lineRule="auto"/>
            </w:pPr>
            <w:r/>
            <w:r>
              <w:rPr>
                <w:b/>
                <w:i w:val="0"/>
                <w:sz w:val="19"/>
              </w:rPr>
              <w:t>Total</w:t>
            </w:r>
          </w:p>
        </w:tc>
        <w:tc>
          <w:tcPr>
            <w:tcW w:type="dxa" w:w="2948"/>
            <w:shd w:val="clear" w:color="auto" w:fill="EEF1F5"/>
            <w:vAlign w:val="top"/>
          </w:tcPr>
          <w:p>
            <w:pPr>
              <w:spacing w:after="20" w:line="240" w:lineRule="auto"/>
            </w:pPr>
            <w:r/>
          </w:p>
        </w:tc>
        <w:tc>
          <w:tcPr>
            <w:tcW w:type="dxa" w:w="2211"/>
            <w:shd w:val="clear" w:color="auto" w:fill="EEF1F5"/>
            <w:vAlign w:val="top"/>
          </w:tcPr>
          <w:p>
            <w:pPr>
              <w:spacing w:after="20" w:line="240" w:lineRule="auto"/>
            </w:pPr>
            <w:r/>
          </w:p>
        </w:tc>
        <w:tc>
          <w:tcPr>
            <w:tcW w:type="dxa" w:w="1474"/>
            <w:shd w:val="clear" w:color="auto" w:fill="EEF1F5"/>
            <w:vAlign w:val="top"/>
          </w:tcPr>
          <w:p>
            <w:pPr>
              <w:spacing w:after="20" w:line="240" w:lineRule="auto"/>
            </w:pPr>
            <w:r/>
          </w:p>
        </w:tc>
        <w:tc>
          <w:tcPr>
            <w:tcW w:type="dxa" w:w="1757"/>
            <w:shd w:val="clear" w:color="auto" w:fill="EEF1F5"/>
            <w:vAlign w:val="top"/>
          </w:tcPr>
          <w:p>
            <w:pPr>
              <w:spacing w:after="20" w:line="240" w:lineRule="auto"/>
            </w:pPr>
            <w:r/>
            <w:r>
              <w:rPr>
                <w:b/>
                <w:i w:val="0"/>
                <w:sz w:val="19"/>
              </w:rPr>
              <w:t>0  (statement: 5)</w:t>
            </w:r>
          </w:p>
        </w:tc>
      </w:tr>
    </w:tbl>
    <w:p>
      <w:pPr>
        <w:spacing w:after="40"/>
      </w:pPr>
    </w:p>
    <w:p>
      <w:r>
        <w:rPr>
          <w:b w:val="0"/>
          <w:i w:val="0"/>
        </w:rPr>
        <w:t>Clause 4.2 provides that technical responses given in answering the Purchaser's requests for information are not commissioning support: they consume no Support Day and are not chargeable. None of the five included Support Days had been consumed at 07/20/2026 and the allowance was not exhausted. (A Support Day is in any event a day under clause 4.3; RFI-005 is entered at two days for an answer given on one date.)</w:t>
      </w:r>
    </w:p>
    <w:p>
      <w:r>
        <w:rPr>
          <w:b w:val="0"/>
          <w:i w:val="0"/>
        </w:rPr>
        <w:t>The same applies to the RFIs still with DriveTec — RFI-022, RFI-028 and RFI-031 — and to the written response from Applications Engineering on the F.203 events of 08/06/2026 on drive DR-L2-REF-01 (S/N DTX60-2026-04477). None of these is a Support Day.</w:t>
      </w:r>
    </w:p>
    <w:p>
      <w:pPr>
        <w:pStyle w:val="Heading2"/>
      </w:pPr>
      <w:r>
        <w:t>1.4  Part B — Commissioning support anticipated: not agreed. £0</w:t>
      </w:r>
    </w:p>
    <w:p>
      <w:pPr>
        <w:keepNext/>
      </w:pPr>
      <w:r>
        <w:rPr>
          <w:b w:val="0"/>
          <w:i w:val="0"/>
        </w:rPr>
        <w:t>The statement prices the on-call window as eight chargeable days. Being on call is the availability of the project engineer that DriveTec provides under clause 4.1 within the Contract Price; it is not a Support Day. Under clause 4.2 a Support Day arises only on a date Marlden calls off in writing before the day, and the first five Support Days are included in the Contract Price. The eight Business Days in the window stand as follows:</w:t>
      </w:r>
    </w:p>
    <w:tbl>
      <w:tblPr>
        <w:tblW w:type="dxa" w:w="9411"/>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2211"/>
        <w:gridCol w:w="1077"/>
        <w:gridCol w:w="2608"/>
        <w:gridCol w:w="1474"/>
        <w:gridCol w:w="1077"/>
        <w:gridCol w:w="964"/>
      </w:tblGrid>
      <w:tr>
        <w:trPr>
          <w:cantSplit/>
          <w:tblHeader w:val="true"/>
        </w:trPr>
        <w:tc>
          <w:tcPr>
            <w:tcW w:type="dxa" w:w="2211"/>
            <w:shd w:val="clear" w:color="auto" w:fill="DCE3EC"/>
            <w:vAlign w:val="top"/>
          </w:tcPr>
          <w:p>
            <w:pPr>
              <w:spacing w:after="20" w:line="240" w:lineRule="auto"/>
            </w:pPr>
            <w:r/>
            <w:r>
              <w:rPr>
                <w:b/>
                <w:i w:val="0"/>
                <w:sz w:val="19"/>
              </w:rPr>
              <w:t>Date</w:t>
            </w:r>
          </w:p>
        </w:tc>
        <w:tc>
          <w:tcPr>
            <w:tcW w:type="dxa" w:w="1077"/>
            <w:shd w:val="clear" w:color="auto" w:fill="DCE3EC"/>
            <w:vAlign w:val="top"/>
          </w:tcPr>
          <w:p>
            <w:pPr>
              <w:spacing w:after="20" w:line="240" w:lineRule="auto"/>
            </w:pPr>
            <w:r/>
            <w:r>
              <w:rPr>
                <w:b/>
                <w:i w:val="0"/>
                <w:sz w:val="19"/>
              </w:rPr>
              <w:t>Business Days</w:t>
            </w:r>
          </w:p>
        </w:tc>
        <w:tc>
          <w:tcPr>
            <w:tcW w:type="dxa" w:w="2608"/>
            <w:shd w:val="clear" w:color="auto" w:fill="DCE3EC"/>
            <w:vAlign w:val="top"/>
          </w:tcPr>
          <w:p>
            <w:pPr>
              <w:spacing w:after="20" w:line="240" w:lineRule="auto"/>
            </w:pPr>
            <w:r/>
            <w:r>
              <w:rPr>
                <w:b/>
                <w:i w:val="0"/>
                <w:sz w:val="19"/>
              </w:rPr>
              <w:t>Called off by Marlden</w:t>
            </w:r>
          </w:p>
        </w:tc>
        <w:tc>
          <w:tcPr>
            <w:tcW w:type="dxa" w:w="1474"/>
            <w:shd w:val="clear" w:color="auto" w:fill="DCE3EC"/>
            <w:vAlign w:val="top"/>
          </w:tcPr>
          <w:p>
            <w:pPr>
              <w:spacing w:after="20" w:line="240" w:lineRule="auto"/>
            </w:pPr>
            <w:r/>
            <w:r>
              <w:rPr>
                <w:b/>
                <w:i w:val="0"/>
                <w:sz w:val="19"/>
              </w:rPr>
              <w:t>Support Days</w:t>
            </w:r>
          </w:p>
        </w:tc>
        <w:tc>
          <w:tcPr>
            <w:tcW w:type="dxa" w:w="1077"/>
            <w:shd w:val="clear" w:color="auto" w:fill="DCE3EC"/>
            <w:vAlign w:val="top"/>
          </w:tcPr>
          <w:p>
            <w:pPr>
              <w:spacing w:after="20" w:line="240" w:lineRule="auto"/>
            </w:pPr>
            <w:r/>
            <w:r>
              <w:rPr>
                <w:b/>
                <w:i w:val="0"/>
                <w:sz w:val="19"/>
              </w:rPr>
              <w:t>Chargeable</w:t>
            </w:r>
          </w:p>
        </w:tc>
        <w:tc>
          <w:tcPr>
            <w:tcW w:type="dxa" w:w="964"/>
            <w:shd w:val="clear" w:color="auto" w:fill="DCE3EC"/>
            <w:vAlign w:val="top"/>
          </w:tcPr>
          <w:p>
            <w:pPr>
              <w:spacing w:after="20" w:line="240" w:lineRule="auto"/>
            </w:pPr>
            <w:r/>
            <w:r>
              <w:rPr>
                <w:b/>
                <w:i w:val="0"/>
                <w:sz w:val="19"/>
              </w:rPr>
              <w:t>£</w:t>
            </w:r>
          </w:p>
        </w:tc>
      </w:tr>
      <w:tr>
        <w:trPr>
          <w:cantSplit/>
        </w:trPr>
        <w:tc>
          <w:tcPr>
            <w:tcW w:type="dxa" w:w="2211"/>
            <w:vAlign w:val="top"/>
          </w:tcPr>
          <w:p>
            <w:pPr>
              <w:spacing w:after="20" w:line="240" w:lineRule="auto"/>
            </w:pPr>
            <w:r/>
            <w:r>
              <w:rPr>
                <w:b w:val="0"/>
                <w:i w:val="0"/>
                <w:sz w:val="19"/>
              </w:rPr>
              <w:t>Wed 08/05 – Thu 08/06/2026</w:t>
            </w:r>
          </w:p>
        </w:tc>
        <w:tc>
          <w:tcPr>
            <w:tcW w:type="dxa" w:w="1077"/>
            <w:vAlign w:val="top"/>
          </w:tcPr>
          <w:p>
            <w:pPr>
              <w:spacing w:after="20" w:line="240" w:lineRule="auto"/>
            </w:pPr>
            <w:r/>
            <w:r>
              <w:rPr>
                <w:b w:val="0"/>
                <w:i w:val="0"/>
                <w:sz w:val="19"/>
              </w:rPr>
              <w:t>2</w:t>
            </w:r>
          </w:p>
        </w:tc>
        <w:tc>
          <w:tcPr>
            <w:tcW w:type="dxa" w:w="2608"/>
            <w:vAlign w:val="top"/>
          </w:tcPr>
          <w:p>
            <w:pPr>
              <w:spacing w:after="20" w:line="240" w:lineRule="auto"/>
            </w:pPr>
            <w:r/>
            <w:r>
              <w:rPr>
                <w:b w:val="0"/>
                <w:i w:val="0"/>
                <w:sz w:val="19"/>
              </w:rPr>
              <w:t>No</w:t>
            </w:r>
          </w:p>
        </w:tc>
        <w:tc>
          <w:tcPr>
            <w:tcW w:type="dxa" w:w="1474"/>
            <w:vAlign w:val="top"/>
          </w:tcPr>
          <w:p>
            <w:pPr>
              <w:spacing w:after="20" w:line="240" w:lineRule="auto"/>
            </w:pPr>
            <w:r/>
            <w:r>
              <w:rPr>
                <w:b w:val="0"/>
                <w:i w:val="0"/>
                <w:sz w:val="19"/>
              </w:rPr>
              <w:t>0</w:t>
            </w:r>
          </w:p>
        </w:tc>
        <w:tc>
          <w:tcPr>
            <w:tcW w:type="dxa" w:w="1077"/>
            <w:vAlign w:val="top"/>
          </w:tcPr>
          <w:p>
            <w:pPr>
              <w:spacing w:after="20" w:line="240" w:lineRule="auto"/>
            </w:pPr>
            <w:r/>
            <w:r>
              <w:rPr>
                <w:b w:val="0"/>
                <w:i w:val="0"/>
                <w:sz w:val="19"/>
              </w:rPr>
              <w:t>0</w:t>
            </w:r>
          </w:p>
        </w:tc>
        <w:tc>
          <w:tcPr>
            <w:tcW w:type="dxa" w:w="964"/>
            <w:vAlign w:val="top"/>
          </w:tcPr>
          <w:p>
            <w:pPr>
              <w:spacing w:after="20" w:line="240" w:lineRule="auto"/>
              <w:jc w:val="right"/>
            </w:pPr>
            <w:r/>
            <w:r>
              <w:rPr>
                <w:b w:val="0"/>
                <w:i w:val="0"/>
                <w:sz w:val="19"/>
              </w:rPr>
              <w:t>£0</w:t>
            </w:r>
          </w:p>
        </w:tc>
      </w:tr>
      <w:tr>
        <w:trPr>
          <w:cantSplit/>
        </w:trPr>
        <w:tc>
          <w:tcPr>
            <w:tcW w:type="dxa" w:w="2211"/>
            <w:vAlign w:val="top"/>
          </w:tcPr>
          <w:p>
            <w:pPr>
              <w:spacing w:after="20" w:line="240" w:lineRule="auto"/>
            </w:pPr>
            <w:r/>
            <w:r>
              <w:rPr>
                <w:b w:val="0"/>
                <w:i w:val="0"/>
                <w:sz w:val="19"/>
              </w:rPr>
              <w:t>Fri 08/07/2026</w:t>
            </w:r>
          </w:p>
        </w:tc>
        <w:tc>
          <w:tcPr>
            <w:tcW w:type="dxa" w:w="1077"/>
            <w:vAlign w:val="top"/>
          </w:tcPr>
          <w:p>
            <w:pPr>
              <w:spacing w:after="20" w:line="240" w:lineRule="auto"/>
            </w:pPr>
            <w:r/>
            <w:r>
              <w:rPr>
                <w:b w:val="0"/>
                <w:i w:val="0"/>
                <w:sz w:val="19"/>
              </w:rPr>
              <w:t>1</w:t>
            </w:r>
          </w:p>
        </w:tc>
        <w:tc>
          <w:tcPr>
            <w:tcW w:type="dxa" w:w="2608"/>
            <w:vAlign w:val="top"/>
          </w:tcPr>
          <w:p>
            <w:pPr>
              <w:spacing w:after="20" w:line="240" w:lineRule="auto"/>
            </w:pPr>
            <w:r/>
            <w:r>
              <w:rPr>
                <w:b w:val="0"/>
                <w:i w:val="0"/>
                <w:sz w:val="19"/>
              </w:rPr>
              <w:t>No — a call-off must precede the day</w:t>
            </w:r>
          </w:p>
        </w:tc>
        <w:tc>
          <w:tcPr>
            <w:tcW w:type="dxa" w:w="1474"/>
            <w:vAlign w:val="top"/>
          </w:tcPr>
          <w:p>
            <w:pPr>
              <w:spacing w:after="20" w:line="240" w:lineRule="auto"/>
            </w:pPr>
            <w:r/>
            <w:r>
              <w:rPr>
                <w:b w:val="0"/>
                <w:i w:val="0"/>
                <w:sz w:val="19"/>
              </w:rPr>
              <w:t>0</w:t>
            </w:r>
          </w:p>
        </w:tc>
        <w:tc>
          <w:tcPr>
            <w:tcW w:type="dxa" w:w="1077"/>
            <w:vAlign w:val="top"/>
          </w:tcPr>
          <w:p>
            <w:pPr>
              <w:spacing w:after="20" w:line="240" w:lineRule="auto"/>
            </w:pPr>
            <w:r/>
            <w:r>
              <w:rPr>
                <w:b w:val="0"/>
                <w:i w:val="0"/>
                <w:sz w:val="19"/>
              </w:rPr>
              <w:t>0</w:t>
            </w:r>
          </w:p>
        </w:tc>
        <w:tc>
          <w:tcPr>
            <w:tcW w:type="dxa" w:w="964"/>
            <w:vAlign w:val="top"/>
          </w:tcPr>
          <w:p>
            <w:pPr>
              <w:spacing w:after="20" w:line="240" w:lineRule="auto"/>
              <w:jc w:val="right"/>
            </w:pPr>
            <w:r/>
            <w:r>
              <w:rPr>
                <w:b w:val="0"/>
                <w:i w:val="0"/>
                <w:sz w:val="19"/>
              </w:rPr>
              <w:t>£0</w:t>
            </w:r>
          </w:p>
        </w:tc>
      </w:tr>
      <w:tr>
        <w:trPr>
          <w:cantSplit/>
        </w:trPr>
        <w:tc>
          <w:tcPr>
            <w:tcW w:type="dxa" w:w="2211"/>
            <w:vAlign w:val="top"/>
          </w:tcPr>
          <w:p>
            <w:pPr>
              <w:spacing w:after="20" w:line="240" w:lineRule="auto"/>
            </w:pPr>
            <w:r/>
            <w:r>
              <w:rPr>
                <w:b w:val="0"/>
                <w:i w:val="0"/>
                <w:sz w:val="19"/>
              </w:rPr>
              <w:t>Mon 08/10 – Fri 08/14/2026</w:t>
            </w:r>
          </w:p>
        </w:tc>
        <w:tc>
          <w:tcPr>
            <w:tcW w:type="dxa" w:w="1077"/>
            <w:vAlign w:val="top"/>
          </w:tcPr>
          <w:p>
            <w:pPr>
              <w:spacing w:after="20" w:line="240" w:lineRule="auto"/>
            </w:pPr>
            <w:r/>
            <w:r>
              <w:rPr>
                <w:b w:val="0"/>
                <w:i w:val="0"/>
                <w:sz w:val="19"/>
              </w:rPr>
              <w:t>5</w:t>
            </w:r>
          </w:p>
        </w:tc>
        <w:tc>
          <w:tcPr>
            <w:tcW w:type="dxa" w:w="2608"/>
            <w:vAlign w:val="top"/>
          </w:tcPr>
          <w:p>
            <w:pPr>
              <w:spacing w:after="20" w:line="240" w:lineRule="auto"/>
            </w:pPr>
            <w:r/>
            <w:r>
              <w:rPr>
                <w:b w:val="0"/>
                <w:i w:val="0"/>
                <w:sz w:val="19"/>
              </w:rPr>
              <w:t>Yes — Marlden e-mail of 08/07/2026</w:t>
            </w:r>
          </w:p>
        </w:tc>
        <w:tc>
          <w:tcPr>
            <w:tcW w:type="dxa" w:w="1474"/>
            <w:vAlign w:val="top"/>
          </w:tcPr>
          <w:p>
            <w:pPr>
              <w:spacing w:after="20" w:line="240" w:lineRule="auto"/>
            </w:pPr>
            <w:r/>
            <w:r>
              <w:rPr>
                <w:b w:val="0"/>
                <w:i w:val="0"/>
                <w:sz w:val="19"/>
              </w:rPr>
              <w:t>5 (the five included)</w:t>
            </w:r>
          </w:p>
        </w:tc>
        <w:tc>
          <w:tcPr>
            <w:tcW w:type="dxa" w:w="1077"/>
            <w:vAlign w:val="top"/>
          </w:tcPr>
          <w:p>
            <w:pPr>
              <w:spacing w:after="20" w:line="240" w:lineRule="auto"/>
            </w:pPr>
            <w:r/>
            <w:r>
              <w:rPr>
                <w:b w:val="0"/>
                <w:i w:val="0"/>
                <w:sz w:val="19"/>
              </w:rPr>
              <w:t>0</w:t>
            </w:r>
          </w:p>
        </w:tc>
        <w:tc>
          <w:tcPr>
            <w:tcW w:type="dxa" w:w="964"/>
            <w:vAlign w:val="top"/>
          </w:tcPr>
          <w:p>
            <w:pPr>
              <w:spacing w:after="20" w:line="240" w:lineRule="auto"/>
              <w:jc w:val="right"/>
            </w:pPr>
            <w:r/>
            <w:r>
              <w:rPr>
                <w:b w:val="0"/>
                <w:i w:val="0"/>
                <w:sz w:val="19"/>
              </w:rPr>
              <w:t>£0</w:t>
            </w:r>
          </w:p>
        </w:tc>
      </w:tr>
      <w:tr>
        <w:trPr>
          <w:cantSplit/>
        </w:trPr>
        <w:tc>
          <w:tcPr>
            <w:tcW w:type="dxa" w:w="2211"/>
            <w:shd w:val="clear" w:color="auto" w:fill="EEF1F5"/>
            <w:vAlign w:val="top"/>
          </w:tcPr>
          <w:p>
            <w:pPr>
              <w:spacing w:after="20" w:line="240" w:lineRule="auto"/>
            </w:pPr>
            <w:r/>
            <w:r>
              <w:rPr>
                <w:b/>
                <w:i w:val="0"/>
                <w:sz w:val="19"/>
              </w:rPr>
              <w:t>Window 08/05–08/14/2026</w:t>
            </w:r>
          </w:p>
        </w:tc>
        <w:tc>
          <w:tcPr>
            <w:tcW w:type="dxa" w:w="1077"/>
            <w:shd w:val="clear" w:color="auto" w:fill="EEF1F5"/>
            <w:vAlign w:val="top"/>
          </w:tcPr>
          <w:p>
            <w:pPr>
              <w:spacing w:after="20" w:line="240" w:lineRule="auto"/>
            </w:pPr>
            <w:r/>
            <w:r>
              <w:rPr>
                <w:b/>
                <w:i w:val="0"/>
                <w:sz w:val="19"/>
              </w:rPr>
              <w:t>8</w:t>
            </w:r>
          </w:p>
        </w:tc>
        <w:tc>
          <w:tcPr>
            <w:tcW w:type="dxa" w:w="2608"/>
            <w:shd w:val="clear" w:color="auto" w:fill="EEF1F5"/>
            <w:vAlign w:val="top"/>
          </w:tcPr>
          <w:p>
            <w:pPr>
              <w:spacing w:after="20" w:line="240" w:lineRule="auto"/>
            </w:pPr>
            <w:r/>
          </w:p>
        </w:tc>
        <w:tc>
          <w:tcPr>
            <w:tcW w:type="dxa" w:w="1474"/>
            <w:shd w:val="clear" w:color="auto" w:fill="EEF1F5"/>
            <w:vAlign w:val="top"/>
          </w:tcPr>
          <w:p>
            <w:pPr>
              <w:spacing w:after="20" w:line="240" w:lineRule="auto"/>
            </w:pPr>
            <w:r/>
            <w:r>
              <w:rPr>
                <w:b/>
                <w:i w:val="0"/>
                <w:sz w:val="19"/>
              </w:rPr>
              <w:t>5</w:t>
            </w:r>
          </w:p>
        </w:tc>
        <w:tc>
          <w:tcPr>
            <w:tcW w:type="dxa" w:w="1077"/>
            <w:shd w:val="clear" w:color="auto" w:fill="EEF1F5"/>
            <w:vAlign w:val="top"/>
          </w:tcPr>
          <w:p>
            <w:pPr>
              <w:spacing w:after="20" w:line="240" w:lineRule="auto"/>
            </w:pPr>
            <w:r/>
            <w:r>
              <w:rPr>
                <w:b/>
                <w:i w:val="0"/>
                <w:sz w:val="19"/>
              </w:rPr>
              <w:t>0</w:t>
            </w:r>
          </w:p>
        </w:tc>
        <w:tc>
          <w:tcPr>
            <w:tcW w:type="dxa" w:w="964"/>
            <w:shd w:val="clear" w:color="auto" w:fill="EEF1F5"/>
            <w:vAlign w:val="top"/>
          </w:tcPr>
          <w:p>
            <w:pPr>
              <w:spacing w:after="20" w:line="240" w:lineRule="auto"/>
              <w:jc w:val="right"/>
            </w:pPr>
            <w:r/>
            <w:r>
              <w:rPr>
                <w:b/>
                <w:i w:val="0"/>
                <w:sz w:val="19"/>
              </w:rPr>
              <w:t>£0</w:t>
            </w:r>
          </w:p>
        </w:tc>
      </w:tr>
    </w:tbl>
    <w:p>
      <w:pPr>
        <w:spacing w:after="40"/>
      </w:pPr>
    </w:p>
    <w:p>
      <w:r>
        <w:rPr>
          <w:b w:val="0"/>
          <w:i w:val="0"/>
        </w:rPr>
        <w:t>Part B is agreed at £0. Any further Support Day needs a separate written call-off from Marlden before the day. With the five included days called off for 08/10–08/14, a further day would be chargeable at £890 (Schedule 2), and support on a Saturday, Sunday or Scottish public holiday at £1,335 whether or not an included day remains (clause 4.3). Marlden has not called off any such day.</w:t>
      </w:r>
    </w:p>
    <w:p>
      <w:pPr>
        <w:pStyle w:val="Heading2"/>
      </w:pPr>
      <w:r>
        <w:t>1.5  Part C — Consignment spare: not agreed. £0</w:t>
      </w:r>
    </w:p>
    <w:p>
      <w:r>
        <w:rPr>
          <w:b w:val="0"/>
          <w:i w:val="0"/>
        </w:rPr>
        <w:t>Under clause 3.3 and Schedule 2 the holding charge accrues per calendar day only from the Purchaser's written storage confirmation, not from delivery. Marlden has not given that confirmation, so no holding charge accrued to 07/20/2026 and none has accrued since. Marlden will give the confirmation in writing, identifying the store and the conditions held there as Schedule 1 requires, once the storage arrangements are confirmed against Schedule 1; the charge of £45 per calendar day runs from that date.</w:t>
      </w:r>
    </w:p>
    <w:p>
      <w:pPr>
        <w:pStyle w:val="Heading2"/>
      </w:pPr>
      <w:r>
        <w:t>1.6  Requested action</w:t>
      </w:r>
    </w:p>
    <w:p>
      <w:pPr>
        <w:pStyle w:val="ListBullet"/>
      </w:pPr>
      <w:r>
        <w:rPr>
          <w:b w:val="0"/>
          <w:i w:val="0"/>
        </w:rPr>
        <w:t xml:space="preserve">Marlden does not agree Parts A to C as issued. They are agreed at the figures in 1.1: </w:t>
      </w:r>
      <w:r>
        <w:rPr>
          <w:b/>
          <w:i w:val="0"/>
        </w:rPr>
        <w:t>Part A, 0 Support Days consumed; Part B, £0; Part C, £0.</w:t>
      </w:r>
    </w:p>
    <w:p>
      <w:pPr>
        <w:pStyle w:val="ListBullet"/>
      </w:pPr>
      <w:r>
        <w:rPr>
          <w:b w:val="0"/>
          <w:i w:val="0"/>
        </w:rPr>
        <w:t>No purchase order is raised, as nothing is chargeable.</w:t>
      </w:r>
    </w:p>
    <w:p>
      <w:pPr>
        <w:pStyle w:val="ListBullet"/>
      </w:pPr>
      <w:r>
        <w:rPr>
          <w:b w:val="0"/>
          <w:i w:val="0"/>
        </w:rPr>
        <w:t>Please do not invoice on DTX-SS-2026-0442 (clause 6.3). On this position there is nothing to invoice under clause 6.1 for July or for August to date.</w:t>
      </w:r>
    </w:p>
    <w:p>
      <w:pPr>
        <w:pStyle w:val="ListBullet"/>
      </w:pPr>
      <w:r>
        <w:rPr>
          <w:b w:val="0"/>
          <w:i w:val="0"/>
        </w:rPr>
        <w:t>Please re-issue the statement on this basis.</w:t>
      </w:r>
    </w:p>
    <w:p>
      <w:pPr>
        <w:spacing w:after="0" w:before="200"/>
      </w:pPr>
      <w:r>
        <w:rPr>
          <w:b w:val="0"/>
          <w:i w:val="0"/>
        </w:rPr>
        <w:t>R. James</w:t>
      </w:r>
    </w:p>
    <w:p>
      <w:r>
        <w:rPr>
          <w:b w:val="0"/>
          <w:i w:val="0"/>
          <w:color w:val="555555"/>
          <w:sz w:val="19"/>
        </w:rPr>
        <w:t>Lead Electrical Engineer, for and on behalf of Marlden Panel Products Ltd — 08/07/2026</w:t>
      </w:r>
    </w:p>
    <w:p>
      <w:r>
        <w:br w:type="page"/>
      </w:r>
    </w:p>
    <w:p>
      <w:pPr>
        <w:pStyle w:val="Heading1"/>
      </w:pPr>
      <w:r>
        <w:t>Section 2 — Note to Amara Petrossian</w:t>
      </w:r>
    </w:p>
    <w:tbl>
      <w:tblPr>
        <w:tblW w:type="dxa" w:w="9411"/>
        <w:jc w:val="center"/>
        <w:tblBorders>
          <w:top w:val="single" w:sz="8" w:space="0" w:color="D9A400"/>
          <w:left w:val="single" w:sz="8" w:space="0" w:color="D9A400"/>
          <w:bottom w:val="single" w:sz="8" w:space="0" w:color="D9A400"/>
          <w:right w:val="single" w:sz="8" w:space="0" w:color="D9A400"/>
          <w:insideH w:val="single" w:sz="8" w:space="0" w:color="D9A400"/>
          <w:insideV w:val="single" w:sz="8" w:space="0" w:color="D9A400"/>
        </w:tblBorders>
        <w:tblLayout w:type="fixed"/>
        <w:tblCellMar>
          <w:top w:w="90" w:type="dxa"/>
          <w:left w:w="140" w:type="dxa"/>
          <w:bottom w:w="90" w:type="dxa"/>
          <w:right w:w="140" w:type="dxa"/>
        </w:tblCellMar>
        <w:tblLook w:firstColumn="1" w:firstRow="1" w:lastColumn="0" w:lastRow="0" w:noHBand="0" w:noVBand="1" w:val="04A0"/>
      </w:tblPr>
      <w:tblGrid>
        <w:gridCol w:w="9411"/>
      </w:tblGrid>
      <w:tr>
        <w:tc>
          <w:tcPr>
            <w:tcW w:type="dxa" w:w="9411"/>
            <w:shd w:val="clear" w:color="auto" w:fill="FFF6E0"/>
          </w:tcPr>
          <w:p>
            <w:pPr>
              <w:spacing w:after="40"/>
            </w:pPr>
            <w:r>
              <w:rPr>
                <w:b/>
                <w:i w:val="0"/>
                <w:sz w:val="19"/>
              </w:rPr>
              <w:t>Send by e-mail from red.james@marlden-panels.example before 16:00 UK time (17:00 CEST) on Friday 08/07/2026, with Section 1 attached as a PDF.</w:t>
            </w:r>
          </w:p>
          <w:p>
            <w:pPr>
              <w:spacing w:after="40"/>
            </w:pPr>
            <w:r>
              <w:rPr>
                <w:b w:val="0"/>
                <w:i w:val="0"/>
                <w:sz w:val="19"/>
              </w:rPr>
              <w:t>Under clause 7.2 an e-mail sent before 17:00 on a Business Day is received that day. Sent later, it is received on Monday 08/10 — and Monday would then not be called off in advance. 16:00 UK keeps it inside 17:00 on either side's clock.</w:t>
            </w:r>
          </w:p>
        </w:tc>
      </w:tr>
    </w:tbl>
    <w:p>
      <w:pPr>
        <w:spacing w:after="40"/>
      </w:pPr>
    </w:p>
    <w:tbl>
      <w:tblPr>
        <w:tblW w:type="dxa" w:w="9411"/>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1474"/>
        <w:gridCol w:w="7937"/>
      </w:tblGrid>
      <w:tr>
        <w:trPr>
          <w:cantSplit/>
        </w:trPr>
        <w:tc>
          <w:tcPr>
            <w:tcW w:type="dxa" w:w="1474"/>
            <w:shd w:val="clear" w:color="auto" w:fill="F4F6F9"/>
            <w:vAlign w:val="top"/>
          </w:tcPr>
          <w:p>
            <w:pPr>
              <w:spacing w:after="20" w:line="240" w:lineRule="auto"/>
            </w:pPr>
            <w:r/>
            <w:r>
              <w:rPr>
                <w:b/>
                <w:i w:val="0"/>
                <w:sz w:val="19"/>
              </w:rPr>
              <w:t>To</w:t>
            </w:r>
          </w:p>
        </w:tc>
        <w:tc>
          <w:tcPr>
            <w:tcW w:type="dxa" w:w="7937"/>
            <w:vAlign w:val="top"/>
          </w:tcPr>
          <w:p>
            <w:pPr>
              <w:spacing w:after="20" w:line="240" w:lineRule="auto"/>
            </w:pPr>
            <w:r/>
            <w:r>
              <w:rPr>
                <w:b w:val="0"/>
                <w:i w:val="0"/>
                <w:sz w:val="19"/>
              </w:rPr>
              <w:t>Amara Petrossian &lt;amara.petrossian@drivetec-systems.example&gt;</w:t>
            </w:r>
          </w:p>
        </w:tc>
      </w:tr>
      <w:tr>
        <w:trPr>
          <w:cantSplit/>
        </w:trPr>
        <w:tc>
          <w:tcPr>
            <w:tcW w:type="dxa" w:w="1474"/>
            <w:shd w:val="clear" w:color="auto" w:fill="F4F6F9"/>
            <w:vAlign w:val="top"/>
          </w:tcPr>
          <w:p>
            <w:pPr>
              <w:spacing w:after="20" w:line="240" w:lineRule="auto"/>
            </w:pPr>
            <w:r/>
            <w:r>
              <w:rPr>
                <w:b/>
                <w:i w:val="0"/>
                <w:sz w:val="19"/>
              </w:rPr>
              <w:t>Cc</w:t>
            </w:r>
          </w:p>
        </w:tc>
        <w:tc>
          <w:tcPr>
            <w:tcW w:type="dxa" w:w="7937"/>
            <w:vAlign w:val="top"/>
          </w:tcPr>
          <w:p>
            <w:pPr>
              <w:spacing w:after="20" w:line="240" w:lineRule="auto"/>
            </w:pPr>
            <w:r/>
            <w:r>
              <w:rPr>
                <w:b w:val="0"/>
                <w:i w:val="0"/>
                <w:sz w:val="19"/>
              </w:rPr>
              <w:t>Callan Whitmore &lt;c.whitmore@ravenscar-commissioning.example&gt;; Grainne Sutcliffe &lt;grainne.sutcliffe@marlden-panels.example&gt;</w:t>
            </w:r>
          </w:p>
        </w:tc>
      </w:tr>
      <w:tr>
        <w:trPr>
          <w:cantSplit/>
        </w:trPr>
        <w:tc>
          <w:tcPr>
            <w:tcW w:type="dxa" w:w="1474"/>
            <w:shd w:val="clear" w:color="auto" w:fill="F4F6F9"/>
            <w:vAlign w:val="top"/>
          </w:tcPr>
          <w:p>
            <w:pPr>
              <w:spacing w:after="20" w:line="240" w:lineRule="auto"/>
            </w:pPr>
            <w:r/>
            <w:r>
              <w:rPr>
                <w:b/>
                <w:i w:val="0"/>
                <w:sz w:val="19"/>
              </w:rPr>
              <w:t>Subject</w:t>
            </w:r>
          </w:p>
        </w:tc>
        <w:tc>
          <w:tcPr>
            <w:tcW w:type="dxa" w:w="7937"/>
            <w:vAlign w:val="top"/>
          </w:tcPr>
          <w:p>
            <w:pPr>
              <w:spacing w:after="20" w:line="240" w:lineRule="auto"/>
            </w:pPr>
            <w:r/>
            <w:r>
              <w:rPr>
                <w:b w:val="0"/>
                <w:i w:val="0"/>
                <w:sz w:val="19"/>
              </w:rPr>
              <w:t>DTX-SSA-2026-118 — Call-off of Support Days 08/10–08/14/2026, and response to statement DTX-SS-2026-0442</w:t>
            </w:r>
          </w:p>
        </w:tc>
      </w:tr>
      <w:tr>
        <w:trPr>
          <w:cantSplit/>
        </w:trPr>
        <w:tc>
          <w:tcPr>
            <w:tcW w:type="dxa" w:w="1474"/>
            <w:shd w:val="clear" w:color="auto" w:fill="F4F6F9"/>
            <w:vAlign w:val="top"/>
          </w:tcPr>
          <w:p>
            <w:pPr>
              <w:spacing w:after="20" w:line="240" w:lineRule="auto"/>
            </w:pPr>
            <w:r/>
            <w:r>
              <w:rPr>
                <w:b/>
                <w:i w:val="0"/>
                <w:sz w:val="19"/>
              </w:rPr>
              <w:t>Attachment</w:t>
            </w:r>
          </w:p>
        </w:tc>
        <w:tc>
          <w:tcPr>
            <w:tcW w:type="dxa" w:w="7937"/>
            <w:vAlign w:val="top"/>
          </w:tcPr>
          <w:p>
            <w:pPr>
              <w:spacing w:after="20" w:line="240" w:lineRule="auto"/>
            </w:pPr>
            <w:r/>
            <w:r>
              <w:rPr>
                <w:b w:val="0"/>
                <w:i w:val="0"/>
                <w:sz w:val="19"/>
              </w:rPr>
              <w:t>Marlden response to DTX-SS-2026-0442, 08/07/2026</w:t>
            </w:r>
          </w:p>
        </w:tc>
      </w:tr>
    </w:tbl>
    <w:p>
      <w:pPr>
        <w:spacing w:after="40"/>
      </w:pPr>
    </w:p>
    <w:p>
      <w:r>
        <w:rPr>
          <w:b w:val="0"/>
          <w:i w:val="0"/>
        </w:rPr>
        <w:t>Amara,</w:t>
      </w:r>
    </w:p>
    <w:p>
      <w:r>
        <w:rPr>
          <w:b w:val="0"/>
          <w:i w:val="0"/>
        </w:rPr>
        <w:t>Thank you for your statement of 07/20, and for your help with site on 08/05 and 08/06. I'm sorry the reply has taken until today. This e-mail calls off your support for next week under clauses 4.2 and 7.1 of the agreement; our response to the statement is attached.</w:t>
      </w:r>
    </w:p>
    <w:p>
      <w:pPr>
        <w:keepNext/>
        <w:spacing w:before="120"/>
      </w:pPr>
      <w:r>
        <w:rPr>
          <w:b/>
          <w:i w:val="0"/>
        </w:rPr>
        <w:t>1. Call-off</w:t>
      </w:r>
    </w:p>
    <w:p>
      <w:pPr>
        <w:keepNext/>
      </w:pPr>
      <w:r>
        <w:rPr>
          <w:b w:val="0"/>
          <w:i w:val="0"/>
        </w:rPr>
        <w:t>I call off the following five Support Days:</w:t>
      </w:r>
    </w:p>
    <w:tbl>
      <w:tblPr>
        <w:tblW w:type="dxa" w:w="9411"/>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2154"/>
        <w:gridCol w:w="7257"/>
      </w:tblGrid>
      <w:tr>
        <w:trPr>
          <w:cantSplit/>
          <w:tblHeader w:val="true"/>
        </w:trPr>
        <w:tc>
          <w:tcPr>
            <w:tcW w:type="dxa" w:w="2154"/>
            <w:shd w:val="clear" w:color="auto" w:fill="DCE3EC"/>
            <w:vAlign w:val="top"/>
          </w:tcPr>
          <w:p>
            <w:pPr>
              <w:spacing w:after="20" w:line="240" w:lineRule="auto"/>
            </w:pPr>
            <w:r/>
            <w:r>
              <w:rPr>
                <w:b/>
                <w:i w:val="0"/>
                <w:sz w:val="19"/>
              </w:rPr>
              <w:t>Date</w:t>
            </w:r>
          </w:p>
        </w:tc>
        <w:tc>
          <w:tcPr>
            <w:tcW w:type="dxa" w:w="7257"/>
            <w:shd w:val="clear" w:color="auto" w:fill="DCE3EC"/>
            <w:vAlign w:val="top"/>
          </w:tcPr>
          <w:p>
            <w:pPr>
              <w:spacing w:after="20" w:line="240" w:lineRule="auto"/>
            </w:pPr>
            <w:r/>
            <w:r>
              <w:rPr>
                <w:b/>
                <w:i w:val="0"/>
                <w:sz w:val="19"/>
              </w:rPr>
              <w:t>Planned focus</w:t>
            </w:r>
          </w:p>
        </w:tc>
      </w:tr>
      <w:tr>
        <w:trPr>
          <w:cantSplit/>
        </w:trPr>
        <w:tc>
          <w:tcPr>
            <w:tcW w:type="dxa" w:w="2154"/>
            <w:vAlign w:val="top"/>
          </w:tcPr>
          <w:p>
            <w:pPr>
              <w:spacing w:after="20" w:line="240" w:lineRule="auto"/>
            </w:pPr>
            <w:r/>
            <w:r>
              <w:rPr>
                <w:b w:val="0"/>
                <w:i w:val="0"/>
                <w:sz w:val="19"/>
              </w:rPr>
              <w:t>Monday 08/10/2026</w:t>
            </w:r>
          </w:p>
        </w:tc>
        <w:tc>
          <w:tcPr>
            <w:tcW w:type="dxa" w:w="7257"/>
            <w:vAlign w:val="top"/>
          </w:tcPr>
          <w:p>
            <w:pPr>
              <w:spacing w:after="20" w:line="240" w:lineRule="auto"/>
            </w:pPr>
            <w:r/>
            <w:r>
              <w:rPr>
                <w:b w:val="0"/>
                <w:i w:val="0"/>
                <w:sz w:val="19"/>
              </w:rPr>
              <w:t>Refiner drive DR-L2-REF-01 (DTX-60, S/N DTX60-2026-04477, MCC Section C, C3): motor data entry and stationary auto-tune to DTX-CMG-2025-03, taking account of your Applications Engineering review of the 08/06 F.203 events.</w:t>
            </w:r>
          </w:p>
        </w:tc>
      </w:tr>
      <w:tr>
        <w:trPr>
          <w:cantSplit/>
        </w:trPr>
        <w:tc>
          <w:tcPr>
            <w:tcW w:type="dxa" w:w="2154"/>
            <w:vAlign w:val="top"/>
          </w:tcPr>
          <w:p>
            <w:pPr>
              <w:spacing w:after="20" w:line="240" w:lineRule="auto"/>
            </w:pPr>
            <w:r/>
            <w:r>
              <w:rPr>
                <w:b w:val="0"/>
                <w:i w:val="0"/>
                <w:sz w:val="19"/>
              </w:rPr>
              <w:t>Tuesday 08/11/2026</w:t>
            </w:r>
          </w:p>
        </w:tc>
        <w:tc>
          <w:tcPr>
            <w:tcW w:type="dxa" w:w="7257"/>
            <w:vAlign w:val="top"/>
          </w:tcPr>
          <w:p>
            <w:pPr>
              <w:spacing w:after="20" w:line="240" w:lineRule="auto"/>
            </w:pPr>
            <w:r/>
            <w:r>
              <w:rPr>
                <w:b w:val="0"/>
                <w:i w:val="0"/>
                <w:sz w:val="19"/>
              </w:rPr>
              <w:t>Refiner drive DR-L2-REF-01 as needed; preparation of the remaining drives.</w:t>
            </w:r>
          </w:p>
        </w:tc>
      </w:tr>
      <w:tr>
        <w:trPr>
          <w:cantSplit/>
        </w:trPr>
        <w:tc>
          <w:tcPr>
            <w:tcW w:type="dxa" w:w="2154"/>
            <w:vAlign w:val="top"/>
          </w:tcPr>
          <w:p>
            <w:pPr>
              <w:spacing w:after="20" w:line="240" w:lineRule="auto"/>
            </w:pPr>
            <w:r/>
            <w:r>
              <w:rPr>
                <w:b w:val="0"/>
                <w:i w:val="0"/>
                <w:sz w:val="19"/>
              </w:rPr>
              <w:t>Wednesday 08/12/2026</w:t>
            </w:r>
          </w:p>
        </w:tc>
        <w:tc>
          <w:tcPr>
            <w:tcW w:type="dxa" w:w="7257"/>
            <w:vAlign w:val="top"/>
          </w:tcPr>
          <w:p>
            <w:pPr>
              <w:spacing w:after="20" w:line="240" w:lineRule="auto"/>
            </w:pPr>
            <w:r/>
            <w:r>
              <w:rPr>
                <w:b w:val="0"/>
                <w:i w:val="0"/>
                <w:sz w:val="19"/>
              </w:rPr>
              <w:t>Remaining Line 2 drives (Ravenscar schedule Rev C, M2–M13): nameplate entry and auto-tune, one drive per slot.</w:t>
            </w:r>
          </w:p>
        </w:tc>
      </w:tr>
      <w:tr>
        <w:trPr>
          <w:cantSplit/>
        </w:trPr>
        <w:tc>
          <w:tcPr>
            <w:tcW w:type="dxa" w:w="2154"/>
            <w:vAlign w:val="top"/>
          </w:tcPr>
          <w:p>
            <w:pPr>
              <w:spacing w:after="20" w:line="240" w:lineRule="auto"/>
            </w:pPr>
            <w:r/>
            <w:r>
              <w:rPr>
                <w:b w:val="0"/>
                <w:i w:val="0"/>
                <w:sz w:val="19"/>
              </w:rPr>
              <w:t>Thursday 08/13/2026</w:t>
            </w:r>
          </w:p>
        </w:tc>
        <w:tc>
          <w:tcPr>
            <w:tcW w:type="dxa" w:w="7257"/>
            <w:vAlign w:val="top"/>
          </w:tcPr>
          <w:p>
            <w:pPr>
              <w:spacing w:after="20" w:line="240" w:lineRule="auto"/>
            </w:pPr>
            <w:r/>
            <w:r>
              <w:rPr>
                <w:b w:val="0"/>
                <w:i w:val="0"/>
                <w:sz w:val="19"/>
              </w:rPr>
              <w:t>Remaining Line 2 drives, continued.</w:t>
            </w:r>
          </w:p>
        </w:tc>
      </w:tr>
      <w:tr>
        <w:trPr>
          <w:cantSplit/>
        </w:trPr>
        <w:tc>
          <w:tcPr>
            <w:tcW w:type="dxa" w:w="2154"/>
            <w:vAlign w:val="top"/>
          </w:tcPr>
          <w:p>
            <w:pPr>
              <w:spacing w:after="20" w:line="240" w:lineRule="auto"/>
            </w:pPr>
            <w:r/>
            <w:r>
              <w:rPr>
                <w:b w:val="0"/>
                <w:i w:val="0"/>
                <w:sz w:val="19"/>
              </w:rPr>
              <w:t>Friday 08/14/2026</w:t>
            </w:r>
          </w:p>
        </w:tc>
        <w:tc>
          <w:tcPr>
            <w:tcW w:type="dxa" w:w="7257"/>
            <w:vAlign w:val="top"/>
          </w:tcPr>
          <w:p>
            <w:pPr>
              <w:spacing w:after="20" w:line="240" w:lineRule="auto"/>
            </w:pPr>
            <w:r/>
            <w:r>
              <w:rPr>
                <w:b w:val="0"/>
                <w:i w:val="0"/>
                <w:sz w:val="19"/>
              </w:rPr>
              <w:t>Remaining Line 2 drives, completed; toolkit exports for the as-set parameter record, for the 08/14 parameterisation-complete milestone.</w:t>
            </w:r>
          </w:p>
        </w:tc>
      </w:tr>
    </w:tbl>
    <w:p>
      <w:pPr>
        <w:spacing w:after="40"/>
      </w:pPr>
    </w:p>
    <w:p>
      <w:r>
        <w:rPr>
          <w:b/>
          <w:i w:val="0"/>
        </w:rPr>
        <w:t>Scope on every one of those dates, whatever the planned focus:</w:t>
      </w:r>
      <w:r>
        <w:rPr>
          <w:b w:val="0"/>
          <w:i w:val="0"/>
        </w:rPr>
        <w:t xml:space="preserve"> remote commissioning support by telephone and e-mail (no site attendance) on the parameterisation and auto-tune of the Line 2 DTX-45 and DTX-60 drives to DTX-CMG-2025-03, including any fault codes that arise, available throughout the site working day (07:00–17:00 UK time; 08:00–18:00 CEST). Callan Whitmore (+44 (0)7833 902744), Priya Nandwani (+44 (0)1387 552217) and Fiona Machar (+44 (0)1387 552224) may call on you directly on those dates.</w:t>
      </w:r>
    </w:p>
    <w:p>
      <w:r>
        <w:rPr>
          <w:b w:val="0"/>
          <w:i w:val="0"/>
        </w:rPr>
        <w:t>These are the five Support Days included in the Contract Price; none is chargeable. Each date counts as one Support Day whether or not the whole day is used (clause 4.3).</w:t>
      </w:r>
    </w:p>
    <w:p>
      <w:pPr>
        <w:keepNext/>
        <w:spacing w:before="120"/>
      </w:pPr>
      <w:r>
        <w:rPr>
          <w:b/>
          <w:i w:val="0"/>
        </w:rPr>
        <w:t>2. Outside the call-off</w:t>
      </w:r>
    </w:p>
    <w:p>
      <w:pPr>
        <w:pStyle w:val="ListBullet"/>
      </w:pPr>
      <w:r>
        <w:rPr>
          <w:b w:val="0"/>
          <w:i w:val="0"/>
        </w:rPr>
        <w:t>Nothing is called off for today, 08/07 (a call-off has to precede the day), for Saturday 08/08 or Sunday 08/09, or for any date after 08/14.</w:t>
      </w:r>
    </w:p>
    <w:p>
      <w:pPr>
        <w:pStyle w:val="ListBullet"/>
      </w:pPr>
      <w:r>
        <w:rPr>
          <w:b w:val="0"/>
          <w:i w:val="0"/>
        </w:rPr>
        <w:t>Ravenscar's schedule is not a call-off, and a telephone or e-mail request from site is not a call-off. Only a written call-off from me counts. If another day is needed I will call it off in writing before the day; it would be chargeable at £890, or £1,335 at a weekend or Scottish public holiday.</w:t>
      </w:r>
    </w:p>
    <w:p>
      <w:pPr>
        <w:pStyle w:val="ListBullet"/>
      </w:pPr>
      <w:r>
        <w:rPr>
          <w:b w:val="0"/>
          <w:i w:val="0"/>
        </w:rPr>
        <w:t>Your Applications Engineering response on the 08/06 F.203 events, and your answers to RFI-022, RFI-028 and RFI-031, are technical responses: they need no call-off and consume no Support Day (clause 4.2). Please send the F.203 response to me and to Callan.</w:t>
      </w:r>
    </w:p>
    <w:p>
      <w:pPr>
        <w:keepNext/>
        <w:spacing w:before="120"/>
      </w:pPr>
      <w:r>
        <w:rPr>
          <w:b/>
          <w:i w:val="0"/>
        </w:rPr>
        <w:t>3. Your statement</w:t>
      </w:r>
      <w:r>
        <w:rPr>
          <w:b w:val="0"/>
          <w:i w:val="0"/>
        </w:rPr>
        <w:t xml:space="preserve"> (detail in the attached response)</w:t>
      </w:r>
    </w:p>
    <w:p>
      <w:pPr>
        <w:pStyle w:val="ListBullet"/>
      </w:pPr>
      <w:r>
        <w:rPr>
          <w:b/>
          <w:i w:val="0"/>
        </w:rPr>
        <w:t>Part A: 0 Support Days consumed, not 5.</w:t>
      </w:r>
      <w:r>
        <w:rPr>
          <w:b w:val="0"/>
          <w:i w:val="0"/>
        </w:rPr>
        <w:t xml:space="preserve"> The four items are RFI answers, which consume no Support Day and are not chargeable (clause 4.2). The support on 08/05 and 08/06 was not called off by Marlden, so it consumed none of the five either: all five remained at the close of 08/06, and they are the five called off above.</w:t>
      </w:r>
    </w:p>
    <w:p>
      <w:pPr>
        <w:pStyle w:val="ListBullet"/>
      </w:pPr>
      <w:r>
        <w:rPr>
          <w:b/>
          <w:i w:val="0"/>
        </w:rPr>
        <w:t>Part B: £0, not £7,120.</w:t>
      </w:r>
      <w:r>
        <w:rPr>
          <w:b w:val="0"/>
          <w:i w:val="0"/>
        </w:rPr>
        <w:t xml:space="preserve"> Being on call is not a Support Day; the only Support Days in the window are the five above.</w:t>
      </w:r>
    </w:p>
    <w:p>
      <w:pPr>
        <w:pStyle w:val="ListBullet"/>
      </w:pPr>
      <w:r>
        <w:rPr>
          <w:b/>
          <w:i w:val="0"/>
        </w:rPr>
        <w:t>Part C: £0, not £315.</w:t>
      </w:r>
      <w:r>
        <w:rPr>
          <w:b w:val="0"/>
          <w:i w:val="0"/>
        </w:rPr>
        <w:t xml:space="preserve"> The holding charge runs only from our written storage confirmation (clause 3.3), which we have not yet given. I will send it once the store is confirmed against Schedule 1; the £45 a day runs from that date.</w:t>
      </w:r>
    </w:p>
    <w:p>
      <w:pPr>
        <w:pStyle w:val="ListBullet"/>
      </w:pPr>
      <w:r>
        <w:rPr>
          <w:b/>
          <w:i w:val="0"/>
        </w:rPr>
        <w:t>Total: £0 against £7,435.</w:t>
      </w:r>
      <w:r>
        <w:rPr>
          <w:b w:val="0"/>
          <w:i w:val="0"/>
        </w:rPr>
        <w:t xml:space="preserve"> No purchase order is needed, and there is nothing to invoice for July or August to date. Please re-issue the statement on this basis.</w:t>
      </w:r>
    </w:p>
    <w:p>
      <w:pPr>
        <w:spacing w:before="120"/>
      </w:pPr>
      <w:r>
        <w:rPr>
          <w:b w:val="0"/>
          <w:i w:val="0"/>
        </w:rPr>
        <w:t>Please confirm by return that you have this call-off and will work to it, and tell me today if any of the five dates cannot be covered.</w:t>
      </w:r>
    </w:p>
    <w:p>
      <w:pPr>
        <w:spacing w:after="0"/>
      </w:pPr>
      <w:r>
        <w:rPr>
          <w:b w:val="0"/>
          <w:i w:val="0"/>
        </w:rPr>
        <w:t>Kind regards,</w:t>
      </w:r>
    </w:p>
    <w:p>
      <w:pPr>
        <w:spacing w:after="0"/>
      </w:pPr>
      <w:r>
        <w:rPr>
          <w:b/>
          <w:i w:val="0"/>
        </w:rPr>
        <w:t>Red James</w:t>
      </w:r>
    </w:p>
    <w:p>
      <w:pPr>
        <w:spacing w:after="0"/>
      </w:pPr>
      <w:r>
        <w:rPr>
          <w:b w:val="0"/>
          <w:i w:val="0"/>
          <w:sz w:val="19"/>
        </w:rPr>
        <w:t>Lead Electrical Engineer — Purchaser's representative, DTX-SSA-2026-118</w:t>
      </w:r>
    </w:p>
    <w:p>
      <w:r>
        <w:rPr>
          <w:b w:val="0"/>
          <w:i w:val="0"/>
          <w:sz w:val="19"/>
        </w:rPr>
        <w:t>Marlden Panel Products Ltd · +44 (0)1387 552201 · red.james@marlden-panels.example</w:t>
      </w:r>
    </w:p>
    <w:p>
      <w:r>
        <w:br w:type="page"/>
      </w:r>
    </w:p>
    <w:p>
      <w:pPr>
        <w:pStyle w:val="Heading1"/>
      </w:pPr>
      <w:r>
        <w:t>Section 3 — File note (internal — not for issue)</w:t>
      </w:r>
    </w:p>
    <w:tbl>
      <w:tblPr>
        <w:tblW w:type="dxa" w:w="9411"/>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1928"/>
        <w:gridCol w:w="7483"/>
      </w:tblGrid>
      <w:tr>
        <w:trPr>
          <w:cantSplit/>
        </w:trPr>
        <w:tc>
          <w:tcPr>
            <w:tcW w:type="dxa" w:w="1928"/>
            <w:shd w:val="clear" w:color="auto" w:fill="F4F6F9"/>
            <w:vAlign w:val="top"/>
          </w:tcPr>
          <w:p>
            <w:pPr>
              <w:spacing w:after="20" w:line="240" w:lineRule="auto"/>
            </w:pPr>
            <w:r/>
            <w:r>
              <w:rPr>
                <w:b/>
                <w:i w:val="0"/>
                <w:sz w:val="19"/>
              </w:rPr>
              <w:t>Subject</w:t>
            </w:r>
          </w:p>
        </w:tc>
        <w:tc>
          <w:tcPr>
            <w:tcW w:type="dxa" w:w="7483"/>
            <w:vAlign w:val="top"/>
          </w:tcPr>
          <w:p>
            <w:pPr>
              <w:spacing w:after="20" w:line="240" w:lineRule="auto"/>
            </w:pPr>
            <w:r/>
            <w:r>
              <w:rPr>
                <w:b w:val="0"/>
                <w:i w:val="0"/>
                <w:sz w:val="19"/>
              </w:rPr>
              <w:t>DriveTec support days and consignment spare — basis settled</w:t>
            </w:r>
          </w:p>
        </w:tc>
      </w:tr>
      <w:tr>
        <w:trPr>
          <w:cantSplit/>
        </w:trPr>
        <w:tc>
          <w:tcPr>
            <w:tcW w:type="dxa" w:w="1928"/>
            <w:shd w:val="clear" w:color="auto" w:fill="F4F6F9"/>
            <w:vAlign w:val="top"/>
          </w:tcPr>
          <w:p>
            <w:pPr>
              <w:spacing w:after="20" w:line="240" w:lineRule="auto"/>
            </w:pPr>
            <w:r/>
            <w:r>
              <w:rPr>
                <w:b/>
                <w:i w:val="0"/>
                <w:sz w:val="19"/>
              </w:rPr>
              <w:t>By / date</w:t>
            </w:r>
          </w:p>
        </w:tc>
        <w:tc>
          <w:tcPr>
            <w:tcW w:type="dxa" w:w="7483"/>
            <w:vAlign w:val="top"/>
          </w:tcPr>
          <w:p>
            <w:pPr>
              <w:spacing w:after="20" w:line="240" w:lineRule="auto"/>
            </w:pPr>
            <w:r/>
            <w:r>
              <w:rPr>
                <w:b w:val="0"/>
                <w:i w:val="0"/>
                <w:sz w:val="19"/>
              </w:rPr>
              <w:t>R. James (x201) — 08/07/2026</w:t>
            </w:r>
          </w:p>
        </w:tc>
      </w:tr>
      <w:tr>
        <w:trPr>
          <w:cantSplit/>
        </w:trPr>
        <w:tc>
          <w:tcPr>
            <w:tcW w:type="dxa" w:w="1928"/>
            <w:shd w:val="clear" w:color="auto" w:fill="F4F6F9"/>
            <w:vAlign w:val="top"/>
          </w:tcPr>
          <w:p>
            <w:pPr>
              <w:spacing w:after="20" w:line="240" w:lineRule="auto"/>
            </w:pPr>
            <w:r/>
            <w:r>
              <w:rPr>
                <w:b/>
                <w:i w:val="0"/>
                <w:sz w:val="19"/>
              </w:rPr>
              <w:t>Project</w:t>
            </w:r>
          </w:p>
        </w:tc>
        <w:tc>
          <w:tcPr>
            <w:tcW w:type="dxa" w:w="7483"/>
            <w:vAlign w:val="top"/>
          </w:tcPr>
          <w:p>
            <w:pPr>
              <w:spacing w:after="20" w:line="240" w:lineRule="auto"/>
            </w:pPr>
            <w:r/>
            <w:r>
              <w:rPr>
                <w:b w:val="0"/>
                <w:i w:val="0"/>
                <w:sz w:val="19"/>
              </w:rPr>
              <w:t>Line 2 VFD Upgrade, PROJ-L2VFD-2026 — DriveTec agreement DTX-SSA-2026-118</w:t>
            </w:r>
          </w:p>
        </w:tc>
      </w:tr>
      <w:tr>
        <w:trPr>
          <w:cantSplit/>
        </w:trPr>
        <w:tc>
          <w:tcPr>
            <w:tcW w:type="dxa" w:w="1928"/>
            <w:shd w:val="clear" w:color="auto" w:fill="F4F6F9"/>
            <w:vAlign w:val="top"/>
          </w:tcPr>
          <w:p>
            <w:pPr>
              <w:spacing w:after="20" w:line="240" w:lineRule="auto"/>
            </w:pPr>
            <w:r/>
            <w:r>
              <w:rPr>
                <w:b/>
                <w:i w:val="0"/>
                <w:sz w:val="19"/>
              </w:rPr>
              <w:t>Supersedes</w:t>
            </w:r>
          </w:p>
        </w:tc>
        <w:tc>
          <w:tcPr>
            <w:tcW w:type="dxa" w:w="7483"/>
            <w:vAlign w:val="top"/>
          </w:tcPr>
          <w:p>
            <w:pPr>
              <w:spacing w:after="20" w:line="240" w:lineRule="auto"/>
            </w:pPr>
            <w:r/>
            <w:r>
              <w:rPr>
                <w:b w:val="0"/>
                <w:i w:val="0"/>
                <w:sz w:val="19"/>
              </w:rPr>
              <w:t>My working note of 07/21/2026, which took Part A at face value, leant towards a PO for Part B and treated the Part C charge as running. None of that stands.</w:t>
            </w:r>
          </w:p>
        </w:tc>
      </w:tr>
      <w:tr>
        <w:trPr>
          <w:cantSplit/>
        </w:trPr>
        <w:tc>
          <w:tcPr>
            <w:tcW w:type="dxa" w:w="1928"/>
            <w:shd w:val="clear" w:color="auto" w:fill="F4F6F9"/>
            <w:vAlign w:val="top"/>
          </w:tcPr>
          <w:p>
            <w:pPr>
              <w:spacing w:after="20" w:line="240" w:lineRule="auto"/>
            </w:pPr>
            <w:r/>
            <w:r>
              <w:rPr>
                <w:b/>
                <w:i w:val="0"/>
                <w:sz w:val="19"/>
              </w:rPr>
              <w:t>Records relied on</w:t>
            </w:r>
          </w:p>
        </w:tc>
        <w:tc>
          <w:tcPr>
            <w:tcW w:type="dxa" w:w="7483"/>
            <w:vAlign w:val="top"/>
          </w:tcPr>
          <w:p>
            <w:pPr>
              <w:spacing w:after="20" w:line="240" w:lineRule="auto"/>
            </w:pPr>
            <w:r/>
            <w:r>
              <w:rPr>
                <w:b w:val="0"/>
                <w:i w:val="0"/>
                <w:sz w:val="19"/>
              </w:rPr>
              <w:t>DTX-SSA-2026-118 cl. 1.1, 3.3, 4.1–4.3, 5.3, 6.1, 6.3, 7.1–7.2, Sch. 1–2; statement DTX-SS-2026-0442 (07/20); DriveTec log DTX-RS-2026-0311 (copy 08/06 16:05); Ravenscar schedule Rev C (07/09); Line 2 RFI log (07/14); refiner drive export 08/06 10:21; project plan Rev B, R3.</w:t>
            </w:r>
          </w:p>
        </w:tc>
      </w:tr>
    </w:tbl>
    <w:p>
      <w:pPr>
        <w:spacing w:after="40"/>
      </w:pPr>
    </w:p>
    <w:p>
      <w:pPr>
        <w:pStyle w:val="Heading2"/>
      </w:pPr>
      <w:r>
        <w:t>Basis</w:t>
      </w:r>
    </w:p>
    <w:p>
      <w:pPr>
        <w:tabs>
          <w:tab w:pos="425" w:val="left"/>
        </w:tabs>
        <w:spacing w:after="60"/>
        <w:ind w:left="425" w:hanging="425"/>
      </w:pPr>
      <w:r>
        <w:rPr>
          <w:b w:val="0"/>
          <w:i w:val="0"/>
        </w:rPr>
        <w:t>1.</w:t>
        <w:tab/>
        <w:t>A Support Day is a date that I, as Purchaser's representative, call off in writing (e-mail) to Amara before the day, stating the date and the scope (cl. 4.2, 7.1). Nothing else uses one of the five or costs anything: not RFI answers (cl. 4.2); not the on-call line in Ravenscar's schedule; not help Amara gives on a phone or e-mail request from site; and receiving her daily log copy does not turn that help into a call-off.</w:t>
      </w:r>
    </w:p>
    <w:p>
      <w:pPr>
        <w:tabs>
          <w:tab w:pos="425" w:val="left"/>
        </w:tabs>
        <w:spacing w:after="60"/>
        <w:ind w:left="425" w:hanging="425"/>
      </w:pPr>
      <w:r>
        <w:rPr>
          <w:b w:val="0"/>
          <w:i w:val="0"/>
        </w:rPr>
        <w:t>2.</w:t>
        <w:tab/>
        <w:t>Each date called off counts as one Support Day whether or not the whole day is taken up (cl. 4.3), and we treat it as used even if site never rings. We call off the dates we want covered, and only those.</w:t>
      </w:r>
    </w:p>
    <w:p>
      <w:pPr>
        <w:tabs>
          <w:tab w:pos="425" w:val="left"/>
        </w:tabs>
        <w:spacing w:after="60"/>
        <w:ind w:left="425" w:hanging="425"/>
      </w:pPr>
      <w:r>
        <w:rPr>
          <w:b w:val="0"/>
          <w:i w:val="0"/>
        </w:rPr>
        <w:t>3.</w:t>
        <w:tab/>
        <w:t>Saturday, Sunday and Scottish public holiday support is £1,335 a day whether or not an included day remains (cl. 4.3).</w:t>
      </w:r>
    </w:p>
    <w:p>
      <w:pPr>
        <w:tabs>
          <w:tab w:pos="425" w:val="left"/>
        </w:tabs>
        <w:spacing w:after="60"/>
        <w:ind w:left="425" w:hanging="425"/>
      </w:pPr>
      <w:r>
        <w:rPr>
          <w:b w:val="0"/>
          <w:i w:val="0"/>
        </w:rPr>
        <w:t>4.</w:t>
        <w:tab/>
        <w:t>The consignment spare carries no holding charge until our written storage confirmation (cl. 3.3, Sch. 2), and cannot be drawn into service until then.</w:t>
      </w:r>
    </w:p>
    <w:p>
      <w:pPr>
        <w:pStyle w:val="Heading2"/>
      </w:pPr>
      <w:r>
        <w:t>Position at the close of 08/06/2026</w:t>
      </w:r>
    </w:p>
    <w:p>
      <w:pPr>
        <w:pStyle w:val="ListBullet"/>
      </w:pPr>
      <w:r>
        <w:rPr>
          <w:b/>
          <w:i w:val="0"/>
        </w:rPr>
        <w:t>0 of 5 Support Days consumed; 5 remaining. Window cost to that point: £0. Holding charge: £0.</w:t>
      </w:r>
    </w:p>
    <w:p>
      <w:pPr>
        <w:pStyle w:val="ListBullet"/>
      </w:pPr>
      <w:r>
        <w:rPr>
          <w:b w:val="0"/>
          <w:i w:val="0"/>
        </w:rPr>
        <w:t>On 08/05 and 08/06 Callan rang Amara on the day, on the strength of Ravenscar's Rev C schedule, which went to her for information. Nothing went to her from me, so neither day is a Support Day.</w:t>
      </w:r>
    </w:p>
    <w:p>
      <w:pPr>
        <w:pStyle w:val="Heading2"/>
      </w:pPr>
      <w:r>
        <w:t>Statement DTX-SS-2026-0442 — answered 08/07/2026</w:t>
      </w:r>
    </w:p>
    <w:tbl>
      <w:tblPr>
        <w:tblW w:type="dxa" w:w="9412"/>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3742"/>
        <w:gridCol w:w="2835"/>
        <w:gridCol w:w="2835"/>
      </w:tblGrid>
      <w:tr>
        <w:trPr>
          <w:cantSplit/>
          <w:tblHeader w:val="true"/>
        </w:trPr>
        <w:tc>
          <w:tcPr>
            <w:tcW w:type="dxa" w:w="3742"/>
            <w:shd w:val="clear" w:color="auto" w:fill="DCE3EC"/>
            <w:vAlign w:val="top"/>
          </w:tcPr>
          <w:p>
            <w:pPr>
              <w:spacing w:after="20" w:line="240" w:lineRule="auto"/>
            </w:pPr>
            <w:r/>
            <w:r>
              <w:rPr>
                <w:b/>
                <w:i w:val="0"/>
                <w:sz w:val="19"/>
              </w:rPr>
              <w:t>Part</w:t>
            </w:r>
          </w:p>
        </w:tc>
        <w:tc>
          <w:tcPr>
            <w:tcW w:type="dxa" w:w="2835"/>
            <w:shd w:val="clear" w:color="auto" w:fill="DCE3EC"/>
            <w:vAlign w:val="top"/>
          </w:tcPr>
          <w:p>
            <w:pPr>
              <w:spacing w:after="20" w:line="240" w:lineRule="auto"/>
            </w:pPr>
            <w:r/>
            <w:r>
              <w:rPr>
                <w:b/>
                <w:i w:val="0"/>
                <w:sz w:val="19"/>
              </w:rPr>
              <w:t>DriveTec</w:t>
            </w:r>
          </w:p>
        </w:tc>
        <w:tc>
          <w:tcPr>
            <w:tcW w:type="dxa" w:w="2835"/>
            <w:shd w:val="clear" w:color="auto" w:fill="DCE3EC"/>
            <w:vAlign w:val="top"/>
          </w:tcPr>
          <w:p>
            <w:pPr>
              <w:spacing w:after="20" w:line="240" w:lineRule="auto"/>
            </w:pPr>
            <w:r/>
            <w:r>
              <w:rPr>
                <w:b/>
                <w:i w:val="0"/>
                <w:sz w:val="19"/>
              </w:rPr>
              <w:t>Agreed</w:t>
            </w:r>
          </w:p>
        </w:tc>
      </w:tr>
      <w:tr>
        <w:trPr>
          <w:cantSplit/>
        </w:trPr>
        <w:tc>
          <w:tcPr>
            <w:tcW w:type="dxa" w:w="3742"/>
            <w:vAlign w:val="top"/>
          </w:tcPr>
          <w:p>
            <w:pPr>
              <w:spacing w:after="20" w:line="240" w:lineRule="auto"/>
            </w:pPr>
            <w:r/>
            <w:r>
              <w:rPr>
                <w:b w:val="0"/>
                <w:i w:val="0"/>
                <w:sz w:val="19"/>
              </w:rPr>
              <w:t>A — Support Days consumed</w:t>
            </w:r>
          </w:p>
        </w:tc>
        <w:tc>
          <w:tcPr>
            <w:tcW w:type="dxa" w:w="2835"/>
            <w:vAlign w:val="top"/>
          </w:tcPr>
          <w:p>
            <w:pPr>
              <w:spacing w:after="20" w:line="240" w:lineRule="auto"/>
            </w:pPr>
            <w:r/>
            <w:r>
              <w:rPr>
                <w:b w:val="0"/>
                <w:i w:val="0"/>
                <w:sz w:val="19"/>
              </w:rPr>
              <w:t>5 consumed; nil remaining</w:t>
            </w:r>
          </w:p>
        </w:tc>
        <w:tc>
          <w:tcPr>
            <w:tcW w:type="dxa" w:w="2835"/>
            <w:vAlign w:val="top"/>
          </w:tcPr>
          <w:p>
            <w:pPr>
              <w:spacing w:after="20" w:line="240" w:lineRule="auto"/>
            </w:pPr>
            <w:r/>
            <w:r>
              <w:rPr>
                <w:b w:val="0"/>
                <w:i w:val="0"/>
                <w:sz w:val="19"/>
              </w:rPr>
              <w:t>0 consumed; 5 remaining</w:t>
            </w:r>
          </w:p>
        </w:tc>
      </w:tr>
      <w:tr>
        <w:trPr>
          <w:cantSplit/>
        </w:trPr>
        <w:tc>
          <w:tcPr>
            <w:tcW w:type="dxa" w:w="3742"/>
            <w:vAlign w:val="top"/>
          </w:tcPr>
          <w:p>
            <w:pPr>
              <w:spacing w:after="20" w:line="240" w:lineRule="auto"/>
            </w:pPr>
            <w:r/>
            <w:r>
              <w:rPr>
                <w:b w:val="0"/>
                <w:i w:val="0"/>
                <w:sz w:val="19"/>
              </w:rPr>
              <w:t>B — On-call window 08/05–08/14</w:t>
            </w:r>
          </w:p>
        </w:tc>
        <w:tc>
          <w:tcPr>
            <w:tcW w:type="dxa" w:w="2835"/>
            <w:vAlign w:val="top"/>
          </w:tcPr>
          <w:p>
            <w:pPr>
              <w:spacing w:after="20" w:line="240" w:lineRule="auto"/>
            </w:pPr>
            <w:r/>
            <w:r>
              <w:rPr>
                <w:b w:val="0"/>
                <w:i w:val="0"/>
                <w:sz w:val="19"/>
              </w:rPr>
              <w:t>£7,120</w:t>
            </w:r>
          </w:p>
        </w:tc>
        <w:tc>
          <w:tcPr>
            <w:tcW w:type="dxa" w:w="2835"/>
            <w:vAlign w:val="top"/>
          </w:tcPr>
          <w:p>
            <w:pPr>
              <w:spacing w:after="20" w:line="240" w:lineRule="auto"/>
            </w:pPr>
            <w:r/>
            <w:r>
              <w:rPr>
                <w:b w:val="0"/>
                <w:i w:val="0"/>
                <w:sz w:val="19"/>
              </w:rPr>
              <w:t>£0</w:t>
            </w:r>
          </w:p>
        </w:tc>
      </w:tr>
      <w:tr>
        <w:trPr>
          <w:cantSplit/>
        </w:trPr>
        <w:tc>
          <w:tcPr>
            <w:tcW w:type="dxa" w:w="3742"/>
            <w:vAlign w:val="top"/>
          </w:tcPr>
          <w:p>
            <w:pPr>
              <w:spacing w:after="20" w:line="240" w:lineRule="auto"/>
            </w:pPr>
            <w:r/>
            <w:r>
              <w:rPr>
                <w:b w:val="0"/>
                <w:i w:val="0"/>
                <w:sz w:val="19"/>
              </w:rPr>
              <w:t>C — Spare holding charge</w:t>
            </w:r>
          </w:p>
        </w:tc>
        <w:tc>
          <w:tcPr>
            <w:tcW w:type="dxa" w:w="2835"/>
            <w:vAlign w:val="top"/>
          </w:tcPr>
          <w:p>
            <w:pPr>
              <w:spacing w:after="20" w:line="240" w:lineRule="auto"/>
            </w:pPr>
            <w:r/>
            <w:r>
              <w:rPr>
                <w:b w:val="0"/>
                <w:i w:val="0"/>
                <w:sz w:val="19"/>
              </w:rPr>
              <w:t>£315</w:t>
            </w:r>
          </w:p>
        </w:tc>
        <w:tc>
          <w:tcPr>
            <w:tcW w:type="dxa" w:w="2835"/>
            <w:vAlign w:val="top"/>
          </w:tcPr>
          <w:p>
            <w:pPr>
              <w:spacing w:after="20" w:line="240" w:lineRule="auto"/>
            </w:pPr>
            <w:r/>
            <w:r>
              <w:rPr>
                <w:b w:val="0"/>
                <w:i w:val="0"/>
                <w:sz w:val="19"/>
              </w:rPr>
              <w:t>£0</w:t>
            </w:r>
          </w:p>
        </w:tc>
      </w:tr>
      <w:tr>
        <w:trPr>
          <w:cantSplit/>
        </w:trPr>
        <w:tc>
          <w:tcPr>
            <w:tcW w:type="dxa" w:w="3742"/>
            <w:shd w:val="clear" w:color="auto" w:fill="EEF1F5"/>
            <w:vAlign w:val="top"/>
          </w:tcPr>
          <w:p>
            <w:pPr>
              <w:spacing w:after="20" w:line="240" w:lineRule="auto"/>
            </w:pPr>
            <w:r/>
            <w:r>
              <w:rPr>
                <w:b/>
                <w:i w:val="0"/>
                <w:sz w:val="19"/>
              </w:rPr>
              <w:t>Total B + C</w:t>
            </w:r>
          </w:p>
        </w:tc>
        <w:tc>
          <w:tcPr>
            <w:tcW w:type="dxa" w:w="2835"/>
            <w:shd w:val="clear" w:color="auto" w:fill="EEF1F5"/>
            <w:vAlign w:val="top"/>
          </w:tcPr>
          <w:p>
            <w:pPr>
              <w:spacing w:after="20" w:line="240" w:lineRule="auto"/>
            </w:pPr>
            <w:r/>
            <w:r>
              <w:rPr>
                <w:b/>
                <w:i w:val="0"/>
                <w:sz w:val="19"/>
              </w:rPr>
              <w:t>£7,435</w:t>
            </w:r>
          </w:p>
        </w:tc>
        <w:tc>
          <w:tcPr>
            <w:tcW w:type="dxa" w:w="2835"/>
            <w:shd w:val="clear" w:color="auto" w:fill="EEF1F5"/>
            <w:vAlign w:val="top"/>
          </w:tcPr>
          <w:p>
            <w:pPr>
              <w:spacing w:after="20" w:line="240" w:lineRule="auto"/>
            </w:pPr>
            <w:r/>
            <w:r>
              <w:rPr>
                <w:b/>
                <w:i w:val="0"/>
                <w:sz w:val="19"/>
              </w:rPr>
              <w:t>£0</w:t>
            </w:r>
          </w:p>
        </w:tc>
      </w:tr>
    </w:tbl>
    <w:p>
      <w:pPr>
        <w:spacing w:after="40"/>
      </w:pPr>
    </w:p>
    <w:p>
      <w:pPr>
        <w:pStyle w:val="Heading2"/>
      </w:pPr>
      <w:r>
        <w:t>Call-off for the rest of the window</w:t>
      </w:r>
    </w:p>
    <w:p>
      <w:pPr>
        <w:pStyle w:val="ListBullet"/>
      </w:pPr>
      <w:r>
        <w:rPr>
          <w:b w:val="0"/>
          <w:i w:val="0"/>
        </w:rPr>
        <w:t>Goes to Amara by e-mail before 16:00 UK (17:00 CEST) on 08/07, so it is received today (cl. 7.2) and is in advance of Monday. Copied to Callan and Grainne.</w:t>
      </w:r>
    </w:p>
    <w:p>
      <w:pPr>
        <w:pStyle w:val="ListBullet"/>
      </w:pPr>
      <w:r>
        <w:rPr>
          <w:b/>
          <w:i w:val="0"/>
        </w:rPr>
        <w:t>Mon 08/10 – Fri 08/14: five Support Days, the five included. £0.</w:t>
      </w:r>
    </w:p>
    <w:p>
      <w:pPr>
        <w:pStyle w:val="ListBullet"/>
      </w:pPr>
      <w:r>
        <w:rPr>
          <w:b w:val="0"/>
          <w:i w:val="0"/>
        </w:rPr>
        <w:t>All five are called off because the parameterisation fortnight is on the critical path with no slack (project plan R3). The refiner drive is stopped with F.203 open, and its 08/06 export still holds the factory-template motor data (P1.01 30 kW, P1.02 58 A against the 22 kW / 42 A nameplate), so a repeat motor-data entry and auto-tune is likely early in the week; the remaining drives tune from 08/12 to the 08/14 milestone. A day without Amara in that week costs more than a day of hers.</w:t>
      </w:r>
    </w:p>
    <w:p>
      <w:pPr>
        <w:pStyle w:val="ListBullet"/>
      </w:pPr>
      <w:r>
        <w:rPr>
          <w:b w:val="0"/>
          <w:i w:val="0"/>
        </w:rPr>
        <w:t>Not covered: today (a call-off cannot be made on the day), the weekend, and anything after 08/14.</w:t>
      </w:r>
    </w:p>
    <w:p>
      <w:pPr>
        <w:pStyle w:val="Heading2"/>
      </w:pPr>
      <w:r>
        <w:t>Purchase order</w:t>
      </w:r>
    </w:p>
    <w:p>
      <w:pPr>
        <w:pStyle w:val="ListBullet"/>
      </w:pPr>
      <w:r>
        <w:rPr>
          <w:b/>
          <w:i w:val="0"/>
        </w:rPr>
        <w:t>No PO.</w:t>
      </w:r>
      <w:r>
        <w:rPr>
          <w:b w:val="0"/>
          <w:i w:val="0"/>
        </w:rPr>
        <w:t xml:space="preserve"> Nothing is payable on the statement or for the window. Grainne to be told the PO is not needed.</w:t>
      </w:r>
    </w:p>
    <w:p>
      <w:pPr>
        <w:pStyle w:val="ListBullet"/>
      </w:pPr>
      <w:r>
        <w:rPr>
          <w:b w:val="0"/>
          <w:i w:val="0"/>
        </w:rPr>
        <w:t>From 08/15 no included days remain. Any further support day (for example a refiner re-tune after the motor decision, or support at the 08/28 functional commissioning) is £890 a Business Day or £1,335 at a weekend or public holiday: PO through Grainne first, then my written call-off before the day.</w:t>
      </w:r>
    </w:p>
    <w:p>
      <w:pPr>
        <w:pStyle w:val="Heading2"/>
      </w:pPr>
      <w:r>
        <w:t>Consignment spare (Part C)</w:t>
      </w:r>
    </w:p>
    <w:p>
      <w:pPr>
        <w:pStyle w:val="ListBullet"/>
      </w:pPr>
      <w:r>
        <w:rPr>
          <w:b w:val="0"/>
          <w:i w:val="0"/>
        </w:rPr>
        <w:t>No storage confirmation given. RFI-033 (T. Hollis, 07/14 — holding location and humidity control) is still open with me. We have to store the spare to Schedule 1 now whether or not we have confirmed it, so RFI-033 closes this week.</w:t>
      </w:r>
    </w:p>
    <w:p>
      <w:pPr>
        <w:pStyle w:val="ListBullet"/>
      </w:pPr>
      <w:r>
        <w:rPr>
          <w:b w:val="0"/>
          <w:i w:val="0"/>
        </w:rPr>
        <w:t>The cl. 3.3 confirmation goes to Amara only when the store meets Schedule 1 (dry, weather-protected, 5–40 °C, RH below 60 % non-condensing, off the floor, dust-protected; humidity control where the store does not hold that) and it must name the store and the conditions held. The £45 per calendar day starts on that date. Until then the spare cannot be drawn into service, which matters while the refiner DTX-60 fault is with DriveTec.</w:t>
      </w:r>
    </w:p>
    <w:p>
      <w:pPr>
        <w:pStyle w:val="Heading2"/>
      </w:pPr>
      <w:r>
        <w:t>Not part of this position</w:t>
      </w:r>
    </w:p>
    <w:p>
      <w:pPr>
        <w:pStyle w:val="ListBullet"/>
      </w:pPr>
      <w:r>
        <w:rPr>
          <w:b w:val="0"/>
          <w:i w:val="0"/>
        </w:rPr>
        <w:t>Nothing sent to Amara today is a warranty claim. A claim on DTX60-2026-04477 goes in writing to DriveTec's warranty administration at Warwick (cl. 5.3), with the serial number, date and circumstances, and the event log, within ten Business Days of 08/06, i.e. by 08/20/2026. Her support log is not that claim.</w:t>
      </w:r>
    </w:p>
    <w:p>
      <w:pPr>
        <w:pStyle w:val="Heading2"/>
      </w:pPr>
      <w:r>
        <w:t>Actions</w:t>
      </w:r>
    </w:p>
    <w:tbl>
      <w:tblPr>
        <w:tblW w:type="dxa" w:w="9411"/>
        <w:jc w:val="center"/>
        <w:tblBorders>
          <w:top w:val="single" w:sz="4" w:space="0" w:color="8C9AAB"/>
          <w:left w:val="single" w:sz="4" w:space="0" w:color="8C9AAB"/>
          <w:bottom w:val="single" w:sz="4" w:space="0" w:color="8C9AAB"/>
          <w:right w:val="single" w:sz="4" w:space="0" w:color="8C9AAB"/>
          <w:insideH w:val="single" w:sz="4" w:space="0" w:color="8C9AAB"/>
          <w:insideV w:val="single" w:sz="4" w:space="0" w:color="8C9AAB"/>
        </w:tblBorders>
        <w:tblLayout w:type="fixed"/>
        <w:tblCellMar>
          <w:top w:w="50" w:type="dxa"/>
          <w:left w:w="90" w:type="dxa"/>
          <w:bottom w:w="50" w:type="dxa"/>
          <w:right w:w="90" w:type="dxa"/>
        </w:tblCellMar>
        <w:tblLook w:firstColumn="1" w:firstRow="1" w:lastColumn="0" w:lastRow="0" w:noHBand="0" w:noVBand="1" w:val="04A0"/>
      </w:tblPr>
      <w:tblGrid>
        <w:gridCol w:w="454"/>
        <w:gridCol w:w="6009"/>
        <w:gridCol w:w="1361"/>
        <w:gridCol w:w="1587"/>
      </w:tblGrid>
      <w:tr>
        <w:trPr>
          <w:cantSplit/>
          <w:tblHeader w:val="true"/>
        </w:trPr>
        <w:tc>
          <w:tcPr>
            <w:tcW w:type="dxa" w:w="454"/>
            <w:shd w:val="clear" w:color="auto" w:fill="DCE3EC"/>
            <w:vAlign w:val="top"/>
          </w:tcPr>
          <w:p>
            <w:pPr>
              <w:spacing w:after="20" w:line="240" w:lineRule="auto"/>
            </w:pPr>
            <w:r/>
            <w:r>
              <w:rPr>
                <w:b/>
                <w:i w:val="0"/>
                <w:sz w:val="19"/>
              </w:rPr>
              <w:t>#</w:t>
            </w:r>
          </w:p>
        </w:tc>
        <w:tc>
          <w:tcPr>
            <w:tcW w:type="dxa" w:w="6009"/>
            <w:shd w:val="clear" w:color="auto" w:fill="DCE3EC"/>
            <w:vAlign w:val="top"/>
          </w:tcPr>
          <w:p>
            <w:pPr>
              <w:spacing w:after="20" w:line="240" w:lineRule="auto"/>
            </w:pPr>
            <w:r/>
            <w:r>
              <w:rPr>
                <w:b/>
                <w:i w:val="0"/>
                <w:sz w:val="19"/>
              </w:rPr>
              <w:t>Action</w:t>
            </w:r>
          </w:p>
        </w:tc>
        <w:tc>
          <w:tcPr>
            <w:tcW w:type="dxa" w:w="1361"/>
            <w:shd w:val="clear" w:color="auto" w:fill="DCE3EC"/>
            <w:vAlign w:val="top"/>
          </w:tcPr>
          <w:p>
            <w:pPr>
              <w:spacing w:after="20" w:line="240" w:lineRule="auto"/>
            </w:pPr>
            <w:r/>
            <w:r>
              <w:rPr>
                <w:b/>
                <w:i w:val="0"/>
                <w:sz w:val="19"/>
              </w:rPr>
              <w:t>Owner</w:t>
            </w:r>
          </w:p>
        </w:tc>
        <w:tc>
          <w:tcPr>
            <w:tcW w:type="dxa" w:w="1587"/>
            <w:shd w:val="clear" w:color="auto" w:fill="DCE3EC"/>
            <w:vAlign w:val="top"/>
          </w:tcPr>
          <w:p>
            <w:pPr>
              <w:spacing w:after="20" w:line="240" w:lineRule="auto"/>
            </w:pPr>
            <w:r/>
            <w:r>
              <w:rPr>
                <w:b/>
                <w:i w:val="0"/>
                <w:sz w:val="19"/>
              </w:rPr>
              <w:t>By</w:t>
            </w:r>
          </w:p>
        </w:tc>
      </w:tr>
      <w:tr>
        <w:trPr>
          <w:cantSplit/>
        </w:trPr>
        <w:tc>
          <w:tcPr>
            <w:tcW w:type="dxa" w:w="454"/>
            <w:vAlign w:val="top"/>
          </w:tcPr>
          <w:p>
            <w:pPr>
              <w:spacing w:after="20" w:line="240" w:lineRule="auto"/>
            </w:pPr>
            <w:r/>
            <w:r>
              <w:rPr>
                <w:b w:val="0"/>
                <w:i w:val="0"/>
                <w:sz w:val="19"/>
              </w:rPr>
              <w:t>1</w:t>
            </w:r>
          </w:p>
        </w:tc>
        <w:tc>
          <w:tcPr>
            <w:tcW w:type="dxa" w:w="6009"/>
            <w:vAlign w:val="top"/>
          </w:tcPr>
          <w:p>
            <w:pPr>
              <w:spacing w:after="20" w:line="240" w:lineRule="auto"/>
            </w:pPr>
            <w:r/>
            <w:r>
              <w:rPr>
                <w:b w:val="0"/>
                <w:i w:val="0"/>
                <w:sz w:val="19"/>
              </w:rPr>
              <w:t>Send Section 2 with Section 1 attached; file the sent e-mail and Amara's acknowledgement with this note.</w:t>
            </w:r>
          </w:p>
        </w:tc>
        <w:tc>
          <w:tcPr>
            <w:tcW w:type="dxa" w:w="1361"/>
            <w:vAlign w:val="top"/>
          </w:tcPr>
          <w:p>
            <w:pPr>
              <w:spacing w:after="20" w:line="240" w:lineRule="auto"/>
            </w:pPr>
            <w:r/>
            <w:r>
              <w:rPr>
                <w:b w:val="0"/>
                <w:i w:val="0"/>
                <w:sz w:val="19"/>
              </w:rPr>
              <w:t>RJ</w:t>
            </w:r>
          </w:p>
        </w:tc>
        <w:tc>
          <w:tcPr>
            <w:tcW w:type="dxa" w:w="1587"/>
            <w:vAlign w:val="top"/>
          </w:tcPr>
          <w:p>
            <w:pPr>
              <w:spacing w:after="20" w:line="240" w:lineRule="auto"/>
            </w:pPr>
            <w:r/>
            <w:r>
              <w:rPr>
                <w:b w:val="0"/>
                <w:i w:val="0"/>
                <w:sz w:val="19"/>
              </w:rPr>
              <w:t>08/07, 16:00 UK</w:t>
            </w:r>
          </w:p>
        </w:tc>
      </w:tr>
      <w:tr>
        <w:trPr>
          <w:cantSplit/>
        </w:trPr>
        <w:tc>
          <w:tcPr>
            <w:tcW w:type="dxa" w:w="454"/>
            <w:vAlign w:val="top"/>
          </w:tcPr>
          <w:p>
            <w:pPr>
              <w:spacing w:after="20" w:line="240" w:lineRule="auto"/>
            </w:pPr>
            <w:r/>
            <w:r>
              <w:rPr>
                <w:b w:val="0"/>
                <w:i w:val="0"/>
                <w:sz w:val="19"/>
              </w:rPr>
              <w:t>2</w:t>
            </w:r>
          </w:p>
        </w:tc>
        <w:tc>
          <w:tcPr>
            <w:tcW w:type="dxa" w:w="6009"/>
            <w:vAlign w:val="top"/>
          </w:tcPr>
          <w:p>
            <w:pPr>
              <w:spacing w:after="20" w:line="240" w:lineRule="auto"/>
            </w:pPr>
            <w:r/>
            <w:r>
              <w:rPr>
                <w:b w:val="0"/>
                <w:i w:val="0"/>
                <w:sz w:val="19"/>
              </w:rPr>
              <w:t>Brief Callan: Amara is called off 08/10–08/14 only; only RJ calls off; no weekend support without RJ's written call-off and a PO.</w:t>
            </w:r>
          </w:p>
        </w:tc>
        <w:tc>
          <w:tcPr>
            <w:tcW w:type="dxa" w:w="1361"/>
            <w:vAlign w:val="top"/>
          </w:tcPr>
          <w:p>
            <w:pPr>
              <w:spacing w:after="20" w:line="240" w:lineRule="auto"/>
            </w:pPr>
            <w:r/>
            <w:r>
              <w:rPr>
                <w:b w:val="0"/>
                <w:i w:val="0"/>
                <w:sz w:val="19"/>
              </w:rPr>
              <w:t>RJ</w:t>
            </w:r>
          </w:p>
        </w:tc>
        <w:tc>
          <w:tcPr>
            <w:tcW w:type="dxa" w:w="1587"/>
            <w:vAlign w:val="top"/>
          </w:tcPr>
          <w:p>
            <w:pPr>
              <w:spacing w:after="20" w:line="240" w:lineRule="auto"/>
            </w:pPr>
            <w:r/>
            <w:r>
              <w:rPr>
                <w:b w:val="0"/>
                <w:i w:val="0"/>
                <w:sz w:val="19"/>
              </w:rPr>
              <w:t>08/07</w:t>
            </w:r>
          </w:p>
        </w:tc>
      </w:tr>
      <w:tr>
        <w:trPr>
          <w:cantSplit/>
        </w:trPr>
        <w:tc>
          <w:tcPr>
            <w:tcW w:type="dxa" w:w="454"/>
            <w:vAlign w:val="top"/>
          </w:tcPr>
          <w:p>
            <w:pPr>
              <w:spacing w:after="20" w:line="240" w:lineRule="auto"/>
            </w:pPr>
            <w:r/>
            <w:r>
              <w:rPr>
                <w:b w:val="0"/>
                <w:i w:val="0"/>
                <w:sz w:val="19"/>
              </w:rPr>
              <w:t>3</w:t>
            </w:r>
          </w:p>
        </w:tc>
        <w:tc>
          <w:tcPr>
            <w:tcW w:type="dxa" w:w="6009"/>
            <w:vAlign w:val="top"/>
          </w:tcPr>
          <w:p>
            <w:pPr>
              <w:spacing w:after="20" w:line="240" w:lineRule="auto"/>
            </w:pPr>
            <w:r/>
            <w:r>
              <w:rPr>
                <w:b w:val="0"/>
                <w:i w:val="0"/>
                <w:sz w:val="19"/>
              </w:rPr>
              <w:t>Tell Grainne no PO is needed.</w:t>
            </w:r>
          </w:p>
        </w:tc>
        <w:tc>
          <w:tcPr>
            <w:tcW w:type="dxa" w:w="1361"/>
            <w:vAlign w:val="top"/>
          </w:tcPr>
          <w:p>
            <w:pPr>
              <w:spacing w:after="20" w:line="240" w:lineRule="auto"/>
            </w:pPr>
            <w:r/>
            <w:r>
              <w:rPr>
                <w:b w:val="0"/>
                <w:i w:val="0"/>
                <w:sz w:val="19"/>
              </w:rPr>
              <w:t>RJ</w:t>
            </w:r>
          </w:p>
        </w:tc>
        <w:tc>
          <w:tcPr>
            <w:tcW w:type="dxa" w:w="1587"/>
            <w:vAlign w:val="top"/>
          </w:tcPr>
          <w:p>
            <w:pPr>
              <w:spacing w:after="20" w:line="240" w:lineRule="auto"/>
            </w:pPr>
            <w:r/>
            <w:r>
              <w:rPr>
                <w:b w:val="0"/>
                <w:i w:val="0"/>
                <w:sz w:val="19"/>
              </w:rPr>
              <w:t>08/07</w:t>
            </w:r>
          </w:p>
        </w:tc>
      </w:tr>
      <w:tr>
        <w:trPr>
          <w:cantSplit/>
        </w:trPr>
        <w:tc>
          <w:tcPr>
            <w:tcW w:type="dxa" w:w="454"/>
            <w:vAlign w:val="top"/>
          </w:tcPr>
          <w:p>
            <w:pPr>
              <w:spacing w:after="20" w:line="240" w:lineRule="auto"/>
            </w:pPr>
            <w:r/>
            <w:r>
              <w:rPr>
                <w:b w:val="0"/>
                <w:i w:val="0"/>
                <w:sz w:val="19"/>
              </w:rPr>
              <w:t>4</w:t>
            </w:r>
          </w:p>
        </w:tc>
        <w:tc>
          <w:tcPr>
            <w:tcW w:type="dxa" w:w="6009"/>
            <w:vAlign w:val="top"/>
          </w:tcPr>
          <w:p>
            <w:pPr>
              <w:spacing w:after="20" w:line="240" w:lineRule="auto"/>
            </w:pPr>
            <w:r/>
            <w:r>
              <w:rPr>
                <w:b w:val="0"/>
                <w:i w:val="0"/>
                <w:sz w:val="19"/>
              </w:rPr>
              <w:t>Close RFI-033; give the cl. 3.3 confirmation once the store meets Schedule 1.</w:t>
            </w:r>
          </w:p>
        </w:tc>
        <w:tc>
          <w:tcPr>
            <w:tcW w:type="dxa" w:w="1361"/>
            <w:vAlign w:val="top"/>
          </w:tcPr>
          <w:p>
            <w:pPr>
              <w:spacing w:after="20" w:line="240" w:lineRule="auto"/>
            </w:pPr>
            <w:r/>
            <w:r>
              <w:rPr>
                <w:b w:val="0"/>
                <w:i w:val="0"/>
                <w:sz w:val="19"/>
              </w:rPr>
              <w:t>RJ / T. Hollis</w:t>
            </w:r>
          </w:p>
        </w:tc>
        <w:tc>
          <w:tcPr>
            <w:tcW w:type="dxa" w:w="1587"/>
            <w:vAlign w:val="top"/>
          </w:tcPr>
          <w:p>
            <w:pPr>
              <w:spacing w:after="20" w:line="240" w:lineRule="auto"/>
            </w:pPr>
            <w:r/>
            <w:r>
              <w:rPr>
                <w:b w:val="0"/>
                <w:i w:val="0"/>
                <w:sz w:val="19"/>
              </w:rPr>
              <w:t>08/14</w:t>
            </w:r>
          </w:p>
        </w:tc>
      </w:tr>
      <w:tr>
        <w:trPr>
          <w:cantSplit/>
        </w:trPr>
        <w:tc>
          <w:tcPr>
            <w:tcW w:type="dxa" w:w="454"/>
            <w:vAlign w:val="top"/>
          </w:tcPr>
          <w:p>
            <w:pPr>
              <w:spacing w:after="20" w:line="240" w:lineRule="auto"/>
            </w:pPr>
            <w:r/>
            <w:r>
              <w:rPr>
                <w:b w:val="0"/>
                <w:i w:val="0"/>
                <w:sz w:val="19"/>
              </w:rPr>
              <w:t>5</w:t>
            </w:r>
          </w:p>
        </w:tc>
        <w:tc>
          <w:tcPr>
            <w:tcW w:type="dxa" w:w="6009"/>
            <w:vAlign w:val="top"/>
          </w:tcPr>
          <w:p>
            <w:pPr>
              <w:spacing w:after="20" w:line="240" w:lineRule="auto"/>
            </w:pPr>
            <w:r/>
            <w:r>
              <w:rPr>
                <w:b w:val="0"/>
                <w:i w:val="0"/>
                <w:sz w:val="19"/>
              </w:rPr>
              <w:t>If any support is needed from Monday 08/17: PO first, then call-off e-mailed before 16:00 UK on 08/14.</w:t>
            </w:r>
          </w:p>
        </w:tc>
        <w:tc>
          <w:tcPr>
            <w:tcW w:type="dxa" w:w="1361"/>
            <w:vAlign w:val="top"/>
          </w:tcPr>
          <w:p>
            <w:pPr>
              <w:spacing w:after="20" w:line="240" w:lineRule="auto"/>
            </w:pPr>
            <w:r/>
            <w:r>
              <w:rPr>
                <w:b w:val="0"/>
                <w:i w:val="0"/>
                <w:sz w:val="19"/>
              </w:rPr>
              <w:t>RJ</w:t>
            </w:r>
          </w:p>
        </w:tc>
        <w:tc>
          <w:tcPr>
            <w:tcW w:type="dxa" w:w="1587"/>
            <w:vAlign w:val="top"/>
          </w:tcPr>
          <w:p>
            <w:pPr>
              <w:spacing w:after="20" w:line="240" w:lineRule="auto"/>
            </w:pPr>
            <w:r/>
            <w:r>
              <w:rPr>
                <w:b w:val="0"/>
                <w:i w:val="0"/>
                <w:sz w:val="19"/>
              </w:rPr>
              <w:t>08/14</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Marlden Panel Products Ltd · DriveTec Support Day Position · DTX-SSA-2026-118 · 08/07/2026 · Page </w:t>
    </w:r>
    <w:r>
      <w:rPr>
        <w:color w:val="555555"/>
        <w:sz w:val="16"/>
      </w:rPr>
      <w:fldChar w:fldCharType="begin"/>
      <w:instrText xml:space="preserve">PAGE</w:instrText>
      <w:fldChar w:fldCharType="separate"/>
      <w:t>1</w:t>
      <w:fldChar w:fldCharType="end"/>
    </w:r>
    <w:r>
      <w:rPr>
        <w:color w:val="555555"/>
        <w:sz w:val="16"/>
      </w:rPr>
      <w:t xml:space="preserve"> of </w:t>
    </w:r>
    <w:r>
      <w:rPr>
        <w:color w:val="555555"/>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DriveTec Support Day Position</dc:title>
  <dc:subject>Response to DTX-SS-2026-0442; call-off of Support Days 08/10–08/14/2026; file note</dc:subject>
  <dc:creator>R. James, Lead Electrical Engineer, Marlden Panel Products Ltd</dc:creator>
  <cp:keywords>PROJ-L2VFD-2026; DTX-SSA-2026-118; DTX-SS-2026-0442; Support Days</cp:keywords>
  <dc:description>generated by python-docx</dc:description>
  <cp:lastModifiedBy/>
  <cp:revision>1</cp:revision>
  <dcterms:created xsi:type="dcterms:W3CDTF">2013-12-23T23:15:00Z</dcterms:created>
  <dcterms:modified xsi:type="dcterms:W3CDTF">2013-12-23T23:15:00Z</dcterms:modified>
  <cp:category/>
</cp:coreProperties>
</file>