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0"/>
      </w:pPr>
      <w:r>
        <w:rPr>
          <w:b/>
          <w:i w:val="0"/>
          <w:color w:val="1C355E"/>
          <w:sz w:val="30"/>
        </w:rPr>
        <w:t>MEMORANDUM</w:t>
      </w:r>
    </w:p>
    <w:tbl>
      <w:tblPr>
        <w:tblW w:type="dxa" w:w="9360"/>
        <w:tblBorders>
          <w:top w:val="nil"/>
          <w:left w:val="nil"/>
          <w:bottom w:val="nil"/>
          <w:right w:val="nil"/>
          <w:insideH w:val="nil"/>
          <w:insideV w:val="nil"/>
        </w:tblBorders>
        <w:tblLayout w:type="fixed"/>
        <w:tblCellMar>
          <w:top w:w="20" w:type="dxa"/>
          <w:left w:w="0" w:type="dxa"/>
          <w:bottom w:w="20" w:type="dxa"/>
          <w:right w:w="60" w:type="dxa"/>
        </w:tblCellMar>
        <w:tblLook w:firstColumn="1" w:firstRow="1" w:lastColumn="0" w:lastRow="0" w:noHBand="0" w:noVBand="1" w:val="04A0"/>
      </w:tblPr>
      <w:tblGrid>
        <w:gridCol w:w="1080"/>
        <w:gridCol w:w="8280"/>
      </w:tblGrid>
      <w:tr>
        <w:tc>
          <w:tcPr>
            <w:tcW w:type="dxa" w:w="1080"/>
          </w:tcPr>
          <w:p>
            <w:pPr>
              <w:spacing w:after="40"/>
            </w:pPr>
            <w:r/>
            <w:r>
              <w:rPr>
                <w:b/>
                <w:color w:val="1C355E"/>
              </w:rPr>
              <w:t>TO:</w:t>
            </w:r>
          </w:p>
        </w:tc>
        <w:tc>
          <w:tcPr>
            <w:tcW w:type="dxa" w:w="8280"/>
          </w:tcPr>
          <w:p>
            <w:pPr>
              <w:spacing w:after="40"/>
            </w:pPr>
            <w:r/>
            <w:r>
              <w:t>Sam DeLuca, PE — City Engineer, City of Milbrook</w:t>
            </w:r>
          </w:p>
        </w:tc>
      </w:tr>
      <w:tr>
        <w:tc>
          <w:tcPr>
            <w:tcW w:type="dxa" w:w="1080"/>
          </w:tcPr>
          <w:p>
            <w:pPr>
              <w:spacing w:after="40"/>
            </w:pPr>
            <w:r/>
            <w:r>
              <w:rPr>
                <w:b/>
                <w:color w:val="1C355E"/>
              </w:rPr>
              <w:t>FROM:</w:t>
            </w:r>
          </w:p>
        </w:tc>
        <w:tc>
          <w:tcPr>
            <w:tcW w:type="dxa" w:w="8280"/>
          </w:tcPr>
          <w:p>
            <w:pPr>
              <w:spacing w:after="40"/>
            </w:pPr>
            <w:r/>
            <w:r>
              <w:t>Marcus Okafor, PE — Project Manager, Larkspur Civil Group, Inc.</w:t>
            </w:r>
          </w:p>
        </w:tc>
      </w:tr>
      <w:tr>
        <w:tc>
          <w:tcPr>
            <w:tcW w:type="dxa" w:w="1080"/>
          </w:tcPr>
          <w:p>
            <w:pPr>
              <w:spacing w:after="40"/>
            </w:pPr>
            <w:r/>
            <w:r>
              <w:rPr>
                <w:b/>
                <w:color w:val="1C355E"/>
              </w:rPr>
              <w:t>CC:</w:t>
            </w:r>
          </w:p>
        </w:tc>
        <w:tc>
          <w:tcPr>
            <w:tcW w:type="dxa" w:w="8280"/>
          </w:tcPr>
          <w:p>
            <w:pPr>
              <w:spacing w:after="40"/>
            </w:pPr>
            <w:r/>
            <w:r>
              <w:t>Elena Vasquez, PE — Principal-in-Charge; Janet Kolb — Contracts Administrator</w:t>
            </w:r>
          </w:p>
        </w:tc>
      </w:tr>
      <w:tr>
        <w:tc>
          <w:tcPr>
            <w:tcW w:type="dxa" w:w="1080"/>
          </w:tcPr>
          <w:p>
            <w:pPr>
              <w:spacing w:after="40"/>
            </w:pPr>
            <w:r/>
            <w:r>
              <w:rPr>
                <w:b/>
                <w:color w:val="1C355E"/>
              </w:rPr>
              <w:t>DATE:</w:t>
            </w:r>
          </w:p>
        </w:tc>
        <w:tc>
          <w:tcPr>
            <w:tcW w:type="dxa" w:w="8280"/>
          </w:tcPr>
          <w:p>
            <w:pPr>
              <w:spacing w:after="40"/>
            </w:pPr>
            <w:r/>
            <w:r>
              <w:t>May 15, 2026</w:t>
            </w:r>
          </w:p>
        </w:tc>
      </w:tr>
      <w:tr>
        <w:tc>
          <w:tcPr>
            <w:tcW w:type="dxa" w:w="1080"/>
          </w:tcPr>
          <w:p>
            <w:pPr>
              <w:spacing w:after="40"/>
            </w:pPr>
            <w:r/>
            <w:r>
              <w:rPr>
                <w:b/>
                <w:color w:val="1C355E"/>
              </w:rPr>
              <w:t>RE:</w:t>
            </w:r>
          </w:p>
        </w:tc>
        <w:tc>
          <w:tcPr>
            <w:tcW w:type="dxa" w:w="8280"/>
          </w:tcPr>
          <w:p>
            <w:pPr>
              <w:spacing w:after="40"/>
            </w:pPr>
            <w:r/>
            <w:r>
              <w:rPr>
                <w:b/>
              </w:rPr>
              <w:t>WP-2401 Wren Parkway Widening &amp; Pecan Creek Bridge Replacement (Federal-Aid STP 2024(041) MK) — CEI fee position against the lump-sum ceiling, for the May 27, 2026 Council package</w:t>
            </w:r>
          </w:p>
        </w:tc>
      </w:tr>
    </w:tbl>
    <w:p>
      <w:pPr>
        <w:pBdr>
          <w:bottom w:val="single" w:sz="8" w:space="1" w:color="1C355E"/>
        </w:pBdr>
        <w:spacing w:after="80"/>
      </w:pPr>
    </w:p>
    <w:p>
      <w:pPr>
        <w:keepNext/>
        <w:spacing w:before="200" w:after="80"/>
      </w:pPr>
      <w:r>
        <w:rPr>
          <w:b/>
          <w:color w:val="1C355E"/>
          <w:sz w:val="23"/>
        </w:rPr>
        <w:t>1.  Summary</w:t>
      </w:r>
    </w:p>
    <w:p>
      <w:pPr>
        <w:spacing w:after="80"/>
      </w:pPr>
      <w:r>
        <w:rPr>
          <w:b w:val="0"/>
          <w:i w:val="0"/>
        </w:rPr>
        <w:t>You asked for our fee position on the CEI assignment as a whole before the package goes to Council. In short:</w:t>
      </w:r>
    </w:p>
    <w:p>
      <w:pPr>
        <w:pStyle w:val="ListBullet"/>
      </w:pPr>
      <w:r>
        <w:rPr>
          <w:b/>
          <w:i w:val="0"/>
        </w:rPr>
        <w:t xml:space="preserve">Our 2026 invoices do not show it. </w:t>
      </w:r>
      <w:r>
        <w:rPr>
          <w:b w:val="0"/>
          <w:i w:val="0"/>
        </w:rPr>
        <w:t>Their “cumulative billed,” “remaining ceiling” and “% of ceiling” lines count only invoices issued since January 1, 2026. Nothing billed from Notice to Proceed (January 6, 2025) through December 2025 is carried forward. The $359,140 “remaining” and 52.9% “burn” on the April invoice, and the “$190,460 (25.0% of fee)” I gave Council on March 25, all understate what has been billed against the ceiling. I reviewed and approved each of those invoices; the error is ours.</w:t>
      </w:r>
    </w:p>
    <w:p>
      <w:pPr>
        <w:pStyle w:val="ListBullet"/>
      </w:pPr>
      <w:r>
        <w:rPr>
          <w:b/>
          <w:i w:val="0"/>
        </w:rPr>
        <w:t xml:space="preserve">2026 alone has used 52.9% of the ceiling for the whole assignment. </w:t>
      </w:r>
      <w:r>
        <w:rPr>
          <w:b w:val="0"/>
          <w:i w:val="0"/>
        </w:rPr>
        <w:t>The four 2026 invoices total $402,660 against the $761,800 lump sum. Room remains only if our 2025 billing came to less than $359,140, under about $29,900 a month. That is below the lump sum’s own level-effort value and less than a third of our 2026 monthly billing. After a full year of daily inspection in 2025, cumulative billing has almost certainly passed the ceiling already. The reconciliation now under way will fix the amount.</w:t>
      </w:r>
    </w:p>
    <w:p>
      <w:pPr>
        <w:pStyle w:val="ListBullet"/>
      </w:pPr>
      <w:r>
        <w:rPr>
          <w:b/>
          <w:i w:val="0"/>
        </w:rPr>
        <w:t xml:space="preserve">There is no headroom for the extended contract time. </w:t>
      </w:r>
      <w:r>
        <w:rPr>
          <w:b w:val="0"/>
          <w:i w:val="0"/>
        </w:rPr>
        <w:t>Even with no 2025 billing at all, the January–April rate would use up the $359,140 by mid-August 2026, before the original September 4 completion date.</w:t>
      </w:r>
    </w:p>
    <w:p>
      <w:pPr>
        <w:pStyle w:val="ListBullet"/>
      </w:pPr>
      <w:r>
        <w:rPr>
          <w:b/>
          <w:i w:val="0"/>
        </w:rPr>
        <w:t xml:space="preserve">The base-scope overrun is Larkspur’s. </w:t>
      </w:r>
      <w:r>
        <w:rPr>
          <w:b w:val="0"/>
          <w:i w:val="0"/>
        </w:rPr>
        <w:t>We will not ask the City to pay it, directly or through an amendment. We will stop billing base-scope services at $761,800 cumulative, return anything billed above that, and keep the committed team in place.</w:t>
      </w:r>
    </w:p>
    <w:p>
      <w:pPr>
        <w:pStyle w:val="ListBullet"/>
      </w:pPr>
      <w:r>
        <w:rPr>
          <w:b/>
          <w:i w:val="0"/>
        </w:rPr>
        <w:t xml:space="preserve">What we can properly put to the City: </w:t>
      </w:r>
      <w:r>
        <w:rPr>
          <w:b w:val="0"/>
          <w:i w:val="0"/>
        </w:rPr>
        <w:t>(1) a corrected fee statement covering every CEI invoice since NTP, and (2) a prospective amendment limited to CEI services for the 77 days of executed time extension (CO-03 and CO-06), September 5 – November 20, 2026. Nothing for the base-scope overrun, nothing retroactive, and no claim-support fee.</w:t>
      </w:r>
    </w:p>
    <w:p>
      <w:pPr>
        <w:keepNext/>
        <w:spacing w:before="200" w:after="80"/>
      </w:pPr>
      <w:r>
        <w:rPr>
          <w:b/>
          <w:color w:val="1C355E"/>
          <w:sz w:val="23"/>
        </w:rPr>
        <w:t>2.  What the 2026 invoices show, and what they leave out</w:t>
      </w:r>
    </w:p>
    <w:p>
      <w:pPr>
        <w:keepNext/>
        <w:spacing w:before="120" w:after="60"/>
      </w:pPr>
      <w:r>
        <w:rPr>
          <w:b/>
          <w:color w:val="1C355E"/>
          <w:sz w:val="19"/>
        </w:rPr>
        <w:t>Table 1.  CEI billing on the 2026 invoices, as issued</w:t>
      </w:r>
    </w:p>
    <w:tbl>
      <w:tblPr>
        <w:tblW w:type="dxa" w:w="9360"/>
        <w:jc w:val="center"/>
        <w:tblBorders>
          <w:top w:val="single" w:sz="4" w:color="A6ADB8"/>
          <w:left w:val="single" w:sz="4" w:color="A6ADB8"/>
          <w:bottom w:val="single" w:sz="4" w:color="A6ADB8"/>
          <w:right w:val="single" w:sz="4" w:color="A6ADB8"/>
          <w:insideH w:val="single" w:sz="4" w:color="A6ADB8"/>
          <w:insideV w:val="single" w:sz="4" w:color="A6ADB8"/>
        </w:tblBorders>
        <w:tblLayout w:type="fixed"/>
        <w:tblCellMar>
          <w:top w:w="50" w:type="dxa"/>
          <w:left w:w="80" w:type="dxa"/>
          <w:bottom w:w="50" w:type="dxa"/>
          <w:right w:w="80" w:type="dxa"/>
        </w:tblCellMar>
        <w:tblLook w:firstColumn="1" w:firstRow="1" w:lastColumn="0" w:lastRow="0" w:noHBand="0" w:noVBand="1" w:val="04A0"/>
      </w:tblPr>
      <w:tblGrid>
        <w:gridCol w:w="2304"/>
        <w:gridCol w:w="1008"/>
        <w:gridCol w:w="1080"/>
        <w:gridCol w:w="936"/>
        <w:gridCol w:w="1152"/>
        <w:gridCol w:w="1440"/>
        <w:gridCol w:w="1440"/>
      </w:tblGrid>
      <w:tr>
        <w:trPr>
          <w:cantSplit/>
          <w:tblHeader/>
        </w:trPr>
        <w:tc>
          <w:tcPr>
            <w:tcW w:type="dxa" w:w="2304"/>
            <w:shd w:val="clear" w:color="auto" w:fill="1C355E"/>
            <w:vAlign w:val="center"/>
          </w:tcPr>
          <w:p>
            <w:pPr>
              <w:keepNext/>
              <w:spacing w:after="0" w:line="240" w:lineRule="auto"/>
            </w:pPr>
            <w:r>
              <w:rPr>
                <w:b/>
                <w:color w:val="FFFFFF"/>
              </w:rPr>
            </w:r>
            <w:r>
              <w:rPr>
                <w:b/>
                <w:color w:val="FFFFFF"/>
                <w:sz w:val="17"/>
              </w:rPr>
              <w:t>Invoice</w:t>
            </w:r>
          </w:p>
        </w:tc>
        <w:tc>
          <w:tcPr>
            <w:tcW w:type="dxa" w:w="1008"/>
            <w:shd w:val="clear" w:color="auto" w:fill="1C355E"/>
            <w:vAlign w:val="center"/>
          </w:tcPr>
          <w:p>
            <w:pPr>
              <w:keepNext/>
              <w:spacing w:after="0" w:line="240" w:lineRule="auto"/>
            </w:pPr>
            <w:r>
              <w:rPr>
                <w:b/>
                <w:color w:val="FFFFFF"/>
              </w:rPr>
            </w:r>
            <w:r>
              <w:rPr>
                <w:b/>
                <w:color w:val="FFFFFF"/>
                <w:sz w:val="17"/>
              </w:rPr>
              <w:t>Period</w:t>
            </w:r>
          </w:p>
        </w:tc>
        <w:tc>
          <w:tcPr>
            <w:tcW w:type="dxa" w:w="1080"/>
            <w:shd w:val="clear" w:color="auto" w:fill="1C355E"/>
            <w:vAlign w:val="center"/>
          </w:tcPr>
          <w:p>
            <w:pPr>
              <w:keepNext/>
              <w:spacing w:after="0" w:line="240" w:lineRule="auto"/>
              <w:jc w:val="right"/>
            </w:pPr>
            <w:r>
              <w:rPr>
                <w:b/>
                <w:color w:val="FFFFFF"/>
              </w:rPr>
            </w:r>
            <w:r>
              <w:rPr>
                <w:b/>
                <w:color w:val="FFFFFF"/>
                <w:sz w:val="17"/>
              </w:rPr>
              <w:t>Labor</w:t>
            </w:r>
          </w:p>
        </w:tc>
        <w:tc>
          <w:tcPr>
            <w:tcW w:type="dxa" w:w="936"/>
            <w:shd w:val="clear" w:color="auto" w:fill="1C355E"/>
            <w:vAlign w:val="center"/>
          </w:tcPr>
          <w:p>
            <w:pPr>
              <w:keepNext/>
              <w:spacing w:after="0" w:line="240" w:lineRule="auto"/>
              <w:jc w:val="right"/>
            </w:pPr>
            <w:r>
              <w:rPr>
                <w:b/>
                <w:color w:val="FFFFFF"/>
              </w:rPr>
            </w:r>
            <w:r>
              <w:rPr>
                <w:b/>
                <w:color w:val="FFFFFF"/>
                <w:sz w:val="17"/>
              </w:rPr>
              <w:t>Reimb.</w:t>
            </w:r>
          </w:p>
        </w:tc>
        <w:tc>
          <w:tcPr>
            <w:tcW w:type="dxa" w:w="1152"/>
            <w:shd w:val="clear" w:color="auto" w:fill="1C355E"/>
            <w:vAlign w:val="center"/>
          </w:tcPr>
          <w:p>
            <w:pPr>
              <w:keepNext/>
              <w:spacing w:after="0" w:line="240" w:lineRule="auto"/>
              <w:jc w:val="right"/>
            </w:pPr>
            <w:r>
              <w:rPr>
                <w:b/>
                <w:color w:val="FFFFFF"/>
              </w:rPr>
            </w:r>
            <w:r>
              <w:rPr>
                <w:b/>
                <w:color w:val="FFFFFF"/>
                <w:sz w:val="17"/>
              </w:rPr>
              <w:t>Total</w:t>
            </w:r>
          </w:p>
        </w:tc>
        <w:tc>
          <w:tcPr>
            <w:tcW w:type="dxa" w:w="1440"/>
            <w:shd w:val="clear" w:color="auto" w:fill="1C355E"/>
            <w:vAlign w:val="center"/>
          </w:tcPr>
          <w:p>
            <w:pPr>
              <w:keepNext/>
              <w:spacing w:after="0" w:line="240" w:lineRule="auto"/>
              <w:jc w:val="right"/>
            </w:pPr>
            <w:r>
              <w:rPr>
                <w:b/>
                <w:color w:val="FFFFFF"/>
              </w:rPr>
            </w:r>
            <w:r>
              <w:rPr>
                <w:b/>
                <w:color w:val="FFFFFF"/>
                <w:sz w:val="17"/>
              </w:rPr>
              <w:t>“Cumulative” shown</w:t>
            </w:r>
          </w:p>
        </w:tc>
        <w:tc>
          <w:tcPr>
            <w:tcW w:type="dxa" w:w="1440"/>
            <w:shd w:val="clear" w:color="auto" w:fill="1C355E"/>
            <w:vAlign w:val="center"/>
          </w:tcPr>
          <w:p>
            <w:pPr>
              <w:keepNext/>
              <w:spacing w:after="0" w:line="240" w:lineRule="auto"/>
              <w:jc w:val="right"/>
            </w:pPr>
            <w:r>
              <w:rPr>
                <w:b/>
                <w:color w:val="FFFFFF"/>
              </w:rPr>
            </w:r>
            <w:r>
              <w:rPr>
                <w:b/>
                <w:color w:val="FFFFFF"/>
                <w:sz w:val="17"/>
              </w:rPr>
              <w:t>“% of ceiling” shown</w:t>
            </w:r>
          </w:p>
        </w:tc>
      </w:tr>
      <w:tr>
        <w:trPr>
          <w:cantSplit/>
        </w:trPr>
        <w:tc>
          <w:tcPr>
            <w:tcW w:type="dxa" w:w="2304"/>
            <w:vAlign w:val="center"/>
          </w:tcPr>
          <w:p>
            <w:pPr>
              <w:keepNext/>
              <w:spacing w:after="0" w:line="240" w:lineRule="auto"/>
            </w:pPr>
            <w:r/>
            <w:r>
              <w:rPr>
                <w:sz w:val="17"/>
              </w:rPr>
              <w:t>LCG-CEI-2401-2026-01</w:t>
            </w:r>
          </w:p>
        </w:tc>
        <w:tc>
          <w:tcPr>
            <w:tcW w:type="dxa" w:w="1008"/>
            <w:vAlign w:val="center"/>
          </w:tcPr>
          <w:p>
            <w:pPr>
              <w:keepNext/>
              <w:spacing w:after="0" w:line="240" w:lineRule="auto"/>
            </w:pPr>
            <w:r/>
            <w:r>
              <w:rPr>
                <w:sz w:val="17"/>
              </w:rPr>
              <w:t>Jan 2026</w:t>
            </w:r>
          </w:p>
        </w:tc>
        <w:tc>
          <w:tcPr>
            <w:tcW w:type="dxa" w:w="1080"/>
            <w:vAlign w:val="center"/>
          </w:tcPr>
          <w:p>
            <w:pPr>
              <w:keepNext/>
              <w:spacing w:after="0" w:line="240" w:lineRule="auto"/>
              <w:jc w:val="right"/>
            </w:pPr>
            <w:r/>
            <w:r>
              <w:rPr>
                <w:sz w:val="17"/>
              </w:rPr>
              <w:t>$84,060</w:t>
            </w:r>
          </w:p>
        </w:tc>
        <w:tc>
          <w:tcPr>
            <w:tcW w:type="dxa" w:w="936"/>
            <w:vAlign w:val="center"/>
          </w:tcPr>
          <w:p>
            <w:pPr>
              <w:keepNext/>
              <w:spacing w:after="0" w:line="240" w:lineRule="auto"/>
              <w:jc w:val="right"/>
            </w:pPr>
            <w:r/>
            <w:r>
              <w:rPr>
                <w:sz w:val="17"/>
              </w:rPr>
              <w:t>$4,060</w:t>
            </w:r>
          </w:p>
        </w:tc>
        <w:tc>
          <w:tcPr>
            <w:tcW w:type="dxa" w:w="1152"/>
            <w:vAlign w:val="center"/>
          </w:tcPr>
          <w:p>
            <w:pPr>
              <w:keepNext/>
              <w:spacing w:after="0" w:line="240" w:lineRule="auto"/>
              <w:jc w:val="right"/>
            </w:pPr>
            <w:r/>
            <w:r>
              <w:rPr>
                <w:sz w:val="17"/>
              </w:rPr>
              <w:t>$88,120</w:t>
            </w:r>
          </w:p>
        </w:tc>
        <w:tc>
          <w:tcPr>
            <w:tcW w:type="dxa" w:w="1440"/>
            <w:vAlign w:val="center"/>
          </w:tcPr>
          <w:p>
            <w:pPr>
              <w:keepNext/>
              <w:spacing w:after="0" w:line="240" w:lineRule="auto"/>
              <w:jc w:val="right"/>
            </w:pPr>
            <w:r/>
            <w:r>
              <w:rPr>
                <w:sz w:val="17"/>
              </w:rPr>
              <w:t>$88,120</w:t>
            </w:r>
          </w:p>
        </w:tc>
        <w:tc>
          <w:tcPr>
            <w:tcW w:type="dxa" w:w="1440"/>
            <w:vAlign w:val="center"/>
          </w:tcPr>
          <w:p>
            <w:pPr>
              <w:keepNext/>
              <w:spacing w:after="0" w:line="240" w:lineRule="auto"/>
              <w:jc w:val="right"/>
            </w:pPr>
            <w:r/>
            <w:r>
              <w:rPr>
                <w:sz w:val="17"/>
              </w:rPr>
              <w:t>11.6%</w:t>
            </w:r>
          </w:p>
        </w:tc>
      </w:tr>
      <w:tr>
        <w:trPr>
          <w:cantSplit/>
        </w:trPr>
        <w:tc>
          <w:tcPr>
            <w:tcW w:type="dxa" w:w="2304"/>
            <w:vAlign w:val="center"/>
          </w:tcPr>
          <w:p>
            <w:pPr>
              <w:keepNext/>
              <w:spacing w:after="0" w:line="240" w:lineRule="auto"/>
            </w:pPr>
            <w:r/>
            <w:r>
              <w:rPr>
                <w:sz w:val="17"/>
              </w:rPr>
              <w:t>LCG-CEI-2401-2026-02</w:t>
            </w:r>
          </w:p>
        </w:tc>
        <w:tc>
          <w:tcPr>
            <w:tcW w:type="dxa" w:w="1008"/>
            <w:vAlign w:val="center"/>
          </w:tcPr>
          <w:p>
            <w:pPr>
              <w:keepNext/>
              <w:spacing w:after="0" w:line="240" w:lineRule="auto"/>
            </w:pPr>
            <w:r/>
            <w:r>
              <w:rPr>
                <w:sz w:val="17"/>
              </w:rPr>
              <w:t>Feb 2026</w:t>
            </w:r>
          </w:p>
        </w:tc>
        <w:tc>
          <w:tcPr>
            <w:tcW w:type="dxa" w:w="1080"/>
            <w:vAlign w:val="center"/>
          </w:tcPr>
          <w:p>
            <w:pPr>
              <w:keepNext/>
              <w:spacing w:after="0" w:line="240" w:lineRule="auto"/>
              <w:jc w:val="right"/>
            </w:pPr>
            <w:r/>
            <w:r>
              <w:rPr>
                <w:sz w:val="17"/>
              </w:rPr>
              <w:t>$98,170</w:t>
            </w:r>
          </w:p>
        </w:tc>
        <w:tc>
          <w:tcPr>
            <w:tcW w:type="dxa" w:w="936"/>
            <w:vAlign w:val="center"/>
          </w:tcPr>
          <w:p>
            <w:pPr>
              <w:keepNext/>
              <w:spacing w:after="0" w:line="240" w:lineRule="auto"/>
              <w:jc w:val="right"/>
            </w:pPr>
            <w:r/>
            <w:r>
              <w:rPr>
                <w:sz w:val="17"/>
              </w:rPr>
              <w:t>$4,170</w:t>
            </w:r>
          </w:p>
        </w:tc>
        <w:tc>
          <w:tcPr>
            <w:tcW w:type="dxa" w:w="1152"/>
            <w:vAlign w:val="center"/>
          </w:tcPr>
          <w:p>
            <w:pPr>
              <w:keepNext/>
              <w:spacing w:after="0" w:line="240" w:lineRule="auto"/>
              <w:jc w:val="right"/>
            </w:pPr>
            <w:r/>
            <w:r>
              <w:rPr>
                <w:sz w:val="17"/>
              </w:rPr>
              <w:t>$102,340</w:t>
            </w:r>
          </w:p>
        </w:tc>
        <w:tc>
          <w:tcPr>
            <w:tcW w:type="dxa" w:w="1440"/>
            <w:vAlign w:val="center"/>
          </w:tcPr>
          <w:p>
            <w:pPr>
              <w:keepNext/>
              <w:spacing w:after="0" w:line="240" w:lineRule="auto"/>
              <w:jc w:val="right"/>
            </w:pPr>
            <w:r/>
            <w:r>
              <w:rPr>
                <w:sz w:val="17"/>
              </w:rPr>
              <w:t>$190,460</w:t>
            </w:r>
          </w:p>
        </w:tc>
        <w:tc>
          <w:tcPr>
            <w:tcW w:type="dxa" w:w="1440"/>
            <w:vAlign w:val="center"/>
          </w:tcPr>
          <w:p>
            <w:pPr>
              <w:keepNext/>
              <w:spacing w:after="0" w:line="240" w:lineRule="auto"/>
              <w:jc w:val="right"/>
            </w:pPr>
            <w:r/>
            <w:r>
              <w:rPr>
                <w:sz w:val="17"/>
              </w:rPr>
              <w:t>25.0%</w:t>
            </w:r>
          </w:p>
        </w:tc>
      </w:tr>
      <w:tr>
        <w:trPr>
          <w:cantSplit/>
        </w:trPr>
        <w:tc>
          <w:tcPr>
            <w:tcW w:type="dxa" w:w="2304"/>
            <w:vAlign w:val="center"/>
          </w:tcPr>
          <w:p>
            <w:pPr>
              <w:keepNext/>
              <w:spacing w:after="0" w:line="240" w:lineRule="auto"/>
            </w:pPr>
            <w:r/>
            <w:r>
              <w:rPr>
                <w:sz w:val="17"/>
              </w:rPr>
              <w:t>LCG-CEI-2401-2026-03</w:t>
            </w:r>
          </w:p>
        </w:tc>
        <w:tc>
          <w:tcPr>
            <w:tcW w:type="dxa" w:w="1008"/>
            <w:vAlign w:val="center"/>
          </w:tcPr>
          <w:p>
            <w:pPr>
              <w:keepNext/>
              <w:spacing w:after="0" w:line="240" w:lineRule="auto"/>
            </w:pPr>
            <w:r/>
            <w:r>
              <w:rPr>
                <w:sz w:val="17"/>
              </w:rPr>
              <w:t>Mar 2026</w:t>
            </w:r>
          </w:p>
        </w:tc>
        <w:tc>
          <w:tcPr>
            <w:tcW w:type="dxa" w:w="1080"/>
            <w:vAlign w:val="center"/>
          </w:tcPr>
          <w:p>
            <w:pPr>
              <w:keepNext/>
              <w:spacing w:after="0" w:line="240" w:lineRule="auto"/>
              <w:jc w:val="right"/>
            </w:pPr>
            <w:r/>
            <w:r>
              <w:rPr>
                <w:sz w:val="17"/>
              </w:rPr>
              <w:t>$107,670</w:t>
            </w:r>
          </w:p>
        </w:tc>
        <w:tc>
          <w:tcPr>
            <w:tcW w:type="dxa" w:w="936"/>
            <w:vAlign w:val="center"/>
          </w:tcPr>
          <w:p>
            <w:pPr>
              <w:keepNext/>
              <w:spacing w:after="0" w:line="240" w:lineRule="auto"/>
              <w:jc w:val="right"/>
            </w:pPr>
            <w:r/>
            <w:r>
              <w:rPr>
                <w:sz w:val="17"/>
              </w:rPr>
              <w:t>$3,110</w:t>
            </w:r>
          </w:p>
        </w:tc>
        <w:tc>
          <w:tcPr>
            <w:tcW w:type="dxa" w:w="1152"/>
            <w:vAlign w:val="center"/>
          </w:tcPr>
          <w:p>
            <w:pPr>
              <w:keepNext/>
              <w:spacing w:after="0" w:line="240" w:lineRule="auto"/>
              <w:jc w:val="right"/>
            </w:pPr>
            <w:r/>
            <w:r>
              <w:rPr>
                <w:sz w:val="17"/>
              </w:rPr>
              <w:t>$110,780</w:t>
            </w:r>
          </w:p>
        </w:tc>
        <w:tc>
          <w:tcPr>
            <w:tcW w:type="dxa" w:w="1440"/>
            <w:vAlign w:val="center"/>
          </w:tcPr>
          <w:p>
            <w:pPr>
              <w:keepNext/>
              <w:spacing w:after="0" w:line="240" w:lineRule="auto"/>
              <w:jc w:val="right"/>
            </w:pPr>
            <w:r/>
            <w:r>
              <w:rPr>
                <w:sz w:val="17"/>
              </w:rPr>
              <w:t>$301,240</w:t>
            </w:r>
          </w:p>
        </w:tc>
        <w:tc>
          <w:tcPr>
            <w:tcW w:type="dxa" w:w="1440"/>
            <w:vAlign w:val="center"/>
          </w:tcPr>
          <w:p>
            <w:pPr>
              <w:keepNext/>
              <w:spacing w:after="0" w:line="240" w:lineRule="auto"/>
              <w:jc w:val="right"/>
            </w:pPr>
            <w:r/>
            <w:r>
              <w:rPr>
                <w:sz w:val="17"/>
              </w:rPr>
              <w:t>39.5%</w:t>
            </w:r>
          </w:p>
        </w:tc>
      </w:tr>
      <w:tr>
        <w:trPr>
          <w:cantSplit/>
        </w:trPr>
        <w:tc>
          <w:tcPr>
            <w:tcW w:type="dxa" w:w="2304"/>
            <w:vAlign w:val="center"/>
          </w:tcPr>
          <w:p>
            <w:pPr>
              <w:keepNext/>
              <w:spacing w:after="0" w:line="240" w:lineRule="auto"/>
            </w:pPr>
            <w:r/>
            <w:r>
              <w:rPr>
                <w:sz w:val="17"/>
              </w:rPr>
              <w:t>LCG-CEI-2401-2026-04</w:t>
            </w:r>
          </w:p>
        </w:tc>
        <w:tc>
          <w:tcPr>
            <w:tcW w:type="dxa" w:w="1008"/>
            <w:vAlign w:val="center"/>
          </w:tcPr>
          <w:p>
            <w:pPr>
              <w:keepNext/>
              <w:spacing w:after="0" w:line="240" w:lineRule="auto"/>
            </w:pPr>
            <w:r/>
            <w:r>
              <w:rPr>
                <w:sz w:val="17"/>
              </w:rPr>
              <w:t>Apr 2026</w:t>
            </w:r>
          </w:p>
        </w:tc>
        <w:tc>
          <w:tcPr>
            <w:tcW w:type="dxa" w:w="1080"/>
            <w:vAlign w:val="center"/>
          </w:tcPr>
          <w:p>
            <w:pPr>
              <w:keepNext/>
              <w:spacing w:after="0" w:line="240" w:lineRule="auto"/>
              <w:jc w:val="right"/>
            </w:pPr>
            <w:r/>
            <w:r>
              <w:rPr>
                <w:sz w:val="17"/>
              </w:rPr>
              <w:t>$96,730</w:t>
            </w:r>
          </w:p>
        </w:tc>
        <w:tc>
          <w:tcPr>
            <w:tcW w:type="dxa" w:w="936"/>
            <w:vAlign w:val="center"/>
          </w:tcPr>
          <w:p>
            <w:pPr>
              <w:keepNext/>
              <w:spacing w:after="0" w:line="240" w:lineRule="auto"/>
              <w:jc w:val="right"/>
            </w:pPr>
            <w:r/>
            <w:r>
              <w:rPr>
                <w:sz w:val="17"/>
              </w:rPr>
              <w:t>$4,690</w:t>
            </w:r>
          </w:p>
        </w:tc>
        <w:tc>
          <w:tcPr>
            <w:tcW w:type="dxa" w:w="1152"/>
            <w:vAlign w:val="center"/>
          </w:tcPr>
          <w:p>
            <w:pPr>
              <w:keepNext/>
              <w:spacing w:after="0" w:line="240" w:lineRule="auto"/>
              <w:jc w:val="right"/>
            </w:pPr>
            <w:r/>
            <w:r>
              <w:rPr>
                <w:sz w:val="17"/>
              </w:rPr>
              <w:t>$101,420</w:t>
            </w:r>
          </w:p>
        </w:tc>
        <w:tc>
          <w:tcPr>
            <w:tcW w:type="dxa" w:w="1440"/>
            <w:vAlign w:val="center"/>
          </w:tcPr>
          <w:p>
            <w:pPr>
              <w:keepNext/>
              <w:spacing w:after="0" w:line="240" w:lineRule="auto"/>
              <w:jc w:val="right"/>
            </w:pPr>
            <w:r/>
            <w:r>
              <w:rPr>
                <w:sz w:val="17"/>
              </w:rPr>
              <w:t>$402,660</w:t>
            </w:r>
          </w:p>
        </w:tc>
        <w:tc>
          <w:tcPr>
            <w:tcW w:type="dxa" w:w="1440"/>
            <w:vAlign w:val="center"/>
          </w:tcPr>
          <w:p>
            <w:pPr>
              <w:keepNext/>
              <w:spacing w:after="0" w:line="240" w:lineRule="auto"/>
              <w:jc w:val="right"/>
            </w:pPr>
            <w:r/>
            <w:r>
              <w:rPr>
                <w:sz w:val="17"/>
              </w:rPr>
              <w:t>52.9%</w:t>
            </w:r>
          </w:p>
        </w:tc>
      </w:tr>
      <w:tr>
        <w:trPr>
          <w:cantSplit/>
        </w:trPr>
        <w:tc>
          <w:tcPr>
            <w:tcW w:type="dxa" w:w="2304"/>
            <w:shd w:val="clear" w:color="auto" w:fill="E4E9F2"/>
            <w:vAlign w:val="center"/>
          </w:tcPr>
          <w:p>
            <w:pPr>
              <w:spacing w:after="0" w:line="240" w:lineRule="auto"/>
            </w:pPr>
            <w:r>
              <w:rPr>
                <w:b/>
              </w:rPr>
            </w:r>
            <w:r>
              <w:rPr>
                <w:b/>
                <w:sz w:val="17"/>
              </w:rPr>
              <w:t>Total, Jan–Apr 2026</w:t>
            </w:r>
          </w:p>
        </w:tc>
        <w:tc>
          <w:tcPr>
            <w:tcW w:type="dxa" w:w="1008"/>
            <w:shd w:val="clear" w:color="auto" w:fill="E4E9F2"/>
            <w:vAlign w:val="center"/>
          </w:tcPr>
          <w:p>
            <w:pPr>
              <w:spacing w:after="0" w:line="240" w:lineRule="auto"/>
            </w:pPr>
            <w:r>
              <w:rPr>
                <w:b/>
              </w:rPr>
            </w:r>
            <w:r>
              <w:rPr>
                <w:b/>
                <w:sz w:val="17"/>
              </w:rPr>
            </w:r>
          </w:p>
        </w:tc>
        <w:tc>
          <w:tcPr>
            <w:tcW w:type="dxa" w:w="1080"/>
            <w:shd w:val="clear" w:color="auto" w:fill="E4E9F2"/>
            <w:vAlign w:val="center"/>
          </w:tcPr>
          <w:p>
            <w:pPr>
              <w:spacing w:after="0" w:line="240" w:lineRule="auto"/>
              <w:jc w:val="right"/>
            </w:pPr>
            <w:r>
              <w:rPr>
                <w:b/>
              </w:rPr>
            </w:r>
            <w:r>
              <w:rPr>
                <w:b/>
                <w:sz w:val="17"/>
              </w:rPr>
              <w:t>$386,630</w:t>
            </w:r>
          </w:p>
        </w:tc>
        <w:tc>
          <w:tcPr>
            <w:tcW w:type="dxa" w:w="936"/>
            <w:shd w:val="clear" w:color="auto" w:fill="E4E9F2"/>
            <w:vAlign w:val="center"/>
          </w:tcPr>
          <w:p>
            <w:pPr>
              <w:spacing w:after="0" w:line="240" w:lineRule="auto"/>
              <w:jc w:val="right"/>
            </w:pPr>
            <w:r>
              <w:rPr>
                <w:b/>
              </w:rPr>
            </w:r>
            <w:r>
              <w:rPr>
                <w:b/>
                <w:sz w:val="17"/>
              </w:rPr>
              <w:t>$16,030</w:t>
            </w:r>
          </w:p>
        </w:tc>
        <w:tc>
          <w:tcPr>
            <w:tcW w:type="dxa" w:w="1152"/>
            <w:shd w:val="clear" w:color="auto" w:fill="E4E9F2"/>
            <w:vAlign w:val="center"/>
          </w:tcPr>
          <w:p>
            <w:pPr>
              <w:spacing w:after="0" w:line="240" w:lineRule="auto"/>
              <w:jc w:val="right"/>
            </w:pPr>
            <w:r>
              <w:rPr>
                <w:b/>
              </w:rPr>
            </w:r>
            <w:r>
              <w:rPr>
                <w:b/>
                <w:sz w:val="17"/>
              </w:rPr>
              <w:t>$402,660</w:t>
            </w:r>
          </w:p>
        </w:tc>
        <w:tc>
          <w:tcPr>
            <w:tcW w:type="dxa" w:w="1440"/>
            <w:shd w:val="clear" w:color="auto" w:fill="E4E9F2"/>
            <w:vAlign w:val="center"/>
          </w:tcPr>
          <w:p>
            <w:pPr>
              <w:spacing w:after="0" w:line="240" w:lineRule="auto"/>
              <w:jc w:val="right"/>
            </w:pPr>
            <w:r>
              <w:rPr>
                <w:b/>
              </w:rPr>
            </w:r>
            <w:r>
              <w:rPr>
                <w:b/>
                <w:sz w:val="17"/>
              </w:rPr>
            </w:r>
          </w:p>
        </w:tc>
        <w:tc>
          <w:tcPr>
            <w:tcW w:type="dxa" w:w="1440"/>
            <w:shd w:val="clear" w:color="auto" w:fill="E4E9F2"/>
            <w:vAlign w:val="center"/>
          </w:tcPr>
          <w:p>
            <w:pPr>
              <w:spacing w:after="0" w:line="240" w:lineRule="auto"/>
              <w:jc w:val="right"/>
            </w:pPr>
            <w:r>
              <w:rPr>
                <w:b/>
              </w:rPr>
            </w:r>
            <w:r>
              <w:rPr>
                <w:b/>
                <w:sz w:val="17"/>
              </w:rPr>
            </w:r>
          </w:p>
        </w:tc>
      </w:tr>
    </w:tbl>
    <w:p>
      <w:pPr>
        <w:spacing w:after="40" w:line="192" w:lineRule="auto"/>
      </w:pPr>
    </w:p>
    <w:p>
      <w:pPr>
        <w:spacing w:after="60"/>
      </w:pPr>
      <w:r>
        <w:rPr>
          <w:b w:val="0"/>
          <w:i w:val="0"/>
        </w:rPr>
        <w:t>The January invoice starts from “Previously Billed (prior invoices, CY 2026): $0.00,” and every later invoice builds on that figure. The ceiling, however, covers the assignment from NTP to completion, and the record leaves no doubt that 2025 was billed:</w:t>
      </w:r>
    </w:p>
    <w:p>
      <w:pPr>
        <w:pStyle w:val="ListBullet"/>
      </w:pPr>
      <w:r>
        <w:rPr>
          <w:b w:val="0"/>
          <w:i w:val="0"/>
        </w:rPr>
        <w:t>Task 2 (preconstruction, mobilization and baseline review, $29,800) appears on none of the 2026 invoices. That work was done at mobilization.</w:t>
      </w:r>
    </w:p>
    <w:p>
      <w:pPr>
        <w:pStyle w:val="ListBullet"/>
      </w:pPr>
      <w:r>
        <w:rPr>
          <w:b w:val="0"/>
          <w:i w:val="0"/>
        </w:rPr>
        <w:t>The daily inspection reports are numbered from NTP and had reached DR-0280 by the end of February 2026. Roughly 240 of them cover 2025 working days.</w:t>
      </w:r>
    </w:p>
    <w:p>
      <w:pPr>
        <w:pStyle w:val="ListBullet"/>
      </w:pPr>
      <w:r>
        <w:rPr>
          <w:b w:val="0"/>
          <w:i w:val="0"/>
        </w:rPr>
        <w:t>CO-01 through CO-05 were reviewed and executed between March and December 2025.</w:t>
      </w:r>
    </w:p>
    <w:p>
      <w:pPr>
        <w:spacing w:before="60"/>
      </w:pPr>
      <w:r>
        <w:rPr>
          <w:b w:val="0"/>
          <w:i w:val="0"/>
        </w:rPr>
        <w:t>The 2025 invoices are not in the CY 2026 invoice package. Janet Kolb is reconciling the full register, from the first CEI invoice through April 2026, against the City’s payment record. You will have the reconciled figure by May 20, in time for the May 22 package delivery.</w:t>
      </w:r>
    </w:p>
    <w:p>
      <w:pPr>
        <w:keepNext/>
        <w:spacing w:before="200" w:after="80"/>
      </w:pPr>
      <w:r>
        <w:rPr>
          <w:b/>
          <w:color w:val="1C355E"/>
          <w:sz w:val="23"/>
        </w:rPr>
        <w:t>3.  Where we stand against the ceiling</w:t>
      </w:r>
    </w:p>
    <w:p>
      <w:pPr>
        <w:keepNext/>
        <w:spacing w:before="120" w:after="60"/>
      </w:pPr>
      <w:r>
        <w:rPr>
          <w:b/>
          <w:color w:val="1C355E"/>
          <w:sz w:val="19"/>
        </w:rPr>
        <w:t>Table 2.  Fee position at April 30, 2026</w:t>
      </w:r>
    </w:p>
    <w:tbl>
      <w:tblPr>
        <w:tblW w:type="dxa" w:w="9360"/>
        <w:jc w:val="center"/>
        <w:tblBorders>
          <w:top w:val="single" w:sz="4" w:color="A6ADB8"/>
          <w:left w:val="single" w:sz="4" w:color="A6ADB8"/>
          <w:bottom w:val="single" w:sz="4" w:color="A6ADB8"/>
          <w:right w:val="single" w:sz="4" w:color="A6ADB8"/>
          <w:insideH w:val="single" w:sz="4" w:color="A6ADB8"/>
          <w:insideV w:val="single" w:sz="4" w:color="A6ADB8"/>
        </w:tblBorders>
        <w:tblLayout w:type="fixed"/>
        <w:tblCellMar>
          <w:top w:w="50" w:type="dxa"/>
          <w:left w:w="80" w:type="dxa"/>
          <w:bottom w:w="50" w:type="dxa"/>
          <w:right w:w="80" w:type="dxa"/>
        </w:tblCellMar>
        <w:tblLook w:firstColumn="1" w:firstRow="1" w:lastColumn="0" w:lastRow="0" w:noHBand="0" w:noVBand="1" w:val="04A0"/>
      </w:tblPr>
      <w:tblGrid>
        <w:gridCol w:w="5760"/>
        <w:gridCol w:w="3600"/>
      </w:tblGrid>
      <w:tr>
        <w:trPr>
          <w:cantSplit/>
          <w:tblHeader/>
        </w:trPr>
        <w:tc>
          <w:tcPr>
            <w:tcW w:type="dxa" w:w="5760"/>
            <w:shd w:val="clear" w:color="auto" w:fill="1C355E"/>
            <w:vAlign w:val="center"/>
          </w:tcPr>
          <w:p>
            <w:pPr>
              <w:keepNext/>
              <w:spacing w:after="0" w:line="240" w:lineRule="auto"/>
            </w:pPr>
            <w:r>
              <w:rPr>
                <w:b/>
                <w:color w:val="FFFFFF"/>
              </w:rPr>
            </w:r>
            <w:r>
              <w:rPr>
                <w:b/>
                <w:color w:val="FFFFFF"/>
                <w:sz w:val="17"/>
              </w:rPr>
              <w:t>Item</w:t>
            </w:r>
          </w:p>
        </w:tc>
        <w:tc>
          <w:tcPr>
            <w:tcW w:type="dxa" w:w="3600"/>
            <w:shd w:val="clear" w:color="auto" w:fill="1C355E"/>
            <w:vAlign w:val="center"/>
          </w:tcPr>
          <w:p>
            <w:pPr>
              <w:keepNext/>
              <w:spacing w:after="0" w:line="240" w:lineRule="auto"/>
            </w:pPr>
            <w:r>
              <w:rPr>
                <w:b/>
                <w:color w:val="FFFFFF"/>
              </w:rPr>
            </w:r>
            <w:r>
              <w:rPr>
                <w:b/>
                <w:color w:val="FFFFFF"/>
                <w:sz w:val="17"/>
              </w:rPr>
              <w:t>Amount</w:t>
            </w:r>
          </w:p>
        </w:tc>
      </w:tr>
      <w:tr>
        <w:trPr>
          <w:cantSplit/>
        </w:trPr>
        <w:tc>
          <w:tcPr>
            <w:tcW w:type="dxa" w:w="5760"/>
            <w:vAlign w:val="center"/>
          </w:tcPr>
          <w:p>
            <w:pPr>
              <w:keepNext/>
              <w:spacing w:after="0" w:line="240" w:lineRule="auto"/>
            </w:pPr>
            <w:r/>
            <w:r>
              <w:rPr>
                <w:sz w:val="17"/>
              </w:rPr>
              <w:t>CEI lump-sum ceiling: labor $732,300 plus reimbursable allowance $29,500, priced on 607 days (NTP January 6, 2025 to Substantial Completion September 4, 2026)</w:t>
            </w:r>
          </w:p>
        </w:tc>
        <w:tc>
          <w:tcPr>
            <w:tcW w:type="dxa" w:w="3600"/>
            <w:vAlign w:val="center"/>
          </w:tcPr>
          <w:p>
            <w:pPr>
              <w:keepNext/>
              <w:spacing w:after="0" w:line="240" w:lineRule="auto"/>
            </w:pPr>
            <w:r/>
            <w:r>
              <w:rPr>
                <w:sz w:val="17"/>
              </w:rPr>
              <w:t>$761,800</w:t>
            </w:r>
          </w:p>
        </w:tc>
      </w:tr>
      <w:tr>
        <w:trPr>
          <w:cantSplit/>
        </w:trPr>
        <w:tc>
          <w:tcPr>
            <w:tcW w:type="dxa" w:w="5760"/>
            <w:vAlign w:val="center"/>
          </w:tcPr>
          <w:p>
            <w:pPr>
              <w:keepNext/>
              <w:spacing w:after="0" w:line="240" w:lineRule="auto"/>
            </w:pPr>
            <w:r/>
            <w:r>
              <w:rPr>
                <w:sz w:val="17"/>
              </w:rPr>
              <w:t>Billed January–April 2026 (Table 1)</w:t>
            </w:r>
          </w:p>
        </w:tc>
        <w:tc>
          <w:tcPr>
            <w:tcW w:type="dxa" w:w="3600"/>
            <w:vAlign w:val="center"/>
          </w:tcPr>
          <w:p>
            <w:pPr>
              <w:keepNext/>
              <w:spacing w:after="0" w:line="240" w:lineRule="auto"/>
            </w:pPr>
            <w:r/>
            <w:r>
              <w:rPr>
                <w:sz w:val="17"/>
              </w:rPr>
              <w:t>$402,660  (52.9%)</w:t>
            </w:r>
          </w:p>
        </w:tc>
      </w:tr>
      <w:tr>
        <w:trPr>
          <w:cantSplit/>
        </w:trPr>
        <w:tc>
          <w:tcPr>
            <w:tcW w:type="dxa" w:w="5760"/>
            <w:vAlign w:val="center"/>
          </w:tcPr>
          <w:p>
            <w:pPr>
              <w:keepNext/>
              <w:spacing w:after="0" w:line="240" w:lineRule="auto"/>
            </w:pPr>
            <w:r/>
            <w:r>
              <w:rPr>
                <w:sz w:val="17"/>
              </w:rPr>
              <w:t>Billed January 6 – December 31, 2025 (and any December 2024 preconstruction)</w:t>
            </w:r>
          </w:p>
        </w:tc>
        <w:tc>
          <w:tcPr>
            <w:tcW w:type="dxa" w:w="3600"/>
            <w:vAlign w:val="center"/>
          </w:tcPr>
          <w:p>
            <w:pPr>
              <w:keepNext/>
              <w:spacing w:after="0" w:line="240" w:lineRule="auto"/>
            </w:pPr>
            <w:r/>
            <w:r>
              <w:rPr>
                <w:sz w:val="17"/>
              </w:rPr>
              <w:t>Not carried on the 2026 invoices; being reconciled</w:t>
            </w:r>
          </w:p>
        </w:tc>
      </w:tr>
      <w:tr>
        <w:trPr>
          <w:cantSplit/>
        </w:trPr>
        <w:tc>
          <w:tcPr>
            <w:tcW w:type="dxa" w:w="5760"/>
            <w:vAlign w:val="center"/>
          </w:tcPr>
          <w:p>
            <w:pPr>
              <w:keepNext/>
              <w:spacing w:after="0" w:line="240" w:lineRule="auto"/>
            </w:pPr>
            <w:r/>
            <w:r>
              <w:rPr>
                <w:sz w:val="17"/>
              </w:rPr>
              <w:t>Headroom shown on the April invoice</w:t>
            </w:r>
          </w:p>
        </w:tc>
        <w:tc>
          <w:tcPr>
            <w:tcW w:type="dxa" w:w="3600"/>
            <w:vAlign w:val="center"/>
          </w:tcPr>
          <w:p>
            <w:pPr>
              <w:keepNext/>
              <w:spacing w:after="0" w:line="240" w:lineRule="auto"/>
            </w:pPr>
            <w:r/>
            <w:r>
              <w:rPr>
                <w:sz w:val="17"/>
              </w:rPr>
              <w:t>$359,140, overstated by the full 2025 total</w:t>
            </w:r>
          </w:p>
        </w:tc>
      </w:tr>
      <w:tr>
        <w:trPr>
          <w:cantSplit/>
        </w:trPr>
        <w:tc>
          <w:tcPr>
            <w:tcW w:type="dxa" w:w="5760"/>
            <w:vAlign w:val="center"/>
          </w:tcPr>
          <w:p>
            <w:pPr>
              <w:keepNext/>
              <w:spacing w:after="0" w:line="240" w:lineRule="auto"/>
            </w:pPr>
            <w:r/>
            <w:r>
              <w:rPr>
                <w:sz w:val="17"/>
              </w:rPr>
              <w:t>Most headroom that can actually remain</w:t>
            </w:r>
          </w:p>
        </w:tc>
        <w:tc>
          <w:tcPr>
            <w:tcW w:type="dxa" w:w="3600"/>
            <w:vAlign w:val="center"/>
          </w:tcPr>
          <w:p>
            <w:pPr>
              <w:keepNext/>
              <w:spacing w:after="0" w:line="240" w:lineRule="auto"/>
            </w:pPr>
            <w:r/>
            <w:r>
              <w:rPr>
                <w:sz w:val="17"/>
              </w:rPr>
              <w:t>$359,140 less all 2025 billing</w:t>
            </w:r>
          </w:p>
        </w:tc>
      </w:tr>
      <w:tr>
        <w:trPr>
          <w:cantSplit/>
        </w:trPr>
        <w:tc>
          <w:tcPr>
            <w:tcW w:type="dxa" w:w="5760"/>
            <w:vAlign w:val="center"/>
          </w:tcPr>
          <w:p>
            <w:pPr>
              <w:spacing w:after="0" w:line="240" w:lineRule="auto"/>
            </w:pPr>
            <w:r/>
            <w:r>
              <w:rPr>
                <w:sz w:val="17"/>
              </w:rPr>
              <w:t>2025 billing at which the ceiling is already exceeded</w:t>
            </w:r>
          </w:p>
        </w:tc>
        <w:tc>
          <w:tcPr>
            <w:tcW w:type="dxa" w:w="3600"/>
            <w:vAlign w:val="center"/>
          </w:tcPr>
          <w:p>
            <w:pPr>
              <w:spacing w:after="0" w:line="240" w:lineRule="auto"/>
            </w:pPr>
            <w:r/>
            <w:r>
              <w:rPr>
                <w:sz w:val="17"/>
              </w:rPr>
              <w:t>Anything over $359,140 (about $29,900 a month)</w:t>
            </w:r>
          </w:p>
        </w:tc>
      </w:tr>
    </w:tbl>
    <w:p>
      <w:pPr>
        <w:spacing w:after="40" w:line="192" w:lineRule="auto"/>
      </w:pPr>
    </w:p>
    <w:p>
      <w:pPr>
        <w:spacing w:after="60"/>
      </w:pPr>
      <w:r>
        <w:rPr>
          <w:b w:val="0"/>
          <w:i w:val="0"/>
        </w:rPr>
        <w:t>Two reference points frame the likely answer:</w:t>
      </w:r>
    </w:p>
    <w:p>
      <w:pPr>
        <w:pStyle w:val="ListBullet"/>
      </w:pPr>
      <w:r>
        <w:rPr>
          <w:b/>
          <w:i w:val="0"/>
        </w:rPr>
        <w:t xml:space="preserve">Level effort, as priced. </w:t>
      </w:r>
      <w:r>
        <w:rPr>
          <w:b w:val="0"/>
          <w:i w:val="0"/>
        </w:rPr>
        <w:t>The lump sum works out to $1,255 per calendar day ($761,800 ÷ 607). Had 2025 billing simply tracked that basis, it would be about $451,800 for January 6 – December 31. Cumulative billing at April 30 would then be about $854,500, roughly $92,700 over the ceiling.</w:t>
      </w:r>
    </w:p>
    <w:p>
      <w:pPr>
        <w:pStyle w:val="ListBullet"/>
      </w:pPr>
      <w:r>
        <w:rPr>
          <w:b/>
          <w:i w:val="0"/>
        </w:rPr>
        <w:t xml:space="preserve">Our actual rate. </w:t>
      </w:r>
      <w:r>
        <w:rPr>
          <w:b w:val="0"/>
          <w:i w:val="0"/>
        </w:rPr>
        <w:t>The 2026 invoices ran at about $3,356 per day ($100,700 a month), 2.7 times the level-effort value. Mr. Herrera’s inspection time alone has billed about $20,200 a month this year. The closer 2025 ran to the 2026 rate, the larger the overrun.</w:t>
      </w:r>
    </w:p>
    <w:p>
      <w:pPr>
        <w:spacing w:before="60"/>
      </w:pPr>
      <w:r>
        <w:rPr>
          <w:b w:val="0"/>
          <w:i w:val="0"/>
        </w:rPr>
        <w:t>The 2026 invoices alone show 2,586 labor hours against 4,500 in the entire fee build-up (57%). They also show 934 Field Inspector II hours against 500 budgeted for the whole assignment (187%), and $212,900 of Task 3 inspection against its $250,700 budget (85%), which leaves less than a month’s worth. By April 30, 480 of the original 607 contract days (79%) had elapsed, or 480 of the amended 684 (70%).</w:t>
      </w:r>
    </w:p>
    <w:p>
      <w:r>
        <w:rPr>
          <w:b w:val="0"/>
          <w:i w:val="0"/>
        </w:rPr>
        <w:t>Looking forward, even on the invoices’ own incomplete basis, the January–April rate would bring 2026 billing alone to about $828,800 by September 4, about $67,000 over the ceiling. By November 20 it would reach about $1,087,200, roughly $325,400 over. Both figures exclude all 2025 billing. The design-phase agreement ($1,384,500, fully invoiced) is separate and is not affected.</w:t>
      </w:r>
    </w:p>
    <w:p>
      <w:pPr>
        <w:keepNext/>
        <w:spacing w:before="200" w:after="80"/>
      </w:pPr>
      <w:r>
        <w:rPr>
          <w:b/>
          <w:color w:val="1C355E"/>
          <w:sz w:val="23"/>
        </w:rPr>
        <w:t>4.  Why the overrun is ours, and what we will do about it</w:t>
      </w:r>
    </w:p>
    <w:p>
      <w:pPr>
        <w:spacing w:after="60"/>
      </w:pPr>
      <w:r>
        <w:rPr>
          <w:b w:val="0"/>
          <w:i w:val="0"/>
        </w:rPr>
        <w:t>Changes in the work did not consume the ceiling. The seven change orders to date total $612,940, 2.5% of the original contract, and reviewing them is Task 7 work. Submittal review, RFI-041 and the W-12 concrete investigation fall under Tasks 4, 5, 6 and 10. The overrun comes from the fee build-up itself. It carries 4,500 labor hours for the whole assignment, about 225 a month. The staffing we committed (a full-time Resident Engineer, a full-time lead inspector, and two Field Inspector II positions as workload requires) has billed 566 to 718 hours a month this year. That is a shortfall in how we priced the work, and under a lump sum it is Larkspur’s. Accordingly:</w:t>
      </w:r>
    </w:p>
    <w:p>
      <w:pPr>
        <w:pStyle w:val="ListBullet"/>
      </w:pPr>
      <w:r>
        <w:rPr>
          <w:b w:val="0"/>
          <w:i w:val="0"/>
        </w:rPr>
        <w:t>We will stop billing base-scope services once cumulative billing reaches $761,800.</w:t>
      </w:r>
    </w:p>
    <w:p>
      <w:pPr>
        <w:pStyle w:val="ListBullet"/>
      </w:pPr>
      <w:r>
        <w:rPr>
          <w:b w:val="0"/>
          <w:i w:val="0"/>
        </w:rPr>
        <w:t>We will withdraw any unpaid amount above the ceiling, and refund or credit (at the City’s option) any amount paid above it. Amounts above the agreement value are not properly due and should not be claimed for federal participation under STP 2024(041) MK. We will document any adjustment the City needs to make to its reimbursement requests.</w:t>
      </w:r>
    </w:p>
    <w:p>
      <w:pPr>
        <w:pStyle w:val="ListBullet"/>
      </w:pPr>
      <w:r>
        <w:rPr>
          <w:b w:val="0"/>
          <w:i w:val="0"/>
        </w:rPr>
        <w:t>We will deliver the full base scope through September 4, 2026, and closeout (Task 11), with the key personnel named in the proposal. Any reduction or substitution will need your prior written concurrence.</w:t>
      </w:r>
    </w:p>
    <w:p>
      <w:pPr>
        <w:keepNext/>
        <w:spacing w:before="200" w:after="80"/>
      </w:pPr>
      <w:r>
        <w:rPr>
          <w:b/>
          <w:color w:val="1C355E"/>
          <w:sz w:val="23"/>
        </w:rPr>
        <w:t>5.  What we can properly put to the City in the package</w:t>
      </w:r>
    </w:p>
    <w:p>
      <w:pPr>
        <w:keepNext/>
        <w:spacing w:before="120" w:after="60"/>
      </w:pPr>
      <w:r>
        <w:rPr>
          <w:b/>
          <w:color w:val="1C355E"/>
          <w:sz w:val="19"/>
        </w:rPr>
        <w:t>Table 3.  Package position</w:t>
      </w:r>
    </w:p>
    <w:tbl>
      <w:tblPr>
        <w:tblW w:type="dxa" w:w="9360"/>
        <w:jc w:val="center"/>
        <w:tblBorders>
          <w:top w:val="single" w:sz="4" w:color="A6ADB8"/>
          <w:left w:val="single" w:sz="4" w:color="A6ADB8"/>
          <w:bottom w:val="single" w:sz="4" w:color="A6ADB8"/>
          <w:right w:val="single" w:sz="4" w:color="A6ADB8"/>
          <w:insideH w:val="single" w:sz="4" w:color="A6ADB8"/>
          <w:insideV w:val="single" w:sz="4" w:color="A6ADB8"/>
        </w:tblBorders>
        <w:tblLayout w:type="fixed"/>
        <w:tblCellMar>
          <w:top w:w="50" w:type="dxa"/>
          <w:left w:w="80" w:type="dxa"/>
          <w:bottom w:w="50" w:type="dxa"/>
          <w:right w:w="80" w:type="dxa"/>
        </w:tblCellMar>
        <w:tblLook w:firstColumn="1" w:firstRow="1" w:lastColumn="0" w:lastRow="0" w:noHBand="0" w:noVBand="1" w:val="04A0"/>
      </w:tblPr>
      <w:tblGrid>
        <w:gridCol w:w="4104"/>
        <w:gridCol w:w="5256"/>
      </w:tblGrid>
      <w:tr>
        <w:trPr>
          <w:cantSplit/>
          <w:tblHeader/>
        </w:trPr>
        <w:tc>
          <w:tcPr>
            <w:tcW w:type="dxa" w:w="4104"/>
            <w:shd w:val="clear" w:color="auto" w:fill="1C355E"/>
            <w:vAlign w:val="center"/>
          </w:tcPr>
          <w:p>
            <w:pPr>
              <w:keepNext/>
              <w:spacing w:after="0" w:line="240" w:lineRule="auto"/>
            </w:pPr>
            <w:r>
              <w:rPr>
                <w:b/>
                <w:color w:val="FFFFFF"/>
              </w:rPr>
            </w:r>
            <w:r>
              <w:rPr>
                <w:b/>
                <w:color w:val="FFFFFF"/>
                <w:sz w:val="17"/>
              </w:rPr>
              <w:t>Item</w:t>
            </w:r>
          </w:p>
        </w:tc>
        <w:tc>
          <w:tcPr>
            <w:tcW w:type="dxa" w:w="5256"/>
            <w:shd w:val="clear" w:color="auto" w:fill="1C355E"/>
            <w:vAlign w:val="center"/>
          </w:tcPr>
          <w:p>
            <w:pPr>
              <w:keepNext/>
              <w:spacing w:after="0" w:line="240" w:lineRule="auto"/>
            </w:pPr>
            <w:r>
              <w:rPr>
                <w:b/>
                <w:color w:val="FFFFFF"/>
              </w:rPr>
            </w:r>
            <w:r>
              <w:rPr>
                <w:b/>
                <w:color w:val="FFFFFF"/>
                <w:sz w:val="17"/>
              </w:rPr>
              <w:t>Position</w:t>
            </w:r>
          </w:p>
        </w:tc>
      </w:tr>
      <w:tr>
        <w:trPr>
          <w:cantSplit/>
        </w:trPr>
        <w:tc>
          <w:tcPr>
            <w:tcW w:type="dxa" w:w="4104"/>
            <w:vAlign w:val="center"/>
          </w:tcPr>
          <w:p>
            <w:pPr>
              <w:keepNext/>
              <w:spacing w:after="0" w:line="240" w:lineRule="auto"/>
            </w:pPr>
            <w:r/>
            <w:r>
              <w:rPr>
                <w:sz w:val="17"/>
              </w:rPr>
              <w:t>Corrected fee statement, cumulative since NTP</w:t>
            </w:r>
          </w:p>
        </w:tc>
        <w:tc>
          <w:tcPr>
            <w:tcW w:type="dxa" w:w="5256"/>
            <w:vAlign w:val="center"/>
          </w:tcPr>
          <w:p>
            <w:pPr>
              <w:keepNext/>
              <w:spacing w:after="0" w:line="240" w:lineRule="auto"/>
            </w:pPr>
            <w:r/>
            <w:r>
              <w:rPr>
                <w:b/>
                <w:i w:val="0"/>
                <w:sz w:val="17"/>
              </w:rPr>
              <w:t xml:space="preserve">Include. </w:t>
            </w:r>
            <w:r>
              <w:rPr>
                <w:b w:val="0"/>
                <w:i w:val="0"/>
                <w:sz w:val="17"/>
              </w:rPr>
              <w:t>Replaces the 2026 invoice figures and the March 25 Council figure. The April invoice’s comparison of 52.9% burn to 58% construction progress should be disregarded.</w:t>
            </w:r>
          </w:p>
        </w:tc>
      </w:tr>
      <w:tr>
        <w:trPr>
          <w:cantSplit/>
        </w:trPr>
        <w:tc>
          <w:tcPr>
            <w:tcW w:type="dxa" w:w="4104"/>
            <w:vAlign w:val="center"/>
          </w:tcPr>
          <w:p>
            <w:pPr>
              <w:keepNext/>
              <w:spacing w:after="0" w:line="240" w:lineRule="auto"/>
            </w:pPr>
            <w:r/>
            <w:r>
              <w:rPr>
                <w:sz w:val="17"/>
              </w:rPr>
              <w:t>Amendment for the 77-day executed extension (CO-03 +35 days; CO-06 +42 days): CEI services September 5 – November 20, 2026</w:t>
            </w:r>
          </w:p>
        </w:tc>
        <w:tc>
          <w:tcPr>
            <w:tcW w:type="dxa" w:w="5256"/>
            <w:vAlign w:val="center"/>
          </w:tcPr>
          <w:p>
            <w:pPr>
              <w:keepNext/>
              <w:spacing w:after="0" w:line="240" w:lineRule="auto"/>
            </w:pPr>
            <w:r/>
            <w:r>
              <w:rPr>
                <w:b/>
                <w:i w:val="0"/>
                <w:sz w:val="17"/>
              </w:rPr>
              <w:t xml:space="preserve">Include. </w:t>
            </w:r>
            <w:r>
              <w:rPr>
                <w:b w:val="0"/>
                <w:i w:val="0"/>
                <w:sz w:val="17"/>
              </w:rPr>
              <w:t>Prospective and priced on its own (see 5.1).</w:t>
            </w:r>
          </w:p>
        </w:tc>
      </w:tr>
      <w:tr>
        <w:trPr>
          <w:cantSplit/>
        </w:trPr>
        <w:tc>
          <w:tcPr>
            <w:tcW w:type="dxa" w:w="4104"/>
            <w:vAlign w:val="center"/>
          </w:tcPr>
          <w:p>
            <w:pPr>
              <w:keepNext/>
              <w:spacing w:after="0" w:line="240" w:lineRule="auto"/>
            </w:pPr>
            <w:r/>
            <w:r>
              <w:rPr>
                <w:sz w:val="17"/>
              </w:rPr>
              <w:t>Base-scope overrun, through September 4, 2026 and closeout</w:t>
            </w:r>
          </w:p>
        </w:tc>
        <w:tc>
          <w:tcPr>
            <w:tcW w:type="dxa" w:w="5256"/>
            <w:vAlign w:val="center"/>
          </w:tcPr>
          <w:p>
            <w:pPr>
              <w:keepNext/>
              <w:spacing w:after="0" w:line="240" w:lineRule="auto"/>
            </w:pPr>
            <w:r/>
            <w:r>
              <w:rPr>
                <w:b/>
                <w:i w:val="0"/>
                <w:sz w:val="17"/>
              </w:rPr>
              <w:t xml:space="preserve">Not included. </w:t>
            </w:r>
            <w:r>
              <w:rPr>
                <w:b w:val="0"/>
                <w:i w:val="0"/>
                <w:sz w:val="17"/>
              </w:rPr>
              <w:t>Larkspur’s under the lump sum.</w:t>
            </w:r>
          </w:p>
        </w:tc>
      </w:tr>
      <w:tr>
        <w:trPr>
          <w:cantSplit/>
        </w:trPr>
        <w:tc>
          <w:tcPr>
            <w:tcW w:type="dxa" w:w="4104"/>
            <w:vAlign w:val="center"/>
          </w:tcPr>
          <w:p>
            <w:pPr>
              <w:keepNext/>
              <w:spacing w:after="0" w:line="240" w:lineRule="auto"/>
            </w:pPr>
            <w:r/>
            <w:r>
              <w:rPr>
                <w:sz w:val="17"/>
              </w:rPr>
              <w:t>“Claim support” for April–May 2026 (RFI-041, Redoak addendum, evaluation of the DSC claim)</w:t>
            </w:r>
          </w:p>
        </w:tc>
        <w:tc>
          <w:tcPr>
            <w:tcW w:type="dxa" w:w="5256"/>
            <w:vAlign w:val="center"/>
          </w:tcPr>
          <w:p>
            <w:pPr>
              <w:keepNext/>
              <w:spacing w:after="0" w:line="240" w:lineRule="auto"/>
            </w:pPr>
            <w:r/>
            <w:r>
              <w:rPr>
                <w:b/>
                <w:i w:val="0"/>
                <w:sz w:val="17"/>
              </w:rPr>
              <w:t xml:space="preserve">Not included. </w:t>
            </w:r>
            <w:r>
              <w:rPr>
                <w:b w:val="0"/>
                <w:i w:val="0"/>
                <w:sz w:val="17"/>
              </w:rPr>
              <w:t>See 5.2.</w:t>
            </w:r>
          </w:p>
        </w:tc>
      </w:tr>
      <w:tr>
        <w:trPr>
          <w:cantSplit/>
        </w:trPr>
        <w:tc>
          <w:tcPr>
            <w:tcW w:type="dxa" w:w="4104"/>
            <w:vAlign w:val="center"/>
          </w:tcPr>
          <w:p>
            <w:pPr>
              <w:keepNext/>
              <w:spacing w:after="0" w:line="240" w:lineRule="auto"/>
            </w:pPr>
            <w:r/>
            <w:r>
              <w:rPr>
                <w:sz w:val="17"/>
              </w:rPr>
              <w:t>Vantera’s 21-day extension request (May 8, 2026)</w:t>
            </w:r>
          </w:p>
        </w:tc>
        <w:tc>
          <w:tcPr>
            <w:tcW w:type="dxa" w:w="5256"/>
            <w:vAlign w:val="center"/>
          </w:tcPr>
          <w:p>
            <w:pPr>
              <w:keepNext/>
              <w:spacing w:after="0" w:line="240" w:lineRule="auto"/>
            </w:pPr>
            <w:r/>
            <w:r>
              <w:rPr>
                <w:b/>
                <w:i w:val="0"/>
                <w:sz w:val="17"/>
              </w:rPr>
              <w:t xml:space="preserve">Not included. </w:t>
            </w:r>
            <w:r>
              <w:rPr>
                <w:b w:val="0"/>
                <w:i w:val="0"/>
                <w:sz w:val="17"/>
              </w:rPr>
              <w:t>Not executed (see 5.3).</w:t>
            </w:r>
          </w:p>
        </w:tc>
      </w:tr>
      <w:tr>
        <w:trPr>
          <w:cantSplit/>
        </w:trPr>
        <w:tc>
          <w:tcPr>
            <w:tcW w:type="dxa" w:w="4104"/>
            <w:vAlign w:val="center"/>
          </w:tcPr>
          <w:p>
            <w:pPr>
              <w:spacing w:after="0" w:line="240" w:lineRule="auto"/>
            </w:pPr>
            <w:r/>
            <w:r>
              <w:rPr>
                <w:sz w:val="17"/>
              </w:rPr>
              <w:t>Escalation on services through September 4, 2026</w:t>
            </w:r>
          </w:p>
        </w:tc>
        <w:tc>
          <w:tcPr>
            <w:tcW w:type="dxa" w:w="5256"/>
            <w:vAlign w:val="center"/>
          </w:tcPr>
          <w:p>
            <w:pPr>
              <w:spacing w:after="0" w:line="240" w:lineRule="auto"/>
            </w:pPr>
            <w:r/>
            <w:r>
              <w:rPr>
                <w:b/>
                <w:i w:val="0"/>
                <w:sz w:val="17"/>
              </w:rPr>
              <w:t xml:space="preserve">Not included. </w:t>
            </w:r>
            <w:r>
              <w:rPr>
                <w:b w:val="0"/>
                <w:i w:val="0"/>
                <w:sz w:val="17"/>
              </w:rPr>
              <w:t>Exhibit A rates are firm through the original contract time.</w:t>
            </w:r>
          </w:p>
        </w:tc>
      </w:tr>
    </w:tbl>
    <w:p>
      <w:pPr>
        <w:spacing w:after="40" w:line="192" w:lineRule="auto"/>
      </w:pPr>
    </w:p>
    <w:p>
      <w:pPr>
        <w:spacing w:before="80"/>
      </w:pPr>
      <w:r>
        <w:rPr>
          <w:b/>
          <w:color w:val="1C355E"/>
        </w:rPr>
        <w:t xml:space="preserve">5.1  Time-extension amendment.  </w:t>
      </w:r>
      <w:r>
        <w:rPr>
          <w:b w:val="0"/>
          <w:i w:val="0"/>
        </w:rPr>
        <w:t>Section 8 of the proposal makes “any executed extension of Contract time” a trigger for a written fee amendment “executed in advance of the additional work,” and requires us to start the request promptly. CO-03 (+35 days) was executed August 5, 2025 and CO-06 (+42 days) on February 11, 2026. I countersigned both. We should have raised the amendment then, and did not. The services the extension adds have not been performed, so an amendment executed before September 5 still meets Section 8. Consistent with the federal-aid requirements for consultant agreements (23 CFR Part 172), it will be negotiated and executed in writing before those services begin. The request will:</w:t>
      </w:r>
    </w:p>
    <w:p>
      <w:pPr>
        <w:pStyle w:val="ListBullet"/>
      </w:pPr>
      <w:r>
        <w:rPr>
          <w:b w:val="0"/>
          <w:i w:val="0"/>
        </w:rPr>
        <w:t>cover only CEI services for September 5 – November 20, 2026: field office, Resident Engineer, inspection, project management, meetings, pay applications and monthly reports;</w:t>
      </w:r>
    </w:p>
    <w:p>
      <w:pPr>
        <w:pStyle w:val="ListBullet"/>
      </w:pPr>
      <w:r>
        <w:rPr>
          <w:b w:val="0"/>
          <w:i w:val="0"/>
        </w:rPr>
        <w:t>be priced from a staffing plan for that period at Exhibit A rates, with any escalation for post-September 4 services shown separately, as Exhibit A permits; and</w:t>
      </w:r>
    </w:p>
    <w:p>
      <w:pPr>
        <w:pStyle w:val="ListBullet"/>
      </w:pPr>
      <w:r>
        <w:rPr>
          <w:b w:val="0"/>
          <w:i w:val="0"/>
        </w:rPr>
        <w:t>show the original fee’s own daily value for comparison: 77 days × $1,255 ≈ $96,600. If we propose more, the difference will be explained by what the extended period requires, not by what we have spent to date.</w:t>
      </w:r>
    </w:p>
    <w:p>
      <w:pPr>
        <w:spacing w:before="60"/>
      </w:pPr>
      <w:r>
        <w:rPr>
          <w:b w:val="0"/>
          <w:i w:val="0"/>
        </w:rPr>
        <w:t>The amendment does not depend on the reconciliation and need not wait for it.</w:t>
      </w:r>
    </w:p>
    <w:p>
      <w:pPr>
        <w:spacing w:before="80"/>
      </w:pPr>
      <w:r>
        <w:rPr>
          <w:b/>
          <w:color w:val="1C355E"/>
        </w:rPr>
        <w:t xml:space="preserve">5.2  No claim-support fee.  </w:t>
      </w:r>
      <w:r>
        <w:rPr>
          <w:b w:val="0"/>
          <w:i w:val="0"/>
        </w:rPr>
        <w:t>The cover note on our April invoice anticipated an amendment for “extraordinary claim-support effort commencing April 2026.” We are withdrawing that, for three reasons. First, evaluating Vantera’s May 8 differing-site-conditions claim and preparing the recommendation for this package is base scope. General Conditions §4.3 requires the Engineer to investigate and recommend. The proposal lists the Engineer’s determinations on claims among my base duties (§3.2), and Task 7 covers entitlement, quantum and time review. Second, the April effort (the RFI-041 response and coordination of Redoak’s April 21 addendum) is Task 5 work, and none of it was authorized in writing as extra. Third, the claim turns on the geotechnical report Redoak prepared as our subconsultant under the design agreement. We will not seek compensation from the City for effort spent on the adequacy of that report. If the claim moves beyond the Engineer’s determination into dispute resolution and the City wants our support, we will scope it and get written authorization first. We would also understand if the City preferred independent review of that question.</w:t>
      </w:r>
    </w:p>
    <w:p>
      <w:pPr>
        <w:spacing w:before="80"/>
      </w:pPr>
      <w:r>
        <w:rPr>
          <w:b/>
          <w:color w:val="1C355E"/>
        </w:rPr>
        <w:t xml:space="preserve">5.3  Further time.  </w:t>
      </w:r>
      <w:r>
        <w:rPr>
          <w:b w:val="0"/>
          <w:i w:val="0"/>
        </w:rPr>
        <w:t>Vantera’s May 8 request for 21 more days has not been executed, so it is not a Section 8 trigger. If the City grants any part of it, we will submit a supplement on the same basis as 5.1. If Substantial Completion slips past November 20 without an extension, we will address continued CEI services then. The City’s remedy against the Contractor for that kind of cost is liquidated damages under Article 4.4 ($2,400 per day).</w:t>
      </w:r>
    </w:p>
    <w:p>
      <w:pPr>
        <w:keepNext/>
        <w:spacing w:before="200" w:after="80"/>
      </w:pPr>
      <w:r>
        <w:rPr>
          <w:b/>
          <w:color w:val="1C355E"/>
          <w:sz w:val="23"/>
        </w:rPr>
        <w:t>6.  Billing actions, effective now</w:t>
      </w:r>
    </w:p>
    <w:p>
      <w:pPr>
        <w:pStyle w:val="ListNumber"/>
      </w:pPr>
      <w:r>
        <w:rPr>
          <w:b/>
          <w:i w:val="0"/>
        </w:rPr>
        <w:t xml:space="preserve">Reconciliation. </w:t>
      </w:r>
      <w:r>
        <w:rPr>
          <w:b w:val="0"/>
          <w:i w:val="0"/>
        </w:rPr>
        <w:t>The full CEI invoice register from the first invoice through April 2026, tied to the City’s payments, goes to you by May 20.</w:t>
      </w:r>
    </w:p>
    <w:p>
      <w:pPr>
        <w:pStyle w:val="ListNumber"/>
      </w:pPr>
      <w:r>
        <w:rPr>
          <w:b/>
          <w:i w:val="0"/>
        </w:rPr>
        <w:t xml:space="preserve">Hold. </w:t>
      </w:r>
      <w:r>
        <w:rPr>
          <w:b w:val="0"/>
          <w:i w:val="0"/>
        </w:rPr>
        <w:t>We will not issue the May 2026 invoice until the reconciliation is complete. Please hold payment of LCG-CEI-2401-2026-04 ($101,420), and of any other open CEI invoice, until you have it.</w:t>
      </w:r>
    </w:p>
    <w:p>
      <w:pPr>
        <w:pStyle w:val="ListNumber"/>
      </w:pPr>
      <w:r>
        <w:rPr>
          <w:b/>
          <w:i w:val="0"/>
        </w:rPr>
        <w:t xml:space="preserve">Hours and allowances. </w:t>
      </w:r>
      <w:r>
        <w:rPr>
          <w:b w:val="0"/>
          <w:i w:val="0"/>
        </w:rPr>
        <w:t>We are checking billed hours against timesheets and the daily-report record by classification, starting with the Field Inspector II hours. We are also correcting the communications allowance. Exhibit B allows $75 a month per assigned inspector, and it was billed for five and then six inspectors against the three the proposal assigns. That overbilled $825 for January–April, and we are checking 2025 as well.</w:t>
      </w:r>
    </w:p>
    <w:p>
      <w:pPr>
        <w:pStyle w:val="ListNumber"/>
      </w:pPr>
      <w:r>
        <w:rPr>
          <w:b/>
          <w:i w:val="0"/>
        </w:rPr>
        <w:t xml:space="preserve">Invoice format. </w:t>
      </w:r>
      <w:r>
        <w:rPr>
          <w:b w:val="0"/>
          <w:i w:val="0"/>
        </w:rPr>
        <w:t>From now on, invoices will show cumulative billing since NTP and report against the amended contract time.</w:t>
      </w:r>
    </w:p>
    <w:p>
      <w:pPr>
        <w:keepNext/>
        <w:spacing w:before="200" w:after="80"/>
      </w:pPr>
      <w:r>
        <w:rPr>
          <w:b/>
          <w:color w:val="1C355E"/>
          <w:sz w:val="23"/>
        </w:rPr>
        <w:t>7.  What I need from you</w:t>
      </w:r>
    </w:p>
    <w:p>
      <w:pPr>
        <w:pStyle w:val="ListBullet"/>
      </w:pPr>
      <w:r>
        <w:rPr>
          <w:b w:val="0"/>
          <w:i w:val="0"/>
        </w:rPr>
        <w:t>Your concurrence that the package will carry the corrected fee statement and an extension-only amendment request as described above.</w:t>
      </w:r>
    </w:p>
    <w:p>
      <w:pPr>
        <w:pStyle w:val="ListBullet"/>
      </w:pPr>
      <w:r>
        <w:rPr>
          <w:b w:val="0"/>
          <w:i w:val="0"/>
        </w:rPr>
        <w:t>Whether you want the amendment put to Council for action on May 27, or prefer authority to negotiate it within a not-to-exceed amount. Either way, it must be executed before September 5.</w:t>
      </w:r>
    </w:p>
    <w:p>
      <w:pPr>
        <w:pStyle w:val="ListBullet"/>
      </w:pPr>
      <w:r>
        <w:rPr>
          <w:b w:val="0"/>
          <w:i w:val="0"/>
        </w:rPr>
        <w:t>The City’s payment ledger for the CEI agreement, so we can tie out the reconciliation.</w:t>
      </w:r>
    </w:p>
    <w:p>
      <w:pPr>
        <w:keepNext/>
        <w:spacing w:before="320" w:after="0"/>
      </w:pPr>
      <w:r>
        <w:rPr>
          <w:color w:val="555B66"/>
        </w:rPr>
        <w:t>______________________________</w:t>
      </w:r>
    </w:p>
    <w:p>
      <w:pPr>
        <w:keepNext/>
        <w:spacing w:after="0"/>
      </w:pPr>
      <w:r>
        <w:rPr>
          <w:b/>
        </w:rPr>
        <w:t>Marcus Okafor, PE</w:t>
      </w:r>
    </w:p>
    <w:p>
      <w:pPr>
        <w:keepNext/>
        <w:spacing w:after="0"/>
      </w:pPr>
      <w:r>
        <w:rPr>
          <w:b w:val="0"/>
        </w:rPr>
        <w:t>Project Manager, Larkspur Civil Group, Inc.</w:t>
      </w:r>
    </w:p>
    <w:p>
      <w:pPr>
        <w:keepNext/>
        <w:spacing w:after="0"/>
      </w:pPr>
      <w:r>
        <w:rPr>
          <w:b w:val="0"/>
        </w:rPr>
        <w:t>Texas P.E. No. 108772</w:t>
      </w:r>
    </w:p>
    <w:p>
      <w:pPr>
        <w:spacing w:before="200"/>
      </w:pPr>
      <w:r>
        <w:rPr>
          <w:b/>
          <w:color w:val="555B66"/>
          <w:sz w:val="15"/>
        </w:rPr>
        <w:t xml:space="preserve">Sources: </w:t>
      </w:r>
      <w:r>
        <w:rPr>
          <w:color w:val="555B66"/>
          <w:sz w:val="15"/>
        </w:rPr>
        <w:t>CEI invoices LCG-CEI-2401-2026-01 through -04 and the May 7, 2026 package roll-up; Larkspur CEI proposal dated November 26, 2024 (Sections 3, 4, 5 and 8; Exhibits A and B), cited on each invoice as the CEI contract reference; change-order log (data date April 30, 2026) and executed CO-03 and CO-06; Council update of March 25, 2026; daily inspection reports for March and April 2026; Vantera’s May 8, 2026 claim and time-extension letters; construction contract Article 4.4 and General Conditions §4.3. Figures are rounded in the text; all invoice arithmetic was re-footed and agrees with the invoices as issued.</w:t>
      </w:r>
    </w:p>
    <w:sectPr w:rsidR="00FC693F" w:rsidRPr="0006063C" w:rsidSect="00034616">
      <w:headerReference w:type="first" r:id="rId9"/>
      <w:headerReference w:type="default" r:id="rId10"/>
      <w:footerReference w:type="first" r:id="rId11"/>
      <w:footerReference w:type="default" r:id="rId12"/>
      <w:pgSz w:w="12240" w:h="15840"/>
      <w:pgMar w:top="1152" w:right="1440" w:bottom="1152"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color w:val="555B66"/>
        <w:sz w:val="16"/>
      </w:rPr>
      <w:t>Larkspur Civil Group, Inc.  ·  City Project WP-2401  ·  Federal-Aid STP 2024(041) MK</w:t>
    </w:r>
    <w:r>
      <w:rPr>
        <w:color w:val="555B66"/>
        <w:sz w:val="16"/>
      </w:rPr>
      <w:tab/>
      <w:t xml:space="preserve">Page </w:t>
    </w:r>
    <w:r>
      <w:rPr>
        <w:color w:val="555B66"/>
        <w:sz w:val="16"/>
      </w:rPr>
      <w:fldChar w:fldCharType="begin"/>
      <w:instrText xml:space="preserve">PAGE</w:instrText>
      <w:fldChar w:fldCharType="separate"/>
      <w:t>1</w:t>
      <w:fldChar w:fldCharType="end"/>
    </w:r>
    <w:r>
      <w:rPr>
        <w:color w:val="555B66"/>
        <w:sz w:val="16"/>
      </w:rPr>
      <w:t xml:space="preserve"> of </w:t>
    </w:r>
    <w:r>
      <w:rPr>
        <w:color w:val="555B66"/>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color w:val="555B66"/>
        <w:sz w:val="16"/>
      </w:rPr>
      <w:t>Larkspur Civil Group, Inc.  ·  City Project WP-2401  ·  Federal-Aid STP 2024(041) MK</w:t>
    </w:r>
    <w:r>
      <w:rPr>
        <w:color w:val="555B66"/>
        <w:sz w:val="16"/>
      </w:rPr>
      <w:tab/>
      <w:t xml:space="preserve">Page </w:t>
    </w:r>
    <w:r>
      <w:rPr>
        <w:color w:val="555B66"/>
        <w:sz w:val="16"/>
      </w:rPr>
      <w:fldChar w:fldCharType="begin"/>
      <w:instrText xml:space="preserve">PAGE</w:instrText>
      <w:fldChar w:fldCharType="separate"/>
      <w:t>1</w:t>
      <w:fldChar w:fldCharType="end"/>
    </w:r>
    <w:r>
      <w:rPr>
        <w:color w:val="555B66"/>
        <w:sz w:val="16"/>
      </w:rPr>
      <w:t xml:space="preserve"> of </w:t>
    </w:r>
    <w:r>
      <w:rPr>
        <w:color w:val="555B66"/>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b/>
        <w:color w:val="1C355E"/>
        <w:sz w:val="32"/>
      </w:rPr>
      <w:t>LARKSPUR CIVIL GROUP, INC.</w:t>
    </w:r>
  </w:p>
  <w:p>
    <w:pPr>
      <w:spacing w:after="0"/>
    </w:pPr>
    <w:r>
      <w:rPr>
        <w:color w:val="555B66"/>
        <w:sz w:val="19"/>
      </w:rPr>
      <w:t>Engineering  |  Construction Engineering &amp; Inspection</w:t>
    </w:r>
  </w:p>
  <w:p>
    <w:pPr>
      <w:pBdr>
        <w:bottom w:val="single" w:sz="12" w:space="4" w:color="1C355E"/>
      </w:pBdr>
      <w:spacing w:after="0"/>
    </w:pPr>
    <w:r>
      <w:rPr>
        <w:color w:val="555B66"/>
        <w:sz w:val="17"/>
      </w:rPr>
      <w:t>4225 Windsor Bluff Drive, Suite 800  ·  Austin, TX 78745  ·  (512) 555-0180  ·  Texas Registered Engineering Firm F-9421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A6ADB8"/>
      </w:pBdr>
    </w:pPr>
    <w:r/>
    <w:r>
      <w:rPr>
        <w:color w:val="555B66"/>
        <w:sz w:val="17"/>
      </w:rPr>
      <w:t>Memorandum to Sam DeLuca, PE  ·  WP-2401 CEI Fee Position  ·  May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WP-2401 CEI Fee Position Against the Lump-Sum Ceiling</dc:title>
  <dc:subject>Memorandum to Sam DeLuca, PE, City Engineer — May 15, 2026</dc:subject>
  <dc:creator>Marcus Okafor, PE</dc:creator>
  <cp:keywords>WP-2401; CEI; fee ceiling; STP 2024(041) MK</cp:keywords>
  <dc:description>generated by python-docx</dc:description>
  <cp:lastModifiedBy/>
  <cp:revision>1</cp:revision>
  <dcterms:created xsi:type="dcterms:W3CDTF">2013-12-23T23:15:00Z</dcterms:created>
  <dcterms:modified xsi:type="dcterms:W3CDTF">2013-12-23T23:15:00Z</dcterms:modified>
  <cp:category/>
</cp:coreProperties>
</file>