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0"/>
        </w:rPr>
        <w:t>SUNDIAL ENGINEERING &amp; SURVEY</w:t>
      </w:r>
    </w:p>
    <w:p>
      <w:pPr>
        <w:spacing w:after="200"/>
        <w:pBdr>
          <w:bottom w:val="single" w:sz="12" w:space="4" w:color="1F3A5F"/>
        </w:pBdr>
      </w:pPr>
      <w:r>
        <w:rPr>
          <w:color w:val="595959"/>
          <w:sz w:val="17"/>
        </w:rPr>
        <w:t>4720 S. Rainbow Blvd., Suite 210  ·  Las Vegas, NV 89103  ·  (702) 555-0142  ·  NV COA #C-3874</w:t>
      </w:r>
    </w:p>
    <w:p>
      <w:pPr>
        <w:spacing w:before="120" w:after="120"/>
      </w:pPr>
      <w:r>
        <w:rPr>
          <w:b/>
          <w:color w:val="1F3A5F"/>
          <w:sz w:val="32"/>
        </w:rPr>
        <w:t>MEMORANDUM</w:t>
      </w:r>
    </w:p>
    <w:tbl>
      <w:tblPr>
        <w:tblW w:type="dxa" w:w="9360"/>
        <w:tblLayout w:type="fixed"/>
        <w:tblLook w:firstColumn="1" w:firstRow="1" w:lastColumn="0" w:lastRow="0" w:noHBand="0" w:noVBand="1" w:val="04A0"/>
        <w:tblBorders>
          <w:top w:val="nil"/>
          <w:left w:val="nil"/>
          <w:bottom w:val="nil"/>
          <w:right w:val="nil"/>
          <w:insideH w:val="nil"/>
          <w:insideV w:val="nil"/>
        </w:tblBorders>
        <w:tblCellMar>
          <w:top w:w="10" w:type="dxa"/>
          <w:bottom w:w="10" w:type="dxa"/>
          <w:left w:w="0" w:type="dxa"/>
          <w:right w:w="60" w:type="dxa"/>
        </w:tblCellMar>
        <w:tblLayout w:type="fixed"/>
      </w:tblPr>
      <w:tblGrid>
        <w:gridCol w:w="1152"/>
        <w:gridCol w:w="8208"/>
      </w:tblGrid>
      <w:tr>
        <w:tc>
          <w:tcPr>
            <w:tcW w:type="dxa" w:w="1152"/>
          </w:tcPr>
          <w:p>
            <w:pPr>
              <w:spacing w:after="40"/>
            </w:pPr>
            <w:r/>
            <w:r>
              <w:rPr>
                <w:b/>
                <w:sz w:val="21"/>
              </w:rPr>
              <w:t>TO:</w:t>
            </w:r>
          </w:p>
        </w:tc>
        <w:tc>
          <w:tcPr>
            <w:tcW w:type="dxa" w:w="8208"/>
          </w:tcPr>
          <w:p>
            <w:pPr>
              <w:spacing w:after="40"/>
            </w:pPr>
            <w:r/>
            <w:r>
              <w:rPr>
                <w:sz w:val="21"/>
              </w:rPr>
              <w:t>Garrett Nokes, Vice President, Land Development — Callaway Land Partners</w:t>
            </w:r>
          </w:p>
        </w:tc>
      </w:tr>
      <w:tr>
        <w:tc>
          <w:tcPr>
            <w:tcW w:type="dxa" w:w="1152"/>
          </w:tcPr>
          <w:p>
            <w:pPr>
              <w:spacing w:after="40"/>
            </w:pPr>
            <w:r/>
            <w:r>
              <w:rPr>
                <w:b/>
                <w:sz w:val="21"/>
              </w:rPr>
              <w:t>FROM:</w:t>
            </w:r>
          </w:p>
        </w:tc>
        <w:tc>
          <w:tcPr>
            <w:tcW w:type="dxa" w:w="8208"/>
          </w:tcPr>
          <w:p>
            <w:pPr>
              <w:spacing w:after="40"/>
            </w:pPr>
            <w:r/>
            <w:r>
              <w:rPr>
                <w:sz w:val="21"/>
              </w:rPr>
              <w:t>Max Braddock, Project Manager — Sundial Engineering &amp; Survey</w:t>
            </w:r>
          </w:p>
        </w:tc>
      </w:tr>
      <w:tr>
        <w:tc>
          <w:tcPr>
            <w:tcW w:type="dxa" w:w="1152"/>
          </w:tcPr>
          <w:p>
            <w:pPr>
              <w:spacing w:after="40"/>
            </w:pPr>
            <w:r/>
            <w:r>
              <w:rPr>
                <w:b/>
                <w:sz w:val="21"/>
              </w:rPr>
              <w:t>CC:</w:t>
            </w:r>
          </w:p>
        </w:tc>
        <w:tc>
          <w:tcPr>
            <w:tcW w:type="dxa" w:w="8208"/>
          </w:tcPr>
          <w:p>
            <w:pPr>
              <w:spacing w:after="40"/>
            </w:pPr>
            <w:r/>
            <w:r>
              <w:rPr>
                <w:sz w:val="21"/>
              </w:rPr>
              <w:t>Lee Chastain, Callaway Land Partners; Jonathan R. Kessler, PE, and Priya Sarwal, EIT, Sundial; Bea Cortland, PLA, Ocotillo Landscape Studio; Project file 2201-03</w:t>
            </w:r>
          </w:p>
        </w:tc>
      </w:tr>
      <w:tr>
        <w:tc>
          <w:tcPr>
            <w:tcW w:type="dxa" w:w="1152"/>
          </w:tcPr>
          <w:p>
            <w:pPr>
              <w:spacing w:after="40"/>
            </w:pPr>
            <w:r/>
            <w:r>
              <w:rPr>
                <w:b/>
                <w:sz w:val="21"/>
              </w:rPr>
              <w:t>DATE:</w:t>
            </w:r>
          </w:p>
        </w:tc>
        <w:tc>
          <w:tcPr>
            <w:tcW w:type="dxa" w:w="8208"/>
          </w:tcPr>
          <w:p>
            <w:pPr>
              <w:spacing w:after="40"/>
            </w:pPr>
            <w:r/>
            <w:r>
              <w:rPr>
                <w:sz w:val="21"/>
              </w:rPr>
              <w:t>10/31/2026</w:t>
            </w:r>
          </w:p>
        </w:tc>
      </w:tr>
      <w:tr>
        <w:tc>
          <w:tcPr>
            <w:tcW w:type="dxa" w:w="1152"/>
          </w:tcPr>
          <w:p>
            <w:pPr>
              <w:spacing w:after="40"/>
            </w:pPr>
            <w:r/>
            <w:r>
              <w:rPr>
                <w:b/>
                <w:sz w:val="21"/>
              </w:rPr>
              <w:t>RE:</w:t>
            </w:r>
          </w:p>
        </w:tc>
        <w:tc>
          <w:tcPr>
            <w:tcW w:type="dxa" w:w="8208"/>
          </w:tcPr>
          <w:p>
            <w:pPr>
              <w:spacing w:after="40"/>
            </w:pPr>
            <w:r/>
            <w:r>
              <w:rPr>
                <w:b/>
                <w:sz w:val="21"/>
              </w:rPr>
              <w:t>Desert Sage Ranch Phase 3 — Plan Check Comment L-4 (street frontage trees): what it requires, revised annual irrigation demand, and revised bond basis</w:t>
            </w:r>
          </w:p>
          <w:p>
            <w:pPr>
              <w:spacing w:after="40"/>
            </w:pPr>
            <w:r>
              <w:rPr>
                <w:color w:val="595959"/>
                <w:sz w:val="18"/>
              </w:rPr>
              <w:t>IP-26-100288 / FM-26-100290 · Clark County Public Works first-round comments (D. Yeoman, PE), 10/09/2026</w:t>
            </w:r>
          </w:p>
        </w:tc>
      </w:tr>
    </w:tbl>
    <w:p>
      <w:pPr>
        <w:spacing w:after="80"/>
        <w:pBdr>
          <w:bottom w:val="single" w:sz="6" w:space="1" w:color="7F7F7F"/>
        </w:pBdr>
      </w:pPr>
    </w:p>
    <w:p>
      <w:pPr>
        <w:keepNext/>
        <w:spacing w:before="180" w:after="60"/>
      </w:pPr>
      <w:r>
        <w:rPr>
          <w:b/>
          <w:color w:val="1F3A5F"/>
          <w:sz w:val="23"/>
        </w:rPr>
        <w:t>1.  Bottom line</w:t>
      </w:r>
    </w:p>
    <w:p>
      <w:pPr>
        <w:pStyle w:val="ListBullet"/>
      </w:pPr>
      <w:r>
        <w:rPr>
          <w:b/>
          <w:i w:val="0"/>
        </w:rPr>
        <w:t xml:space="preserve">L-4 is a code requirement, and our own sheets already commit to it. </w:t>
      </w:r>
      <w:r>
        <w:rPr>
          <w:b w:val="0"/>
          <w:i w:val="0"/>
        </w:rPr>
        <w:t>Title 30 sec. 30.64.030(k) requires one medium-canopy street tree per 20 linear feet of frontage. On the 4,160 lf of frontage on our Sheet L-2, that is 208 street trees. L-1 shows 58, so we need to add 150.</w:t>
      </w:r>
    </w:p>
    <w:p>
      <w:pPr>
        <w:pStyle w:val="ListBullet"/>
      </w:pPr>
      <w:r>
        <w:rPr>
          <w:b w:val="0"/>
          <w:i w:val="0"/>
        </w:rPr>
        <w:t>We can handle it as the redline of L-1 and L-2 you asked for. It uses the three species already on the plan (Desert Willow, Desert Museum Palo Verde, Thornless Mesquite, all on the 2022-approved palette) at the 20-ft spacing our sections already show. No new species, no change to the streetscape sections. It is still a real change: 150 trees, 0.92 ac-ft/yr of water and $75,000 of bond.</w:t>
      </w:r>
    </w:p>
    <w:p>
      <w:pPr>
        <w:pStyle w:val="ListBullet"/>
      </w:pPr>
      <w:r>
        <w:rPr>
          <w:b/>
          <w:i w:val="0"/>
        </w:rPr>
        <w:t xml:space="preserve">Annual irrigation demand goes from 3.28 to 4.20 acre-feet per year (+0.92). </w:t>
      </w:r>
      <w:r>
        <w:rPr>
          <w:b w:val="0"/>
          <w:i w:val="0"/>
        </w:rPr>
        <w:t>HZ-1 turf (2.32) and HZ-2 drip planting (0.51) are unchanged. HZ-3 trees goes from 0.45 to 1.37.</w:t>
      </w:r>
    </w:p>
    <w:p>
      <w:pPr>
        <w:pStyle w:val="ListBullet"/>
      </w:pPr>
      <w:r>
        <w:rPr>
          <w:b/>
          <w:i w:val="0"/>
        </w:rPr>
        <w:t xml:space="preserve">The bond basis goes from $5,357,000 to $5,432,000 (+$75,000). </w:t>
      </w:r>
      <w:r>
        <w:rPr>
          <w:b w:val="0"/>
          <w:i w:val="0"/>
        </w:rPr>
        <w:t>That covers 150 more 24-inch box trees plus a drip emitter assembly for each. The Section 9 lump sums are unchanged.</w:t>
      </w:r>
    </w:p>
    <w:p>
      <w:pPr>
        <w:pStyle w:val="ListBullet"/>
      </w:pPr>
      <w:r>
        <w:rPr>
          <w:b w:val="0"/>
          <w:i w:val="0"/>
        </w:rPr>
        <w:t>To keep this from adding process, we need Comprehensive Planning to confirm in writing that the change is not “significant” under TM Condition 14. We should have that before we resubmit (Section 5).</w:t>
      </w:r>
    </w:p>
    <w:p>
      <w:pPr>
        <w:keepNext/>
        <w:spacing w:before="180" w:after="60"/>
      </w:pPr>
      <w:r>
        <w:rPr>
          <w:b/>
          <w:color w:val="1F3A5F"/>
          <w:sz w:val="23"/>
        </w:rPr>
        <w:t>2.  What L-4 requires</w:t>
      </w:r>
    </w:p>
    <w:p>
      <w:pPr>
        <w:keepNext/>
      </w:pPr>
      <w:r>
        <w:rPr>
          <w:b w:val="0"/>
          <w:i w:val="0"/>
        </w:rPr>
        <w:t>The County’s shade and canopy guidance (CP-PW-GM-2025-04, March 2025) names sec. 30.64.030(k) as the binding standard and classes our streetscape palette as medium canopy, so the 1-per-20-lf rate applies. Each frontage is computed separately, rounded up to a whole tree, and summed. The 4,160 lf in the comment is the total from our own L-2 Streetscape Frontage Summary:</w:t>
      </w:r>
    </w:p>
    <w:tbl>
      <w:tblPr>
        <w:tblStyle w:val="TableGrid"/>
        <w:tblW w:type="dxa" w:w="9360"/>
        <w:jc w:val="center"/>
        <w:tblLayout w:type="fixed"/>
        <w:tblLook w:firstColumn="1" w:firstRow="1" w:lastColumn="0" w:lastRow="0" w:noHBand="0" w:noVBand="1" w:val="04A0"/>
        <w:tblCellMar>
          <w:top w:w="40" w:type="dxa"/>
          <w:bottom w:w="40" w:type="dxa"/>
          <w:left w:w="80" w:type="dxa"/>
          <w:right w:w="80" w:type="dxa"/>
        </w:tblCellMar>
        <w:tblLayout w:type="fixed"/>
      </w:tblPr>
      <w:tblGrid>
        <w:gridCol w:w="3600"/>
        <w:gridCol w:w="1296"/>
        <w:gridCol w:w="1872"/>
        <w:gridCol w:w="1584"/>
        <w:gridCol w:w="1008"/>
      </w:tblGrid>
      <w:tr>
        <w:trPr>
          <w:tblHeader/>
          <w:cantSplit/>
        </w:trPr>
        <w:tc>
          <w:tcPr>
            <w:tcW w:type="dxa" w:w="3600"/>
            <w:shd w:val="clear" w:color="auto" w:fill="1F3A5F"/>
            <w:vAlign w:val="center"/>
          </w:tcPr>
          <w:p>
            <w:pPr>
              <w:keepNext/>
              <w:spacing w:after="0"/>
            </w:pPr>
            <w:r/>
            <w:r>
              <w:rPr>
                <w:b/>
                <w:color w:val="FFFFFF"/>
                <w:sz w:val="18"/>
              </w:rPr>
              <w:t>Frontage</w:t>
            </w:r>
          </w:p>
        </w:tc>
        <w:tc>
          <w:tcPr>
            <w:tcW w:type="dxa" w:w="1296"/>
            <w:shd w:val="clear" w:color="auto" w:fill="1F3A5F"/>
            <w:vAlign w:val="center"/>
          </w:tcPr>
          <w:p>
            <w:pPr>
              <w:keepNext/>
              <w:spacing w:after="0"/>
              <w:jc w:val="right"/>
            </w:pPr>
            <w:r/>
            <w:r>
              <w:rPr>
                <w:b/>
                <w:color w:val="FFFFFF"/>
                <w:sz w:val="18"/>
              </w:rPr>
              <w:t>Length (lf)</w:t>
            </w:r>
          </w:p>
        </w:tc>
        <w:tc>
          <w:tcPr>
            <w:tcW w:type="dxa" w:w="1872"/>
            <w:shd w:val="clear" w:color="auto" w:fill="1F3A5F"/>
            <w:vAlign w:val="center"/>
          </w:tcPr>
          <w:p>
            <w:pPr>
              <w:keepNext/>
              <w:spacing w:after="0"/>
              <w:jc w:val="right"/>
            </w:pPr>
            <w:r/>
            <w:r>
              <w:rPr>
                <w:b/>
                <w:color w:val="FFFFFF"/>
                <w:sz w:val="18"/>
              </w:rPr>
              <w:t>Required (1 per 20 lf)</w:t>
            </w:r>
          </w:p>
        </w:tc>
        <w:tc>
          <w:tcPr>
            <w:tcW w:type="dxa" w:w="1584"/>
            <w:shd w:val="clear" w:color="auto" w:fill="1F3A5F"/>
            <w:vAlign w:val="center"/>
          </w:tcPr>
          <w:p>
            <w:pPr>
              <w:keepNext/>
              <w:spacing w:after="0"/>
              <w:jc w:val="right"/>
            </w:pPr>
            <w:r/>
            <w:r>
              <w:rPr>
                <w:b/>
                <w:color w:val="FFFFFF"/>
                <w:sz w:val="18"/>
              </w:rPr>
              <w:t>Shown 08/21/2026</w:t>
            </w:r>
          </w:p>
        </w:tc>
        <w:tc>
          <w:tcPr>
            <w:tcW w:type="dxa" w:w="1008"/>
            <w:shd w:val="clear" w:color="auto" w:fill="1F3A5F"/>
            <w:vAlign w:val="center"/>
          </w:tcPr>
          <w:p>
            <w:pPr>
              <w:keepNext/>
              <w:spacing w:after="0"/>
              <w:jc w:val="right"/>
            </w:pPr>
            <w:r/>
            <w:r>
              <w:rPr>
                <w:b/>
                <w:color w:val="FFFFFF"/>
                <w:sz w:val="18"/>
              </w:rPr>
              <w:t>To add</w:t>
            </w:r>
          </w:p>
        </w:tc>
      </w:tr>
      <w:tr>
        <w:trPr>
          <w:cantSplit/>
        </w:trPr>
        <w:tc>
          <w:tcPr>
            <w:tcW w:type="dxa" w:w="3600"/>
            <w:vAlign w:val="center"/>
          </w:tcPr>
          <w:p>
            <w:pPr>
              <w:keepNext/>
              <w:spacing w:after="0" w:line="240" w:lineRule="auto"/>
            </w:pPr>
            <w:r/>
            <w:r>
              <w:rPr>
                <w:sz w:val="18"/>
              </w:rPr>
              <w:t>Windmill Ln. — Phase 3 frontage</w:t>
            </w:r>
          </w:p>
        </w:tc>
        <w:tc>
          <w:tcPr>
            <w:tcW w:type="dxa" w:w="1296"/>
            <w:vAlign w:val="center"/>
          </w:tcPr>
          <w:p>
            <w:pPr>
              <w:keepNext/>
              <w:spacing w:after="0" w:line="240" w:lineRule="auto"/>
              <w:jc w:val="right"/>
            </w:pPr>
            <w:r/>
            <w:r>
              <w:rPr>
                <w:sz w:val="18"/>
              </w:rPr>
              <w:t>2,560</w:t>
            </w:r>
          </w:p>
        </w:tc>
        <w:tc>
          <w:tcPr>
            <w:tcW w:type="dxa" w:w="1872"/>
            <w:vAlign w:val="center"/>
          </w:tcPr>
          <w:p>
            <w:pPr>
              <w:keepNext/>
              <w:spacing w:after="0" w:line="240" w:lineRule="auto"/>
              <w:jc w:val="right"/>
            </w:pPr>
            <w:r/>
            <w:r>
              <w:rPr>
                <w:sz w:val="18"/>
              </w:rPr>
              <w:t>128</w:t>
            </w:r>
          </w:p>
        </w:tc>
        <w:tc>
          <w:tcPr>
            <w:tcW w:type="dxa" w:w="1584"/>
            <w:vAlign w:val="center"/>
          </w:tcPr>
          <w:p>
            <w:pPr>
              <w:keepNext/>
              <w:spacing w:after="0" w:line="240" w:lineRule="auto"/>
              <w:jc w:val="right"/>
            </w:pPr>
            <w:r/>
            <w:r>
              <w:rPr>
                <w:sz w:val="18"/>
              </w:rPr>
              <w:t>34</w:t>
            </w:r>
          </w:p>
        </w:tc>
        <w:tc>
          <w:tcPr>
            <w:tcW w:type="dxa" w:w="1008"/>
            <w:vAlign w:val="center"/>
          </w:tcPr>
          <w:p>
            <w:pPr>
              <w:keepNext/>
              <w:spacing w:after="0" w:line="240" w:lineRule="auto"/>
              <w:jc w:val="right"/>
            </w:pPr>
            <w:r/>
            <w:r>
              <w:rPr>
                <w:sz w:val="18"/>
              </w:rPr>
              <w:t>94</w:t>
            </w:r>
          </w:p>
        </w:tc>
      </w:tr>
      <w:tr>
        <w:trPr>
          <w:cantSplit/>
        </w:trPr>
        <w:tc>
          <w:tcPr>
            <w:tcW w:type="dxa" w:w="3600"/>
            <w:vAlign w:val="center"/>
          </w:tcPr>
          <w:p>
            <w:pPr>
              <w:keepNext/>
              <w:spacing w:after="0" w:line="240" w:lineRule="auto"/>
            </w:pPr>
            <w:r/>
            <w:r>
              <w:rPr>
                <w:sz w:val="18"/>
              </w:rPr>
              <w:t>Interior collector — both sides</w:t>
            </w:r>
          </w:p>
        </w:tc>
        <w:tc>
          <w:tcPr>
            <w:tcW w:type="dxa" w:w="1296"/>
            <w:vAlign w:val="center"/>
          </w:tcPr>
          <w:p>
            <w:pPr>
              <w:keepNext/>
              <w:spacing w:after="0" w:line="240" w:lineRule="auto"/>
              <w:jc w:val="right"/>
            </w:pPr>
            <w:r/>
            <w:r>
              <w:rPr>
                <w:sz w:val="18"/>
              </w:rPr>
              <w:t>1,180</w:t>
            </w:r>
          </w:p>
        </w:tc>
        <w:tc>
          <w:tcPr>
            <w:tcW w:type="dxa" w:w="1872"/>
            <w:vAlign w:val="center"/>
          </w:tcPr>
          <w:p>
            <w:pPr>
              <w:keepNext/>
              <w:spacing w:after="0" w:line="240" w:lineRule="auto"/>
              <w:jc w:val="right"/>
            </w:pPr>
            <w:r/>
            <w:r>
              <w:rPr>
                <w:sz w:val="18"/>
              </w:rPr>
              <w:t>59</w:t>
            </w:r>
          </w:p>
        </w:tc>
        <w:tc>
          <w:tcPr>
            <w:tcW w:type="dxa" w:w="1584"/>
            <w:vAlign w:val="center"/>
          </w:tcPr>
          <w:p>
            <w:pPr>
              <w:keepNext/>
              <w:spacing w:after="0" w:line="240" w:lineRule="auto"/>
              <w:jc w:val="right"/>
            </w:pPr>
            <w:r/>
            <w:r>
              <w:rPr>
                <w:sz w:val="18"/>
              </w:rPr>
              <w:t>16</w:t>
            </w:r>
          </w:p>
        </w:tc>
        <w:tc>
          <w:tcPr>
            <w:tcW w:type="dxa" w:w="1008"/>
            <w:vAlign w:val="center"/>
          </w:tcPr>
          <w:p>
            <w:pPr>
              <w:keepNext/>
              <w:spacing w:after="0" w:line="240" w:lineRule="auto"/>
              <w:jc w:val="right"/>
            </w:pPr>
            <w:r/>
            <w:r>
              <w:rPr>
                <w:sz w:val="18"/>
              </w:rPr>
              <w:t>43</w:t>
            </w:r>
          </w:p>
        </w:tc>
      </w:tr>
      <w:tr>
        <w:trPr>
          <w:cantSplit/>
        </w:trPr>
        <w:tc>
          <w:tcPr>
            <w:tcW w:type="dxa" w:w="3600"/>
            <w:vAlign w:val="center"/>
          </w:tcPr>
          <w:p>
            <w:pPr>
              <w:keepNext/>
              <w:spacing w:after="0" w:line="240" w:lineRule="auto"/>
            </w:pPr>
            <w:r/>
            <w:r>
              <w:rPr>
                <w:sz w:val="18"/>
              </w:rPr>
              <w:t>Rainbow Blvd. — entry frontage</w:t>
            </w:r>
          </w:p>
        </w:tc>
        <w:tc>
          <w:tcPr>
            <w:tcW w:type="dxa" w:w="1296"/>
            <w:vAlign w:val="center"/>
          </w:tcPr>
          <w:p>
            <w:pPr>
              <w:keepNext/>
              <w:spacing w:after="0" w:line="240" w:lineRule="auto"/>
              <w:jc w:val="right"/>
            </w:pPr>
            <w:r/>
            <w:r>
              <w:rPr>
                <w:sz w:val="18"/>
              </w:rPr>
              <w:t>420</w:t>
            </w:r>
          </w:p>
        </w:tc>
        <w:tc>
          <w:tcPr>
            <w:tcW w:type="dxa" w:w="1872"/>
            <w:vAlign w:val="center"/>
          </w:tcPr>
          <w:p>
            <w:pPr>
              <w:keepNext/>
              <w:spacing w:after="0" w:line="240" w:lineRule="auto"/>
              <w:jc w:val="right"/>
            </w:pPr>
            <w:r/>
            <w:r>
              <w:rPr>
                <w:sz w:val="18"/>
              </w:rPr>
              <w:t>21</w:t>
            </w:r>
          </w:p>
        </w:tc>
        <w:tc>
          <w:tcPr>
            <w:tcW w:type="dxa" w:w="1584"/>
            <w:vAlign w:val="center"/>
          </w:tcPr>
          <w:p>
            <w:pPr>
              <w:keepNext/>
              <w:spacing w:after="0" w:line="240" w:lineRule="auto"/>
              <w:jc w:val="right"/>
            </w:pPr>
            <w:r/>
            <w:r>
              <w:rPr>
                <w:sz w:val="18"/>
              </w:rPr>
              <w:t>8</w:t>
            </w:r>
          </w:p>
        </w:tc>
        <w:tc>
          <w:tcPr>
            <w:tcW w:type="dxa" w:w="1008"/>
            <w:vAlign w:val="center"/>
          </w:tcPr>
          <w:p>
            <w:pPr>
              <w:keepNext/>
              <w:spacing w:after="0" w:line="240" w:lineRule="auto"/>
              <w:jc w:val="right"/>
            </w:pPr>
            <w:r/>
            <w:r>
              <w:rPr>
                <w:sz w:val="18"/>
              </w:rPr>
              <w:t>13</w:t>
            </w:r>
          </w:p>
        </w:tc>
      </w:tr>
      <w:tr>
        <w:trPr>
          <w:cantSplit/>
        </w:trPr>
        <w:tc>
          <w:tcPr>
            <w:tcW w:type="dxa" w:w="3600"/>
            <w:shd w:val="clear" w:color="auto" w:fill="E8EDF3"/>
            <w:vAlign w:val="center"/>
          </w:tcPr>
          <w:p>
            <w:pPr>
              <w:spacing w:after="0" w:line="240" w:lineRule="auto"/>
            </w:pPr>
            <w:r/>
            <w:r>
              <w:rPr>
                <w:b/>
                <w:sz w:val="18"/>
              </w:rPr>
              <w:t>Total street trees</w:t>
            </w:r>
          </w:p>
        </w:tc>
        <w:tc>
          <w:tcPr>
            <w:tcW w:type="dxa" w:w="1296"/>
            <w:shd w:val="clear" w:color="auto" w:fill="E8EDF3"/>
            <w:vAlign w:val="center"/>
          </w:tcPr>
          <w:p>
            <w:pPr>
              <w:spacing w:after="0" w:line="240" w:lineRule="auto"/>
              <w:jc w:val="right"/>
            </w:pPr>
            <w:r/>
            <w:r>
              <w:rPr>
                <w:b/>
                <w:sz w:val="18"/>
              </w:rPr>
              <w:t>4,160</w:t>
            </w:r>
          </w:p>
        </w:tc>
        <w:tc>
          <w:tcPr>
            <w:tcW w:type="dxa" w:w="1872"/>
            <w:shd w:val="clear" w:color="auto" w:fill="E8EDF3"/>
            <w:vAlign w:val="center"/>
          </w:tcPr>
          <w:p>
            <w:pPr>
              <w:spacing w:after="0" w:line="240" w:lineRule="auto"/>
              <w:jc w:val="right"/>
            </w:pPr>
            <w:r/>
            <w:r>
              <w:rPr>
                <w:b/>
                <w:sz w:val="18"/>
              </w:rPr>
              <w:t>208</w:t>
            </w:r>
          </w:p>
        </w:tc>
        <w:tc>
          <w:tcPr>
            <w:tcW w:type="dxa" w:w="1584"/>
            <w:shd w:val="clear" w:color="auto" w:fill="E8EDF3"/>
            <w:vAlign w:val="center"/>
          </w:tcPr>
          <w:p>
            <w:pPr>
              <w:spacing w:after="0" w:line="240" w:lineRule="auto"/>
              <w:jc w:val="right"/>
            </w:pPr>
            <w:r/>
            <w:r>
              <w:rPr>
                <w:b/>
                <w:sz w:val="18"/>
              </w:rPr>
              <w:t>58</w:t>
            </w:r>
          </w:p>
        </w:tc>
        <w:tc>
          <w:tcPr>
            <w:tcW w:type="dxa" w:w="1008"/>
            <w:shd w:val="clear" w:color="auto" w:fill="E8EDF3"/>
            <w:vAlign w:val="center"/>
          </w:tcPr>
          <w:p>
            <w:pPr>
              <w:spacing w:after="0" w:line="240" w:lineRule="auto"/>
              <w:jc w:val="right"/>
            </w:pPr>
            <w:r/>
            <w:r>
              <w:rPr>
                <w:b/>
                <w:sz w:val="18"/>
              </w:rPr>
              <w:t>150</w:t>
            </w:r>
          </w:p>
        </w:tc>
      </w:tr>
    </w:tbl>
    <w:p>
      <w:pPr>
        <w:spacing w:after="40" w:line="192" w:lineRule="auto"/>
      </w:pPr>
    </w:p>
    <w:p>
      <w:r>
        <w:rPr>
          <w:b w:val="0"/>
          <w:i w:val="0"/>
        </w:rPr>
        <w:t>The 6 entry-monument Pistache and 10 park Evergreen Elms are not street trees and do not count toward the 208. They stay in the demand and the estimate unchanged.</w:t>
      </w:r>
    </w:p>
    <w:p>
      <w:r>
        <w:rPr>
          <w:b w:val="0"/>
          <w:i w:val="0"/>
        </w:rPr>
        <w:t>We can’t push back on this comment. L-1 General Note 7, the L-2 sections and the L-2 streetscape notes all call for trees at 20 ft on center, but the plant schedule and plan graphics never followed through (58 trees on 4,160 lf is about one every 72 ft). TM Condition 25 requires the street frontage tree standard in effect at submittal. Condition 28 requires the irrigation demand worksheet to be updated for any palette revision before landscape approval.</w:t>
      </w:r>
    </w:p>
    <w:p>
      <w:r>
        <w:rPr>
          <w:b w:val="0"/>
          <w:i w:val="0"/>
        </w:rPr>
        <w:t xml:space="preserve">There are two routes to a lower count, and I don’t recommend either for this resubmittal. </w:t>
      </w:r>
      <w:r>
        <w:rPr>
          <w:b/>
          <w:i w:val="0"/>
        </w:rPr>
        <w:t>Large-canopy species</w:t>
      </w:r>
      <w:r>
        <w:rPr>
          <w:b w:val="0"/>
          <w:i w:val="0"/>
        </w:rPr>
        <w:t xml:space="preserve"> at one per 30 lf (also sec. 30.64.030(k)) would need 140 trees (86 / 40 / 14). But that changes the streetscape species, which Planning would likely treat as a significant change, and staff would expect a shade coverage exhibit to support it. </w:t>
      </w:r>
      <w:r>
        <w:rPr>
          <w:b/>
          <w:i w:val="0"/>
        </w:rPr>
        <w:t>An Alternative Standards request</w:t>
      </w:r>
      <w:r>
        <w:rPr>
          <w:b w:val="0"/>
          <w:i w:val="0"/>
        </w:rPr>
        <w:t xml:space="preserve"> under sec. 30.64.050 needs a discretionary written approval from Planning, which puts another review on the critical path.</w:t>
      </w:r>
    </w:p>
    <w:p>
      <w:pPr>
        <w:keepNext/>
        <w:spacing w:before="180" w:after="60"/>
      </w:pPr>
      <w:r>
        <w:rPr>
          <w:b/>
          <w:color w:val="1F3A5F"/>
          <w:sz w:val="23"/>
        </w:rPr>
        <w:t>3.  Annual irrigation demand</w:t>
      </w:r>
    </w:p>
    <w:p>
      <w:pPr>
        <w:keepNext/>
      </w:pPr>
      <w:r>
        <w:rPr>
          <w:b w:val="0"/>
          <w:i w:val="0"/>
        </w:rPr>
        <w:t>This follows the method in Ocotillo’s Water Budget and Irrigation Demand Worksheet (08/15/2026). Rates are 5.5 ft/yr for spray turf, 1.0 ft/yr for drip planting and 2,000 gallons per tree per year. Each hydrozone is rounded to two decimals, and the total is the sum of the rounded hydrozones.</w:t>
      </w:r>
    </w:p>
    <w:tbl>
      <w:tblPr>
        <w:tblStyle w:val="TableGrid"/>
        <w:tblW w:type="dxa" w:w="9360"/>
        <w:jc w:val="center"/>
        <w:tblLayout w:type="fixed"/>
        <w:tblLook w:firstColumn="1" w:firstRow="1" w:lastColumn="0" w:lastRow="0" w:noHBand="0" w:noVBand="1" w:val="04A0"/>
        <w:tblCellMar>
          <w:top w:w="40" w:type="dxa"/>
          <w:bottom w:w="40" w:type="dxa"/>
          <w:left w:w="80" w:type="dxa"/>
          <w:right w:w="80" w:type="dxa"/>
        </w:tblCellMar>
        <w:tblLayout w:type="fixed"/>
      </w:tblPr>
      <w:tblGrid>
        <w:gridCol w:w="2376"/>
        <w:gridCol w:w="2088"/>
        <w:gridCol w:w="936"/>
        <w:gridCol w:w="2088"/>
        <w:gridCol w:w="936"/>
        <w:gridCol w:w="936"/>
      </w:tblGrid>
      <w:tr>
        <w:trPr>
          <w:tblHeader/>
          <w:cantSplit/>
        </w:trPr>
        <w:tc>
          <w:tcPr>
            <w:tcW w:type="dxa" w:w="2376"/>
            <w:shd w:val="clear" w:color="auto" w:fill="1F3A5F"/>
            <w:vAlign w:val="center"/>
          </w:tcPr>
          <w:p>
            <w:pPr>
              <w:keepNext/>
              <w:spacing w:after="0"/>
            </w:pPr>
            <w:r/>
            <w:r>
              <w:rPr>
                <w:b/>
                <w:color w:val="FFFFFF"/>
                <w:sz w:val="18"/>
              </w:rPr>
              <w:t>Hydrozone</w:t>
            </w:r>
          </w:p>
        </w:tc>
        <w:tc>
          <w:tcPr>
            <w:tcW w:type="dxa" w:w="2088"/>
            <w:shd w:val="clear" w:color="auto" w:fill="1F3A5F"/>
            <w:vAlign w:val="center"/>
          </w:tcPr>
          <w:p>
            <w:pPr>
              <w:keepNext/>
              <w:spacing w:after="0"/>
            </w:pPr>
            <w:r/>
            <w:r>
              <w:rPr>
                <w:b/>
                <w:color w:val="FFFFFF"/>
                <w:sz w:val="18"/>
              </w:rPr>
              <w:t>08/21/2026 submittal</w:t>
            </w:r>
          </w:p>
        </w:tc>
        <w:tc>
          <w:tcPr>
            <w:tcW w:type="dxa" w:w="936"/>
            <w:shd w:val="clear" w:color="auto" w:fill="1F3A5F"/>
            <w:vAlign w:val="center"/>
          </w:tcPr>
          <w:p>
            <w:pPr>
              <w:keepNext/>
              <w:spacing w:after="0"/>
              <w:jc w:val="right"/>
            </w:pPr>
            <w:r/>
            <w:r>
              <w:rPr>
                <w:b/>
                <w:color w:val="FFFFFF"/>
                <w:sz w:val="18"/>
              </w:rPr>
              <w:t>ac-ft/yr</w:t>
            </w:r>
          </w:p>
        </w:tc>
        <w:tc>
          <w:tcPr>
            <w:tcW w:type="dxa" w:w="2088"/>
            <w:shd w:val="clear" w:color="auto" w:fill="1F3A5F"/>
            <w:vAlign w:val="center"/>
          </w:tcPr>
          <w:p>
            <w:pPr>
              <w:keepNext/>
              <w:spacing w:after="0"/>
            </w:pPr>
            <w:r/>
            <w:r>
              <w:rPr>
                <w:b/>
                <w:color w:val="FFFFFF"/>
                <w:sz w:val="18"/>
              </w:rPr>
              <w:t>With L-4</w:t>
            </w:r>
          </w:p>
        </w:tc>
        <w:tc>
          <w:tcPr>
            <w:tcW w:type="dxa" w:w="936"/>
            <w:shd w:val="clear" w:color="auto" w:fill="1F3A5F"/>
            <w:vAlign w:val="center"/>
          </w:tcPr>
          <w:p>
            <w:pPr>
              <w:keepNext/>
              <w:spacing w:after="0"/>
              <w:jc w:val="right"/>
            </w:pPr>
            <w:r/>
            <w:r>
              <w:rPr>
                <w:b/>
                <w:color w:val="FFFFFF"/>
                <w:sz w:val="18"/>
              </w:rPr>
              <w:t>ac-ft/yr</w:t>
            </w:r>
          </w:p>
        </w:tc>
        <w:tc>
          <w:tcPr>
            <w:tcW w:type="dxa" w:w="936"/>
            <w:shd w:val="clear" w:color="auto" w:fill="1F3A5F"/>
            <w:vAlign w:val="center"/>
          </w:tcPr>
          <w:p>
            <w:pPr>
              <w:keepNext/>
              <w:spacing w:after="0"/>
              <w:jc w:val="right"/>
            </w:pPr>
            <w:r/>
            <w:r>
              <w:rPr>
                <w:b/>
                <w:color w:val="FFFFFF"/>
                <w:sz w:val="18"/>
              </w:rPr>
              <w:t>Change</w:t>
            </w:r>
          </w:p>
        </w:tc>
      </w:tr>
      <w:tr>
        <w:trPr>
          <w:cantSplit/>
        </w:trPr>
        <w:tc>
          <w:tcPr>
            <w:tcW w:type="dxa" w:w="2376"/>
            <w:vAlign w:val="center"/>
          </w:tcPr>
          <w:p>
            <w:pPr>
              <w:keepNext/>
              <w:spacing w:after="0" w:line="240" w:lineRule="auto"/>
            </w:pPr>
            <w:r/>
            <w:r>
              <w:rPr>
                <w:sz w:val="18"/>
              </w:rPr>
              <w:t>HZ-1  Common-area park turf (Parcel A)</w:t>
            </w:r>
          </w:p>
        </w:tc>
        <w:tc>
          <w:tcPr>
            <w:tcW w:type="dxa" w:w="2088"/>
            <w:vAlign w:val="center"/>
          </w:tcPr>
          <w:p>
            <w:pPr>
              <w:keepNext/>
              <w:spacing w:after="0" w:line="240" w:lineRule="auto"/>
            </w:pPr>
            <w:r/>
            <w:r>
              <w:rPr>
                <w:sz w:val="18"/>
              </w:rPr>
              <w:t>18,400 sf × 5.5 ft/yr</w:t>
            </w:r>
          </w:p>
        </w:tc>
        <w:tc>
          <w:tcPr>
            <w:tcW w:type="dxa" w:w="936"/>
            <w:vAlign w:val="center"/>
          </w:tcPr>
          <w:p>
            <w:pPr>
              <w:keepNext/>
              <w:spacing w:after="0" w:line="240" w:lineRule="auto"/>
              <w:jc w:val="right"/>
            </w:pPr>
            <w:r/>
            <w:r>
              <w:rPr>
                <w:sz w:val="18"/>
              </w:rPr>
              <w:t>2.32</w:t>
            </w:r>
          </w:p>
        </w:tc>
        <w:tc>
          <w:tcPr>
            <w:tcW w:type="dxa" w:w="2088"/>
            <w:vAlign w:val="center"/>
          </w:tcPr>
          <w:p>
            <w:pPr>
              <w:keepNext/>
              <w:spacing w:after="0" w:line="240" w:lineRule="auto"/>
            </w:pPr>
            <w:r/>
            <w:r>
              <w:rPr>
                <w:sz w:val="18"/>
              </w:rPr>
              <w:t>No change</w:t>
            </w:r>
          </w:p>
        </w:tc>
        <w:tc>
          <w:tcPr>
            <w:tcW w:type="dxa" w:w="936"/>
            <w:vAlign w:val="center"/>
          </w:tcPr>
          <w:p>
            <w:pPr>
              <w:keepNext/>
              <w:spacing w:after="0" w:line="240" w:lineRule="auto"/>
              <w:jc w:val="right"/>
            </w:pPr>
            <w:r/>
            <w:r>
              <w:rPr>
                <w:sz w:val="18"/>
              </w:rPr>
              <w:t>2.32</w:t>
            </w:r>
          </w:p>
        </w:tc>
        <w:tc>
          <w:tcPr>
            <w:tcW w:type="dxa" w:w="936"/>
            <w:vAlign w:val="center"/>
          </w:tcPr>
          <w:p>
            <w:pPr>
              <w:keepNext/>
              <w:spacing w:after="0" w:line="240" w:lineRule="auto"/>
              <w:jc w:val="right"/>
            </w:pPr>
            <w:r/>
            <w:r>
              <w:rPr>
                <w:sz w:val="18"/>
              </w:rPr>
              <w:t>0.00</w:t>
            </w:r>
          </w:p>
        </w:tc>
      </w:tr>
      <w:tr>
        <w:trPr>
          <w:cantSplit/>
        </w:trPr>
        <w:tc>
          <w:tcPr>
            <w:tcW w:type="dxa" w:w="2376"/>
            <w:vAlign w:val="center"/>
          </w:tcPr>
          <w:p>
            <w:pPr>
              <w:keepNext/>
              <w:spacing w:after="0" w:line="240" w:lineRule="auto"/>
            </w:pPr>
            <w:r/>
            <w:r>
              <w:rPr>
                <w:sz w:val="18"/>
              </w:rPr>
              <w:t>HZ-2  Common-area drip planting</w:t>
            </w:r>
          </w:p>
        </w:tc>
        <w:tc>
          <w:tcPr>
            <w:tcW w:type="dxa" w:w="2088"/>
            <w:vAlign w:val="center"/>
          </w:tcPr>
          <w:p>
            <w:pPr>
              <w:keepNext/>
              <w:spacing w:after="0" w:line="240" w:lineRule="auto"/>
            </w:pPr>
            <w:r/>
            <w:r>
              <w:rPr>
                <w:sz w:val="18"/>
              </w:rPr>
              <w:t>22,200 sf × 1.0 ft/yr</w:t>
            </w:r>
          </w:p>
        </w:tc>
        <w:tc>
          <w:tcPr>
            <w:tcW w:type="dxa" w:w="936"/>
            <w:vAlign w:val="center"/>
          </w:tcPr>
          <w:p>
            <w:pPr>
              <w:keepNext/>
              <w:spacing w:after="0" w:line="240" w:lineRule="auto"/>
              <w:jc w:val="right"/>
            </w:pPr>
            <w:r/>
            <w:r>
              <w:rPr>
                <w:sz w:val="18"/>
              </w:rPr>
              <w:t>0.51</w:t>
            </w:r>
          </w:p>
        </w:tc>
        <w:tc>
          <w:tcPr>
            <w:tcW w:type="dxa" w:w="2088"/>
            <w:vAlign w:val="center"/>
          </w:tcPr>
          <w:p>
            <w:pPr>
              <w:keepNext/>
              <w:spacing w:after="0" w:line="240" w:lineRule="auto"/>
            </w:pPr>
            <w:r/>
            <w:r>
              <w:rPr>
                <w:sz w:val="18"/>
              </w:rPr>
              <w:t>No change</w:t>
            </w:r>
          </w:p>
        </w:tc>
        <w:tc>
          <w:tcPr>
            <w:tcW w:type="dxa" w:w="936"/>
            <w:vAlign w:val="center"/>
          </w:tcPr>
          <w:p>
            <w:pPr>
              <w:keepNext/>
              <w:spacing w:after="0" w:line="240" w:lineRule="auto"/>
              <w:jc w:val="right"/>
            </w:pPr>
            <w:r/>
            <w:r>
              <w:rPr>
                <w:sz w:val="18"/>
              </w:rPr>
              <w:t>0.51</w:t>
            </w:r>
          </w:p>
        </w:tc>
        <w:tc>
          <w:tcPr>
            <w:tcW w:type="dxa" w:w="936"/>
            <w:vAlign w:val="center"/>
          </w:tcPr>
          <w:p>
            <w:pPr>
              <w:keepNext/>
              <w:spacing w:after="0" w:line="240" w:lineRule="auto"/>
              <w:jc w:val="right"/>
            </w:pPr>
            <w:r/>
            <w:r>
              <w:rPr>
                <w:sz w:val="18"/>
              </w:rPr>
              <w:t>0.00</w:t>
            </w:r>
          </w:p>
        </w:tc>
      </w:tr>
      <w:tr>
        <w:trPr>
          <w:cantSplit/>
        </w:trPr>
        <w:tc>
          <w:tcPr>
            <w:tcW w:type="dxa" w:w="2376"/>
            <w:vAlign w:val="center"/>
          </w:tcPr>
          <w:p>
            <w:pPr>
              <w:keepNext/>
              <w:spacing w:after="0" w:line="240" w:lineRule="auto"/>
            </w:pPr>
            <w:r/>
            <w:r>
              <w:rPr>
                <w:sz w:val="18"/>
              </w:rPr>
              <w:t>HZ-3  Trees</w:t>
            </w:r>
          </w:p>
        </w:tc>
        <w:tc>
          <w:tcPr>
            <w:tcW w:type="dxa" w:w="2088"/>
            <w:vAlign w:val="center"/>
          </w:tcPr>
          <w:p>
            <w:pPr>
              <w:keepNext/>
              <w:spacing w:after="0" w:line="240" w:lineRule="auto"/>
            </w:pPr>
            <w:r/>
            <w:r>
              <w:rPr>
                <w:sz w:val="18"/>
              </w:rPr>
              <w:t>74 trees × 2,000 gal = 148,000 gal/yr</w:t>
            </w:r>
          </w:p>
        </w:tc>
        <w:tc>
          <w:tcPr>
            <w:tcW w:type="dxa" w:w="936"/>
            <w:vAlign w:val="center"/>
          </w:tcPr>
          <w:p>
            <w:pPr>
              <w:keepNext/>
              <w:spacing w:after="0" w:line="240" w:lineRule="auto"/>
              <w:jc w:val="right"/>
            </w:pPr>
            <w:r/>
            <w:r>
              <w:rPr>
                <w:sz w:val="18"/>
              </w:rPr>
              <w:t>0.45</w:t>
            </w:r>
          </w:p>
        </w:tc>
        <w:tc>
          <w:tcPr>
            <w:tcW w:type="dxa" w:w="2088"/>
            <w:vAlign w:val="center"/>
          </w:tcPr>
          <w:p>
            <w:pPr>
              <w:keepNext/>
              <w:spacing w:after="0" w:line="240" w:lineRule="auto"/>
            </w:pPr>
            <w:r/>
            <w:r>
              <w:rPr>
                <w:sz w:val="18"/>
              </w:rPr>
              <w:t>224 trees × 2,000 gal = 448,000 gal/yr</w:t>
            </w:r>
          </w:p>
        </w:tc>
        <w:tc>
          <w:tcPr>
            <w:tcW w:type="dxa" w:w="936"/>
            <w:vAlign w:val="center"/>
          </w:tcPr>
          <w:p>
            <w:pPr>
              <w:keepNext/>
              <w:spacing w:after="0" w:line="240" w:lineRule="auto"/>
              <w:jc w:val="right"/>
            </w:pPr>
            <w:r/>
            <w:r>
              <w:rPr>
                <w:sz w:val="18"/>
              </w:rPr>
              <w:t>1.37</w:t>
            </w:r>
          </w:p>
        </w:tc>
        <w:tc>
          <w:tcPr>
            <w:tcW w:type="dxa" w:w="936"/>
            <w:vAlign w:val="center"/>
          </w:tcPr>
          <w:p>
            <w:pPr>
              <w:keepNext/>
              <w:spacing w:after="0" w:line="240" w:lineRule="auto"/>
              <w:jc w:val="right"/>
            </w:pPr>
            <w:r/>
            <w:r>
              <w:rPr>
                <w:sz w:val="18"/>
              </w:rPr>
              <w:t>+0.92</w:t>
            </w:r>
          </w:p>
        </w:tc>
      </w:tr>
      <w:tr>
        <w:trPr>
          <w:cantSplit/>
        </w:trPr>
        <w:tc>
          <w:tcPr>
            <w:tcW w:type="dxa" w:w="2376"/>
            <w:shd w:val="clear" w:color="auto" w:fill="E8EDF3"/>
            <w:vAlign w:val="center"/>
          </w:tcPr>
          <w:p>
            <w:pPr>
              <w:spacing w:after="0" w:line="240" w:lineRule="auto"/>
            </w:pPr>
            <w:r/>
            <w:r>
              <w:rPr>
                <w:b/>
                <w:sz w:val="18"/>
              </w:rPr>
              <w:t>Total annual irrigation demand</w:t>
            </w:r>
          </w:p>
        </w:tc>
        <w:tc>
          <w:tcPr>
            <w:tcW w:type="dxa" w:w="2088"/>
            <w:shd w:val="clear" w:color="auto" w:fill="E8EDF3"/>
            <w:vAlign w:val="center"/>
          </w:tcPr>
          <w:p>
            <w:pPr>
              <w:spacing w:after="0" w:line="240" w:lineRule="auto"/>
            </w:pPr>
            <w:r/>
            <w:r>
              <w:rPr>
                <w:b/>
                <w:sz w:val="18"/>
              </w:rPr>
            </w:r>
          </w:p>
        </w:tc>
        <w:tc>
          <w:tcPr>
            <w:tcW w:type="dxa" w:w="936"/>
            <w:shd w:val="clear" w:color="auto" w:fill="E8EDF3"/>
            <w:vAlign w:val="center"/>
          </w:tcPr>
          <w:p>
            <w:pPr>
              <w:spacing w:after="0" w:line="240" w:lineRule="auto"/>
              <w:jc w:val="right"/>
            </w:pPr>
            <w:r/>
            <w:r>
              <w:rPr>
                <w:b/>
                <w:sz w:val="18"/>
              </w:rPr>
              <w:t>3.28</w:t>
            </w:r>
          </w:p>
        </w:tc>
        <w:tc>
          <w:tcPr>
            <w:tcW w:type="dxa" w:w="2088"/>
            <w:shd w:val="clear" w:color="auto" w:fill="E8EDF3"/>
            <w:vAlign w:val="center"/>
          </w:tcPr>
          <w:p>
            <w:pPr>
              <w:spacing w:after="0" w:line="240" w:lineRule="auto"/>
            </w:pPr>
            <w:r/>
            <w:r>
              <w:rPr>
                <w:b/>
                <w:sz w:val="18"/>
              </w:rPr>
            </w:r>
          </w:p>
        </w:tc>
        <w:tc>
          <w:tcPr>
            <w:tcW w:type="dxa" w:w="936"/>
            <w:shd w:val="clear" w:color="auto" w:fill="E8EDF3"/>
            <w:vAlign w:val="center"/>
          </w:tcPr>
          <w:p>
            <w:pPr>
              <w:spacing w:after="0" w:line="240" w:lineRule="auto"/>
              <w:jc w:val="right"/>
            </w:pPr>
            <w:r/>
            <w:r>
              <w:rPr>
                <w:b/>
                <w:sz w:val="18"/>
              </w:rPr>
              <w:t>4.20</w:t>
            </w:r>
          </w:p>
        </w:tc>
        <w:tc>
          <w:tcPr>
            <w:tcW w:type="dxa" w:w="936"/>
            <w:shd w:val="clear" w:color="auto" w:fill="E8EDF3"/>
            <w:vAlign w:val="center"/>
          </w:tcPr>
          <w:p>
            <w:pPr>
              <w:spacing w:after="0" w:line="240" w:lineRule="auto"/>
              <w:jc w:val="right"/>
            </w:pPr>
            <w:r/>
            <w:r>
              <w:rPr>
                <w:b/>
                <w:sz w:val="18"/>
              </w:rPr>
              <w:t>+0.92</w:t>
            </w:r>
          </w:p>
        </w:tc>
      </w:tr>
    </w:tbl>
    <w:p>
      <w:pPr>
        <w:spacing w:after="40" w:line="192" w:lineRule="auto"/>
      </w:pPr>
    </w:p>
    <w:p>
      <w:r>
        <w:rPr>
          <w:b w:val="0"/>
          <w:i w:val="0"/>
        </w:rPr>
        <w:t>With L-4, HZ-3 is 208 street + 6 entry monument + 10 park trees = 224. The new trees go on point-source emitters in the existing drip strips, so the HZ-2 area does not change. HZ-1 and HZ-2 are held as drawn on 08/21 to isolate L-4, and both will move with the park decision (Section 6). Summing unrounded volumes would give 3.29 and 4.21. The workbooks total the rounded hydrozones, and Bea’s revised worksheet should do the same so the figures tie.</w:t>
      </w:r>
    </w:p>
    <w:p>
      <w:pPr>
        <w:keepNext/>
        <w:spacing w:before="180" w:after="60"/>
      </w:pPr>
      <w:r>
        <w:rPr>
          <w:b/>
          <w:color w:val="1F3A5F"/>
          <w:sz w:val="23"/>
        </w:rPr>
        <w:t>4.  Bond basis</w:t>
      </w:r>
    </w:p>
    <w:p>
      <w:pPr>
        <w:keepNext/>
      </w:pPr>
      <w:r>
        <w:rPr>
          <w:b w:val="0"/>
          <w:i w:val="0"/>
        </w:rPr>
        <w:t>Prices come from the Clark County Uniform Unit Cost Schedule (effective 01/01/2026), as in our 10/10/2026 estimate:</w:t>
      </w:r>
    </w:p>
    <w:tbl>
      <w:tblPr>
        <w:tblStyle w:val="TableGrid"/>
        <w:tblW w:type="dxa" w:w="9360"/>
        <w:jc w:val="center"/>
        <w:tblLayout w:type="fixed"/>
        <w:tblLook w:firstColumn="1" w:firstRow="1" w:lastColumn="0" w:lastRow="0" w:noHBand="0" w:noVBand="1" w:val="04A0"/>
        <w:tblCellMar>
          <w:top w:w="40" w:type="dxa"/>
          <w:bottom w:w="40" w:type="dxa"/>
          <w:left w:w="80" w:type="dxa"/>
          <w:right w:w="80" w:type="dxa"/>
        </w:tblCellMar>
        <w:tblLayout w:type="fixed"/>
      </w:tblPr>
      <w:tblGrid>
        <w:gridCol w:w="3888"/>
        <w:gridCol w:w="1872"/>
        <w:gridCol w:w="2016"/>
        <w:gridCol w:w="1584"/>
      </w:tblGrid>
      <w:tr>
        <w:trPr>
          <w:tblHeader/>
          <w:cantSplit/>
        </w:trPr>
        <w:tc>
          <w:tcPr>
            <w:tcW w:type="dxa" w:w="3888"/>
            <w:shd w:val="clear" w:color="auto" w:fill="1F3A5F"/>
            <w:vAlign w:val="center"/>
          </w:tcPr>
          <w:p>
            <w:pPr>
              <w:keepNext/>
              <w:spacing w:after="0"/>
            </w:pPr>
            <w:r/>
            <w:r>
              <w:rPr>
                <w:b/>
                <w:color w:val="FFFFFF"/>
                <w:sz w:val="18"/>
              </w:rPr>
              <w:t>Estimate line</w:t>
            </w:r>
          </w:p>
        </w:tc>
        <w:tc>
          <w:tcPr>
            <w:tcW w:type="dxa" w:w="1872"/>
            <w:shd w:val="clear" w:color="auto" w:fill="1F3A5F"/>
            <w:vAlign w:val="center"/>
          </w:tcPr>
          <w:p>
            <w:pPr>
              <w:keepNext/>
              <w:spacing w:after="0"/>
              <w:jc w:val="right"/>
            </w:pPr>
            <w:r/>
            <w:r>
              <w:rPr>
                <w:b/>
                <w:color w:val="FFFFFF"/>
                <w:sz w:val="18"/>
              </w:rPr>
              <w:t>10/10/2026 estimate</w:t>
            </w:r>
          </w:p>
        </w:tc>
        <w:tc>
          <w:tcPr>
            <w:tcW w:type="dxa" w:w="2016"/>
            <w:shd w:val="clear" w:color="auto" w:fill="1F3A5F"/>
            <w:vAlign w:val="center"/>
          </w:tcPr>
          <w:p>
            <w:pPr>
              <w:keepNext/>
              <w:spacing w:after="0"/>
              <w:jc w:val="right"/>
            </w:pPr>
            <w:r/>
            <w:r>
              <w:rPr>
                <w:b/>
                <w:color w:val="FFFFFF"/>
                <w:sz w:val="18"/>
              </w:rPr>
              <w:t>With L-4</w:t>
            </w:r>
          </w:p>
        </w:tc>
        <w:tc>
          <w:tcPr>
            <w:tcW w:type="dxa" w:w="1584"/>
            <w:shd w:val="clear" w:color="auto" w:fill="1F3A5F"/>
            <w:vAlign w:val="center"/>
          </w:tcPr>
          <w:p>
            <w:pPr>
              <w:keepNext/>
              <w:spacing w:after="0"/>
              <w:jc w:val="right"/>
            </w:pPr>
            <w:r/>
            <w:r>
              <w:rPr>
                <w:b/>
                <w:color w:val="FFFFFF"/>
                <w:sz w:val="18"/>
              </w:rPr>
              <w:t>Change</w:t>
            </w:r>
          </w:p>
        </w:tc>
      </w:tr>
      <w:tr>
        <w:trPr>
          <w:cantSplit/>
        </w:trPr>
        <w:tc>
          <w:tcPr>
            <w:tcW w:type="dxa" w:w="3888"/>
            <w:vAlign w:val="center"/>
          </w:tcPr>
          <w:p>
            <w:pPr>
              <w:keepNext/>
              <w:spacing w:after="0" w:line="240" w:lineRule="auto"/>
            </w:pPr>
            <w:r/>
            <w:r>
              <w:rPr>
                <w:sz w:val="18"/>
              </w:rPr>
              <w:t>7.09  Tree, 24-inch box, street frontage + entry ($485.00 EA)</w:t>
            </w:r>
          </w:p>
        </w:tc>
        <w:tc>
          <w:tcPr>
            <w:tcW w:type="dxa" w:w="1872"/>
            <w:vAlign w:val="center"/>
          </w:tcPr>
          <w:p>
            <w:pPr>
              <w:keepNext/>
              <w:spacing w:after="0" w:line="240" w:lineRule="auto"/>
              <w:jc w:val="right"/>
            </w:pPr>
            <w:r/>
            <w:r>
              <w:rPr>
                <w:sz w:val="18"/>
              </w:rPr>
              <w:t>64 EA   $31,040.00</w:t>
            </w:r>
          </w:p>
        </w:tc>
        <w:tc>
          <w:tcPr>
            <w:tcW w:type="dxa" w:w="2016"/>
            <w:vAlign w:val="center"/>
          </w:tcPr>
          <w:p>
            <w:pPr>
              <w:keepNext/>
              <w:spacing w:after="0" w:line="240" w:lineRule="auto"/>
              <w:jc w:val="right"/>
            </w:pPr>
            <w:r/>
            <w:r>
              <w:rPr>
                <w:sz w:val="18"/>
              </w:rPr>
              <w:t>214 EA   $103,790.00</w:t>
            </w:r>
          </w:p>
        </w:tc>
        <w:tc>
          <w:tcPr>
            <w:tcW w:type="dxa" w:w="1584"/>
            <w:vAlign w:val="center"/>
          </w:tcPr>
          <w:p>
            <w:pPr>
              <w:keepNext/>
              <w:spacing w:after="0" w:line="240" w:lineRule="auto"/>
              <w:jc w:val="right"/>
            </w:pPr>
            <w:r/>
            <w:r>
              <w:rPr>
                <w:sz w:val="18"/>
              </w:rPr>
              <w:t>+$72,750.00</w:t>
            </w:r>
          </w:p>
        </w:tc>
      </w:tr>
      <w:tr>
        <w:trPr>
          <w:cantSplit/>
        </w:trPr>
        <w:tc>
          <w:tcPr>
            <w:tcW w:type="dxa" w:w="3888"/>
            <w:vAlign w:val="center"/>
          </w:tcPr>
          <w:p>
            <w:pPr>
              <w:keepNext/>
              <w:spacing w:after="0" w:line="240" w:lineRule="auto"/>
            </w:pPr>
            <w:r/>
            <w:r>
              <w:rPr>
                <w:sz w:val="18"/>
              </w:rPr>
              <w:t>7.42  Point-source drip emitter assembly ($12.50 EA; one per tree, L-1 Detail 4)</w:t>
            </w:r>
          </w:p>
        </w:tc>
        <w:tc>
          <w:tcPr>
            <w:tcW w:type="dxa" w:w="1872"/>
            <w:vAlign w:val="center"/>
          </w:tcPr>
          <w:p>
            <w:pPr>
              <w:keepNext/>
              <w:spacing w:after="0" w:line="240" w:lineRule="auto"/>
              <w:jc w:val="right"/>
            </w:pPr>
            <w:r/>
            <w:r>
              <w:rPr>
                <w:sz w:val="18"/>
              </w:rPr>
              <w:t>750 EA   $9,375.00</w:t>
            </w:r>
          </w:p>
        </w:tc>
        <w:tc>
          <w:tcPr>
            <w:tcW w:type="dxa" w:w="2016"/>
            <w:vAlign w:val="center"/>
          </w:tcPr>
          <w:p>
            <w:pPr>
              <w:keepNext/>
              <w:spacing w:after="0" w:line="240" w:lineRule="auto"/>
              <w:jc w:val="right"/>
            </w:pPr>
            <w:r/>
            <w:r>
              <w:rPr>
                <w:sz w:val="18"/>
              </w:rPr>
              <w:t>900 EA   $11,250.00</w:t>
            </w:r>
          </w:p>
        </w:tc>
        <w:tc>
          <w:tcPr>
            <w:tcW w:type="dxa" w:w="1584"/>
            <w:vAlign w:val="center"/>
          </w:tcPr>
          <w:p>
            <w:pPr>
              <w:keepNext/>
              <w:spacing w:after="0" w:line="240" w:lineRule="auto"/>
              <w:jc w:val="right"/>
            </w:pPr>
            <w:r/>
            <w:r>
              <w:rPr>
                <w:sz w:val="18"/>
              </w:rPr>
              <w:t>+$1,875.00</w:t>
            </w:r>
          </w:p>
        </w:tc>
      </w:tr>
      <w:tr>
        <w:trPr>
          <w:cantSplit/>
        </w:trPr>
        <w:tc>
          <w:tcPr>
            <w:tcW w:type="dxa" w:w="3888"/>
            <w:vAlign w:val="center"/>
          </w:tcPr>
          <w:p>
            <w:pPr>
              <w:keepNext/>
              <w:spacing w:after="0" w:line="240" w:lineRule="auto"/>
            </w:pPr>
            <w:r/>
            <w:r>
              <w:rPr>
                <w:sz w:val="18"/>
              </w:rPr>
              <w:t>Section 6 subtotal — Landscape and Irrigation</w:t>
            </w:r>
          </w:p>
        </w:tc>
        <w:tc>
          <w:tcPr>
            <w:tcW w:type="dxa" w:w="1872"/>
            <w:vAlign w:val="center"/>
          </w:tcPr>
          <w:p>
            <w:pPr>
              <w:keepNext/>
              <w:spacing w:after="0" w:line="240" w:lineRule="auto"/>
              <w:jc w:val="right"/>
            </w:pPr>
            <w:r/>
            <w:r>
              <w:rPr>
                <w:sz w:val="18"/>
              </w:rPr>
              <w:t>$389,340.00</w:t>
            </w:r>
          </w:p>
        </w:tc>
        <w:tc>
          <w:tcPr>
            <w:tcW w:type="dxa" w:w="2016"/>
            <w:vAlign w:val="center"/>
          </w:tcPr>
          <w:p>
            <w:pPr>
              <w:keepNext/>
              <w:spacing w:after="0" w:line="240" w:lineRule="auto"/>
              <w:jc w:val="right"/>
            </w:pPr>
            <w:r/>
            <w:r>
              <w:rPr>
                <w:sz w:val="18"/>
              </w:rPr>
              <w:t>$463,965.00</w:t>
            </w:r>
          </w:p>
        </w:tc>
        <w:tc>
          <w:tcPr>
            <w:tcW w:type="dxa" w:w="1584"/>
            <w:vAlign w:val="center"/>
          </w:tcPr>
          <w:p>
            <w:pPr>
              <w:keepNext/>
              <w:spacing w:after="0" w:line="240" w:lineRule="auto"/>
              <w:jc w:val="right"/>
            </w:pPr>
            <w:r/>
            <w:r>
              <w:rPr>
                <w:sz w:val="18"/>
              </w:rPr>
              <w:t>+$74,625.00</w:t>
            </w:r>
          </w:p>
        </w:tc>
      </w:tr>
      <w:tr>
        <w:trPr>
          <w:cantSplit/>
        </w:trPr>
        <w:tc>
          <w:tcPr>
            <w:tcW w:type="dxa" w:w="3888"/>
            <w:vAlign w:val="center"/>
          </w:tcPr>
          <w:p>
            <w:pPr>
              <w:keepNext/>
              <w:spacing w:after="0" w:line="240" w:lineRule="auto"/>
            </w:pPr>
            <w:r/>
            <w:r>
              <w:rPr>
                <w:sz w:val="18"/>
              </w:rPr>
              <w:t>Construction subtotal, Sections 1–8</w:t>
            </w:r>
          </w:p>
        </w:tc>
        <w:tc>
          <w:tcPr>
            <w:tcW w:type="dxa" w:w="1872"/>
            <w:vAlign w:val="center"/>
          </w:tcPr>
          <w:p>
            <w:pPr>
              <w:keepNext/>
              <w:spacing w:after="0" w:line="240" w:lineRule="auto"/>
              <w:jc w:val="right"/>
            </w:pPr>
            <w:r/>
            <w:r>
              <w:rPr>
                <w:sz w:val="18"/>
              </w:rPr>
              <w:t>$4,856,565.75</w:t>
            </w:r>
          </w:p>
        </w:tc>
        <w:tc>
          <w:tcPr>
            <w:tcW w:type="dxa" w:w="2016"/>
            <w:vAlign w:val="center"/>
          </w:tcPr>
          <w:p>
            <w:pPr>
              <w:keepNext/>
              <w:spacing w:after="0" w:line="240" w:lineRule="auto"/>
              <w:jc w:val="right"/>
            </w:pPr>
            <w:r/>
            <w:r>
              <w:rPr>
                <w:sz w:val="18"/>
              </w:rPr>
              <w:t>$4,931,190.75</w:t>
            </w:r>
          </w:p>
        </w:tc>
        <w:tc>
          <w:tcPr>
            <w:tcW w:type="dxa" w:w="1584"/>
            <w:vAlign w:val="center"/>
          </w:tcPr>
          <w:p>
            <w:pPr>
              <w:keepNext/>
              <w:spacing w:after="0" w:line="240" w:lineRule="auto"/>
              <w:jc w:val="right"/>
            </w:pPr>
            <w:r/>
            <w:r>
              <w:rPr>
                <w:sz w:val="18"/>
              </w:rPr>
              <w:t>+$74,625.00</w:t>
            </w:r>
          </w:p>
        </w:tc>
      </w:tr>
      <w:tr>
        <w:trPr>
          <w:cantSplit/>
        </w:trPr>
        <w:tc>
          <w:tcPr>
            <w:tcW w:type="dxa" w:w="3888"/>
            <w:vAlign w:val="center"/>
          </w:tcPr>
          <w:p>
            <w:pPr>
              <w:keepNext/>
              <w:spacing w:after="0" w:line="240" w:lineRule="auto"/>
            </w:pPr>
            <w:r/>
            <w:r>
              <w:rPr>
                <w:sz w:val="18"/>
              </w:rPr>
              <w:t>Section 9 allowances (lump sums per Addendum No. 1)</w:t>
            </w:r>
          </w:p>
        </w:tc>
        <w:tc>
          <w:tcPr>
            <w:tcW w:type="dxa" w:w="1872"/>
            <w:vAlign w:val="center"/>
          </w:tcPr>
          <w:p>
            <w:pPr>
              <w:keepNext/>
              <w:spacing w:after="0" w:line="240" w:lineRule="auto"/>
              <w:jc w:val="right"/>
            </w:pPr>
            <w:r/>
            <w:r>
              <w:rPr>
                <w:sz w:val="18"/>
              </w:rPr>
              <w:t>$500,000.00</w:t>
            </w:r>
          </w:p>
        </w:tc>
        <w:tc>
          <w:tcPr>
            <w:tcW w:type="dxa" w:w="2016"/>
            <w:vAlign w:val="center"/>
          </w:tcPr>
          <w:p>
            <w:pPr>
              <w:keepNext/>
              <w:spacing w:after="0" w:line="240" w:lineRule="auto"/>
              <w:jc w:val="right"/>
            </w:pPr>
            <w:r/>
            <w:r>
              <w:rPr>
                <w:sz w:val="18"/>
              </w:rPr>
              <w:t>$500,000.00</w:t>
            </w:r>
          </w:p>
        </w:tc>
        <w:tc>
          <w:tcPr>
            <w:tcW w:type="dxa" w:w="1584"/>
            <w:vAlign w:val="center"/>
          </w:tcPr>
          <w:p>
            <w:pPr>
              <w:keepNext/>
              <w:spacing w:after="0" w:line="240" w:lineRule="auto"/>
              <w:jc w:val="right"/>
            </w:pPr>
            <w:r/>
            <w:r>
              <w:rPr>
                <w:sz w:val="18"/>
              </w:rPr>
              <w:t>$0.00</w:t>
            </w:r>
          </w:p>
        </w:tc>
      </w:tr>
      <w:tr>
        <w:trPr>
          <w:cantSplit/>
        </w:trPr>
        <w:tc>
          <w:tcPr>
            <w:tcW w:type="dxa" w:w="3888"/>
            <w:vAlign w:val="center"/>
          </w:tcPr>
          <w:p>
            <w:pPr>
              <w:keepNext/>
              <w:spacing w:after="0" w:line="240" w:lineRule="auto"/>
            </w:pPr>
            <w:r/>
            <w:r>
              <w:rPr>
                <w:sz w:val="18"/>
              </w:rPr>
              <w:t>Total before rounding</w:t>
            </w:r>
          </w:p>
        </w:tc>
        <w:tc>
          <w:tcPr>
            <w:tcW w:type="dxa" w:w="1872"/>
            <w:vAlign w:val="center"/>
          </w:tcPr>
          <w:p>
            <w:pPr>
              <w:keepNext/>
              <w:spacing w:after="0" w:line="240" w:lineRule="auto"/>
              <w:jc w:val="right"/>
            </w:pPr>
            <w:r/>
            <w:r>
              <w:rPr>
                <w:sz w:val="18"/>
              </w:rPr>
              <w:t>$5,356,565.75</w:t>
            </w:r>
          </w:p>
        </w:tc>
        <w:tc>
          <w:tcPr>
            <w:tcW w:type="dxa" w:w="2016"/>
            <w:vAlign w:val="center"/>
          </w:tcPr>
          <w:p>
            <w:pPr>
              <w:keepNext/>
              <w:spacing w:after="0" w:line="240" w:lineRule="auto"/>
              <w:jc w:val="right"/>
            </w:pPr>
            <w:r/>
            <w:r>
              <w:rPr>
                <w:sz w:val="18"/>
              </w:rPr>
              <w:t>$5,431,190.75</w:t>
            </w:r>
          </w:p>
        </w:tc>
        <w:tc>
          <w:tcPr>
            <w:tcW w:type="dxa" w:w="1584"/>
            <w:vAlign w:val="center"/>
          </w:tcPr>
          <w:p>
            <w:pPr>
              <w:keepNext/>
              <w:spacing w:after="0" w:line="240" w:lineRule="auto"/>
              <w:jc w:val="right"/>
            </w:pPr>
            <w:r/>
            <w:r>
              <w:rPr>
                <w:sz w:val="18"/>
              </w:rPr>
              <w:t>+$74,625.00</w:t>
            </w:r>
          </w:p>
        </w:tc>
      </w:tr>
      <w:tr>
        <w:trPr>
          <w:cantSplit/>
        </w:trPr>
        <w:tc>
          <w:tcPr>
            <w:tcW w:type="dxa" w:w="3888"/>
            <w:shd w:val="clear" w:color="auto" w:fill="E8EDF3"/>
            <w:vAlign w:val="center"/>
          </w:tcPr>
          <w:p>
            <w:pPr>
              <w:spacing w:after="0" w:line="240" w:lineRule="auto"/>
            </w:pPr>
            <w:r/>
            <w:r>
              <w:rPr>
                <w:b/>
                <w:sz w:val="18"/>
              </w:rPr>
              <w:t>Engineer’s estimate = bond basis (rounded up to next $1,000, Sched. 12.02)</w:t>
            </w:r>
          </w:p>
        </w:tc>
        <w:tc>
          <w:tcPr>
            <w:tcW w:type="dxa" w:w="1872"/>
            <w:shd w:val="clear" w:color="auto" w:fill="E8EDF3"/>
            <w:vAlign w:val="center"/>
          </w:tcPr>
          <w:p>
            <w:pPr>
              <w:spacing w:after="0" w:line="240" w:lineRule="auto"/>
              <w:jc w:val="right"/>
            </w:pPr>
            <w:r/>
            <w:r>
              <w:rPr>
                <w:b/>
                <w:sz w:val="18"/>
              </w:rPr>
              <w:t>$5,357,000</w:t>
            </w:r>
          </w:p>
        </w:tc>
        <w:tc>
          <w:tcPr>
            <w:tcW w:type="dxa" w:w="2016"/>
            <w:shd w:val="clear" w:color="auto" w:fill="E8EDF3"/>
            <w:vAlign w:val="center"/>
          </w:tcPr>
          <w:p>
            <w:pPr>
              <w:spacing w:after="0" w:line="240" w:lineRule="auto"/>
              <w:jc w:val="right"/>
            </w:pPr>
            <w:r/>
            <w:r>
              <w:rPr>
                <w:b/>
                <w:sz w:val="18"/>
              </w:rPr>
              <w:t>$5,432,000</w:t>
            </w:r>
          </w:p>
        </w:tc>
        <w:tc>
          <w:tcPr>
            <w:tcW w:type="dxa" w:w="1584"/>
            <w:shd w:val="clear" w:color="auto" w:fill="E8EDF3"/>
            <w:vAlign w:val="center"/>
          </w:tcPr>
          <w:p>
            <w:pPr>
              <w:spacing w:after="0" w:line="240" w:lineRule="auto"/>
              <w:jc w:val="right"/>
            </w:pPr>
            <w:r/>
            <w:r>
              <w:rPr>
                <w:b/>
                <w:sz w:val="18"/>
              </w:rPr>
              <w:t>+$75,000</w:t>
            </w:r>
          </w:p>
        </w:tc>
      </w:tr>
    </w:tbl>
    <w:p>
      <w:pPr>
        <w:spacing w:after="40" w:line="192" w:lineRule="auto"/>
      </w:pPr>
    </w:p>
    <w:p>
      <w:r>
        <w:rPr>
          <w:b w:val="0"/>
          <w:i w:val="0"/>
        </w:rPr>
        <w:t>Schedule Sec. 7 note (b) requires street-frontage trees at no less than the 24-inch box price. The Section 9 allowances are lump sums, so they do not grow with the added work. Under TM Condition 8, the performance bond is posted at this amount with the Phase 3 SIA before recordation. Any separately required labor-and-material bond is posted at the same amount. We will reissue the estimate as Revision 1, re-sealed by Jonathan Kessler, with the resubmittal (A-6). For the surety broker, I would use $5,432,000 as the working number. I’d also ask for capacity to about $6.1 million until the Section 9 item in Section 6 is confirmed.</w:t>
      </w:r>
    </w:p>
    <w:p>
      <w:pPr>
        <w:keepNext/>
        <w:spacing w:before="180" w:after="60"/>
      </w:pPr>
      <w:r>
        <w:rPr>
          <w:b/>
          <w:color w:val="1F3A5F"/>
          <w:sz w:val="23"/>
        </w:rPr>
        <w:t>5.  Process and schedule</w:t>
      </w:r>
    </w:p>
    <w:p>
      <w:r>
        <w:rPr>
          <w:b w:val="0"/>
          <w:i w:val="0"/>
        </w:rPr>
        <w:t>TM Condition 14 sends “any significant change to approved plans, including but not limited to landscape and streetscape treatments in common areas” to a design-review hearing before the Enterprise TAB and the Planning Commission. At the June pre-app, Odette Marchetti said Planning would decide significance on the actual change, using a red-line comparison against the 2022-approved palette. A-3 asks us to coordinate with Planning before we resubmit. The L-4 redline adds quantity only. It keeps the species and sections already on L-2, at the same 20-ft spacing used on the approved Phase 1 &amp; 2 streetscape, so we expect Planning to find it not significant. It is Planning’s call, though. A written determination now is our cheapest protection against the question coming back at approval.</w:t>
      </w:r>
    </w:p>
    <w:p>
      <w:r>
        <w:rPr>
          <w:b w:val="0"/>
          <w:i w:val="0"/>
        </w:rPr>
        <w:t>The calendar has no room if the answer goes the other way. The 11/18 TAB cutoff (10/28) has passed. The next TAB is 12/16 (application by 11/25), and the Planning Commission would follow it. None of that finishes before 12/18. By our reading of NRS 278.360 as quoted in the TM approval letter, the Phase 3 map must be presented within two years of the 12/23/2024 recording of the Phase 1 &amp; 2 map, which makes the deadline 12/23/2026. Silver Butte’s 10/26 email gave 03/14/2028, but that date applies the first-map period plus an extension. Extensions are discretionary and can only be applied for after a period expires. We are confirming the date with Planning in writing (M-1). Please plan on 12/23/2026 until then.</w:t>
      </w:r>
    </w:p>
    <w:p>
      <w:r>
        <w:rPr>
          <w:b w:val="0"/>
          <w:i w:val="0"/>
        </w:rPr>
        <w:t>The LVVWD will-serve (LVVWD-WS-2026-3341, 07/22/2026) covers “the 60 residential lots and associated common-area irrigation demand indicated in the developer’s submittal.” TM Condition 21 requires it to be current at recordation. We will send LVVWD the revised demand and confirm the letter stands. U-2 requires current letters with the resubmittal anyway.</w:t>
      </w:r>
    </w:p>
    <w:p>
      <w:pPr>
        <w:keepNext/>
        <w:spacing w:before="180" w:after="60"/>
      </w:pPr>
      <w:r>
        <w:rPr>
          <w:b/>
          <w:color w:val="1F3A5F"/>
          <w:sz w:val="23"/>
        </w:rPr>
        <w:t>6.  What could still move these numbers</w:t>
      </w:r>
    </w:p>
    <w:p>
      <w:pPr>
        <w:pStyle w:val="ListBullet"/>
      </w:pPr>
      <w:r>
        <w:rPr>
          <w:b/>
          <w:i w:val="0"/>
        </w:rPr>
        <w:t xml:space="preserve">Frontage lengths. </w:t>
      </w:r>
      <w:r>
        <w:rPr>
          <w:b w:val="0"/>
          <w:i w:val="0"/>
        </w:rPr>
        <w:t>The 4,160 lf is our approximate L-2 figure, measured along the landscape strips. The guidance measures along the property line abutting each street, and staff check that against the final map. Our tabulation leaves out 80 ft of the 2,640-ft Windmill boundary at the detention parcel. The C-2 control points also put the Rainbow Blvd. boundary at about 665 ft, against the 420 lf we counted. Counting both in full would make the requirement 225 trees (+17), which adds about $8,000 to the bond and 0.11 ac-ft/yr to HZ-3. Bea and our survey group will reconcile the frontage to FM-26-100290 and show it by frontage on L-1. It is better for us to set this number than to have staff reset it in round two.</w:t>
      </w:r>
    </w:p>
    <w:p>
      <w:pPr>
        <w:pStyle w:val="ListBullet"/>
      </w:pPr>
      <w:r>
        <w:rPr>
          <w:b/>
          <w:i w:val="0"/>
        </w:rPr>
        <w:t xml:space="preserve">Park turf (L-2/L-3). </w:t>
      </w:r>
      <w:r>
        <w:rPr>
          <w:b w:val="0"/>
          <w:i w:val="0"/>
        </w:rPr>
        <w:t>HZ-1 (2.32 ac-ft/yr, more than half the revised total) and the estimate’s turf line (item 7.16, $39,560) are carried as drawn. The SNWA bulletin (WRC-2024-07, Sec. 2) makes the single-family carve-out lot-based and places HOA park parcels outside it. With the playground cut, L-3 describes the lawn as passive use, and Sec. 3.2 says passive use is not functional turf. Unit Cost Schedule Sec. 7 note (a) also keeps nonfunctional turf out of the bond estimate. I don’t think L-2 can be closed on the exemption. I’d like to go through the bulletin with you and Adrienne before the L-2 response is written. The park decision will move demand more than L-4 does, and we will re-run both numbers on the final park scheme.</w:t>
      </w:r>
    </w:p>
    <w:p>
      <w:pPr>
        <w:pStyle w:val="ListBullet"/>
      </w:pPr>
      <w:r>
        <w:rPr>
          <w:b/>
          <w:i w:val="0"/>
        </w:rPr>
        <w:t xml:space="preserve">Section 9 allowances. </w:t>
      </w:r>
      <w:r>
        <w:rPr>
          <w:b w:val="0"/>
          <w:i w:val="0"/>
        </w:rPr>
        <w:t>Under Addendum No. 1, agreed lump sums replace the Sec. 11 percentages only where the Department agreed to them before bonding (11.05). Item 11.02 drops out only where executed agreements show that the owner is carrying design and inspection (11.06). If Public Works applies the default percentages at approval, the revised basis becomes $5,671,000 (5% + 10%, with 11.02 owner-carried) or $6,066,000 (all defaults). The Department’s concurrence and the executed agreements should go in the file with Revision 1.</w:t>
      </w:r>
    </w:p>
    <w:p>
      <w:pPr>
        <w:pStyle w:val="ListBullet"/>
      </w:pPr>
      <w:r>
        <w:rPr>
          <w:b/>
          <w:i w:val="0"/>
        </w:rPr>
        <w:t xml:space="preserve">Shade coverage. </w:t>
      </w:r>
      <w:r>
        <w:rPr>
          <w:b w:val="0"/>
          <w:i w:val="0"/>
        </w:rPr>
        <w:t>The guidance also applies a 30% streetscape shade-coverage target at 15-year canopy. It is shown on a Shade Coverage Exhibit, which we did not submit. If 208 trees fall short, staff will expect more trees or larger-canopy species.</w:t>
      </w:r>
    </w:p>
    <w:p>
      <w:pPr>
        <w:pStyle w:val="ListBullet"/>
      </w:pPr>
      <w:r>
        <w:rPr>
          <w:b/>
          <w:i w:val="0"/>
        </w:rPr>
        <w:t xml:space="preserve">Placement and root barriers. </w:t>
      </w:r>
      <w:r>
        <w:rPr>
          <w:b w:val="0"/>
          <w:i w:val="0"/>
        </w:rPr>
        <w:t>Trees can’t go in utility easements without the utility’s consent (L-1 Note 12) or in sight-visibility zones (TM Condition 6). The Phase 3 map grants a 10-ft P.U.E. across the front of every lot, and the joint-trench lateral runs in the P.U.E. along the collector. A blocked tree should be made up elsewhere on the same frontage or cleared with the utility. It should not go through an Alternative Standards request. L-1 Detail 6 also calls for a root barrier at each street tree next to a walk. Neither estimate carries it, and the Schedule has no unit price for it. If Public Works wants it bonded, we would document a price under Sched. 12.04.</w:t>
      </w:r>
    </w:p>
    <w:p>
      <w:pPr>
        <w:keepNext/>
        <w:spacing w:before="180" w:after="60"/>
      </w:pPr>
      <w:r>
        <w:rPr>
          <w:b/>
          <w:color w:val="1F3A5F"/>
          <w:sz w:val="23"/>
        </w:rPr>
        <w:t>7.  Next steps</w:t>
      </w:r>
    </w:p>
    <w:tbl>
      <w:tblPr>
        <w:tblStyle w:val="TableGrid"/>
        <w:tblW w:type="dxa" w:w="9360"/>
        <w:jc w:val="center"/>
        <w:tblLayout w:type="fixed"/>
        <w:tblLook w:firstColumn="1" w:firstRow="1" w:lastColumn="0" w:lastRow="0" w:noHBand="0" w:noVBand="1" w:val="04A0"/>
        <w:tblCellMar>
          <w:top w:w="40" w:type="dxa"/>
          <w:bottom w:w="40" w:type="dxa"/>
          <w:left w:w="80" w:type="dxa"/>
          <w:right w:w="80" w:type="dxa"/>
        </w:tblCellMar>
        <w:tblLayout w:type="fixed"/>
      </w:tblPr>
      <w:tblGrid>
        <w:gridCol w:w="432"/>
        <w:gridCol w:w="5688"/>
        <w:gridCol w:w="2088"/>
        <w:gridCol w:w="1152"/>
      </w:tblGrid>
      <w:tr>
        <w:trPr>
          <w:tblHeader/>
          <w:cantSplit/>
        </w:trPr>
        <w:tc>
          <w:tcPr>
            <w:tcW w:type="dxa" w:w="432"/>
            <w:shd w:val="clear" w:color="auto" w:fill="1F3A5F"/>
            <w:vAlign w:val="center"/>
          </w:tcPr>
          <w:p>
            <w:pPr>
              <w:keepNext/>
              <w:spacing w:after="0"/>
              <w:jc w:val="center"/>
            </w:pPr>
            <w:r/>
            <w:r>
              <w:rPr>
                <w:b/>
                <w:color w:val="FFFFFF"/>
                <w:sz w:val="18"/>
              </w:rPr>
              <w:t>#</w:t>
            </w:r>
          </w:p>
        </w:tc>
        <w:tc>
          <w:tcPr>
            <w:tcW w:type="dxa" w:w="5688"/>
            <w:shd w:val="clear" w:color="auto" w:fill="1F3A5F"/>
            <w:vAlign w:val="center"/>
          </w:tcPr>
          <w:p>
            <w:pPr>
              <w:keepNext/>
              <w:spacing w:after="0"/>
            </w:pPr>
            <w:r/>
            <w:r>
              <w:rPr>
                <w:b/>
                <w:color w:val="FFFFFF"/>
                <w:sz w:val="18"/>
              </w:rPr>
              <w:t>Action</w:t>
            </w:r>
          </w:p>
        </w:tc>
        <w:tc>
          <w:tcPr>
            <w:tcW w:type="dxa" w:w="2088"/>
            <w:shd w:val="clear" w:color="auto" w:fill="1F3A5F"/>
            <w:vAlign w:val="center"/>
          </w:tcPr>
          <w:p>
            <w:pPr>
              <w:keepNext/>
              <w:spacing w:after="0"/>
            </w:pPr>
            <w:r/>
            <w:r>
              <w:rPr>
                <w:b/>
                <w:color w:val="FFFFFF"/>
                <w:sz w:val="18"/>
              </w:rPr>
              <w:t>Owner</w:t>
            </w:r>
          </w:p>
        </w:tc>
        <w:tc>
          <w:tcPr>
            <w:tcW w:type="dxa" w:w="1152"/>
            <w:shd w:val="clear" w:color="auto" w:fill="1F3A5F"/>
            <w:vAlign w:val="center"/>
          </w:tcPr>
          <w:p>
            <w:pPr>
              <w:keepNext/>
              <w:spacing w:after="0"/>
            </w:pPr>
            <w:r/>
            <w:r>
              <w:rPr>
                <w:b/>
                <w:color w:val="FFFFFF"/>
                <w:sz w:val="18"/>
              </w:rPr>
              <w:t>Target</w:t>
            </w:r>
          </w:p>
        </w:tc>
      </w:tr>
      <w:tr>
        <w:trPr>
          <w:cantSplit/>
        </w:trPr>
        <w:tc>
          <w:tcPr>
            <w:tcW w:type="dxa" w:w="432"/>
            <w:vAlign w:val="center"/>
          </w:tcPr>
          <w:p>
            <w:pPr>
              <w:keepNext/>
              <w:spacing w:after="0" w:line="240" w:lineRule="auto"/>
              <w:jc w:val="center"/>
            </w:pPr>
            <w:r/>
            <w:r>
              <w:rPr>
                <w:sz w:val="18"/>
              </w:rPr>
              <w:t>1</w:t>
            </w:r>
          </w:p>
        </w:tc>
        <w:tc>
          <w:tcPr>
            <w:tcW w:type="dxa" w:w="5688"/>
            <w:vAlign w:val="center"/>
          </w:tcPr>
          <w:p>
            <w:pPr>
              <w:keepNext/>
              <w:spacing w:after="0" w:line="240" w:lineRule="auto"/>
            </w:pPr>
            <w:r/>
            <w:r>
              <w:rPr>
                <w:sz w:val="18"/>
              </w:rPr>
              <w:t>Approve the L-4 approach in Section 1; carry $5,432,000 as the working bond number with the broker</w:t>
            </w:r>
          </w:p>
        </w:tc>
        <w:tc>
          <w:tcPr>
            <w:tcW w:type="dxa" w:w="2088"/>
            <w:vAlign w:val="center"/>
          </w:tcPr>
          <w:p>
            <w:pPr>
              <w:keepNext/>
              <w:spacing w:after="0" w:line="240" w:lineRule="auto"/>
            </w:pPr>
            <w:r/>
            <w:r>
              <w:rPr>
                <w:sz w:val="18"/>
              </w:rPr>
              <w:t>Callaway (Nokes)</w:t>
            </w:r>
          </w:p>
        </w:tc>
        <w:tc>
          <w:tcPr>
            <w:tcW w:type="dxa" w:w="1152"/>
            <w:vAlign w:val="center"/>
          </w:tcPr>
          <w:p>
            <w:pPr>
              <w:keepNext/>
              <w:spacing w:after="0" w:line="240" w:lineRule="auto"/>
            </w:pPr>
            <w:r/>
            <w:r>
              <w:rPr>
                <w:sz w:val="18"/>
              </w:rPr>
              <w:t>11/04</w:t>
            </w:r>
          </w:p>
        </w:tc>
      </w:tr>
      <w:tr>
        <w:trPr>
          <w:cantSplit/>
        </w:trPr>
        <w:tc>
          <w:tcPr>
            <w:tcW w:type="dxa" w:w="432"/>
            <w:vAlign w:val="center"/>
          </w:tcPr>
          <w:p>
            <w:pPr>
              <w:keepNext/>
              <w:spacing w:after="0" w:line="240" w:lineRule="auto"/>
              <w:jc w:val="center"/>
            </w:pPr>
            <w:r/>
            <w:r>
              <w:rPr>
                <w:sz w:val="18"/>
              </w:rPr>
              <w:t>2</w:t>
            </w:r>
          </w:p>
        </w:tc>
        <w:tc>
          <w:tcPr>
            <w:tcW w:type="dxa" w:w="5688"/>
            <w:vAlign w:val="center"/>
          </w:tcPr>
          <w:p>
            <w:pPr>
              <w:keepNext/>
              <w:spacing w:after="0" w:line="240" w:lineRule="auto"/>
            </w:pPr>
            <w:r/>
            <w:r>
              <w:rPr>
                <w:sz w:val="18"/>
              </w:rPr>
              <w:t>Redline L-1/L-2: 208 street trees, schedule matched to the plotted count (L-6), by-frontage tabulation on L-1, red-line palette comparison for Planning; revised Water Budget and Irrigation Demand Worksheet (HZ-3 = 224 trees)</w:t>
            </w:r>
          </w:p>
        </w:tc>
        <w:tc>
          <w:tcPr>
            <w:tcW w:type="dxa" w:w="2088"/>
            <w:vAlign w:val="center"/>
          </w:tcPr>
          <w:p>
            <w:pPr>
              <w:keepNext/>
              <w:spacing w:after="0" w:line="240" w:lineRule="auto"/>
            </w:pPr>
            <w:r/>
            <w:r>
              <w:rPr>
                <w:sz w:val="18"/>
              </w:rPr>
              <w:t>Ocotillo (Cortland)</w:t>
            </w:r>
          </w:p>
        </w:tc>
        <w:tc>
          <w:tcPr>
            <w:tcW w:type="dxa" w:w="1152"/>
            <w:vAlign w:val="center"/>
          </w:tcPr>
          <w:p>
            <w:pPr>
              <w:keepNext/>
              <w:spacing w:after="0" w:line="240" w:lineRule="auto"/>
            </w:pPr>
            <w:r/>
            <w:r>
              <w:rPr>
                <w:sz w:val="18"/>
              </w:rPr>
              <w:t>11/04</w:t>
            </w:r>
          </w:p>
        </w:tc>
      </w:tr>
      <w:tr>
        <w:trPr>
          <w:cantSplit/>
        </w:trPr>
        <w:tc>
          <w:tcPr>
            <w:tcW w:type="dxa" w:w="432"/>
            <w:vAlign w:val="center"/>
          </w:tcPr>
          <w:p>
            <w:pPr>
              <w:keepNext/>
              <w:spacing w:after="0" w:line="240" w:lineRule="auto"/>
              <w:jc w:val="center"/>
            </w:pPr>
            <w:r/>
            <w:r>
              <w:rPr>
                <w:sz w:val="18"/>
              </w:rPr>
              <w:t>3</w:t>
            </w:r>
          </w:p>
        </w:tc>
        <w:tc>
          <w:tcPr>
            <w:tcW w:type="dxa" w:w="5688"/>
            <w:vAlign w:val="center"/>
          </w:tcPr>
          <w:p>
            <w:pPr>
              <w:keepNext/>
              <w:spacing w:after="0" w:line="240" w:lineRule="auto"/>
            </w:pPr>
            <w:r/>
            <w:r>
              <w:rPr>
                <w:sz w:val="18"/>
              </w:rPr>
              <w:t>Reconcile frontage to FM-26-100290; shade coverage exhibit; easement and sight-zone check of all 208 locations</w:t>
            </w:r>
          </w:p>
        </w:tc>
        <w:tc>
          <w:tcPr>
            <w:tcW w:type="dxa" w:w="2088"/>
            <w:vAlign w:val="center"/>
          </w:tcPr>
          <w:p>
            <w:pPr>
              <w:keepNext/>
              <w:spacing w:after="0" w:line="240" w:lineRule="auto"/>
            </w:pPr>
            <w:r/>
            <w:r>
              <w:rPr>
                <w:sz w:val="18"/>
              </w:rPr>
              <w:t>Ocotillo / Sundial survey</w:t>
            </w:r>
          </w:p>
        </w:tc>
        <w:tc>
          <w:tcPr>
            <w:tcW w:type="dxa" w:w="1152"/>
            <w:vAlign w:val="center"/>
          </w:tcPr>
          <w:p>
            <w:pPr>
              <w:keepNext/>
              <w:spacing w:after="0" w:line="240" w:lineRule="auto"/>
            </w:pPr>
            <w:r/>
            <w:r>
              <w:rPr>
                <w:sz w:val="18"/>
              </w:rPr>
              <w:t>11/06</w:t>
            </w:r>
          </w:p>
        </w:tc>
      </w:tr>
      <w:tr>
        <w:trPr>
          <w:cantSplit/>
        </w:trPr>
        <w:tc>
          <w:tcPr>
            <w:tcW w:type="dxa" w:w="432"/>
            <w:vAlign w:val="center"/>
          </w:tcPr>
          <w:p>
            <w:pPr>
              <w:keepNext/>
              <w:spacing w:after="0" w:line="240" w:lineRule="auto"/>
              <w:jc w:val="center"/>
            </w:pPr>
            <w:r/>
            <w:r>
              <w:rPr>
                <w:sz w:val="18"/>
              </w:rPr>
              <w:t>4</w:t>
            </w:r>
          </w:p>
        </w:tc>
        <w:tc>
          <w:tcPr>
            <w:tcW w:type="dxa" w:w="5688"/>
            <w:vAlign w:val="center"/>
          </w:tcPr>
          <w:p>
            <w:pPr>
              <w:keepNext/>
              <w:spacing w:after="0" w:line="240" w:lineRule="auto"/>
            </w:pPr>
            <w:r/>
            <w:r>
              <w:rPr>
                <w:sz w:val="18"/>
              </w:rPr>
              <w:t>Request Planning’s written Condition 14 determination on the L-4 revision; confirm the NRS 278.360 date (M-1)</w:t>
            </w:r>
          </w:p>
        </w:tc>
        <w:tc>
          <w:tcPr>
            <w:tcW w:type="dxa" w:w="2088"/>
            <w:vAlign w:val="center"/>
          </w:tcPr>
          <w:p>
            <w:pPr>
              <w:keepNext/>
              <w:spacing w:after="0" w:line="240" w:lineRule="auto"/>
            </w:pPr>
            <w:r/>
            <w:r>
              <w:rPr>
                <w:sz w:val="18"/>
              </w:rPr>
              <w:t>Sundial (Braddock)</w:t>
            </w:r>
          </w:p>
        </w:tc>
        <w:tc>
          <w:tcPr>
            <w:tcW w:type="dxa" w:w="1152"/>
            <w:vAlign w:val="center"/>
          </w:tcPr>
          <w:p>
            <w:pPr>
              <w:keepNext/>
              <w:spacing w:after="0" w:line="240" w:lineRule="auto"/>
            </w:pPr>
            <w:r/>
            <w:r>
              <w:rPr>
                <w:sz w:val="18"/>
              </w:rPr>
              <w:t>Request by 11/04</w:t>
            </w:r>
          </w:p>
        </w:tc>
      </w:tr>
      <w:tr>
        <w:trPr>
          <w:cantSplit/>
        </w:trPr>
        <w:tc>
          <w:tcPr>
            <w:tcW w:type="dxa" w:w="432"/>
            <w:vAlign w:val="center"/>
          </w:tcPr>
          <w:p>
            <w:pPr>
              <w:keepNext/>
              <w:spacing w:after="0" w:line="240" w:lineRule="auto"/>
              <w:jc w:val="center"/>
            </w:pPr>
            <w:r/>
            <w:r>
              <w:rPr>
                <w:sz w:val="18"/>
              </w:rPr>
              <w:t>5</w:t>
            </w:r>
          </w:p>
        </w:tc>
        <w:tc>
          <w:tcPr>
            <w:tcW w:type="dxa" w:w="5688"/>
            <w:vAlign w:val="center"/>
          </w:tcPr>
          <w:p>
            <w:pPr>
              <w:keepNext/>
              <w:spacing w:after="0" w:line="240" w:lineRule="auto"/>
            </w:pPr>
            <w:r/>
            <w:r>
              <w:rPr>
                <w:sz w:val="18"/>
              </w:rPr>
              <w:t>Engineer’s Estimate Revision 1 at the revised basis; Section 9 concurrence and executed agreements to file</w:t>
            </w:r>
          </w:p>
        </w:tc>
        <w:tc>
          <w:tcPr>
            <w:tcW w:type="dxa" w:w="2088"/>
            <w:vAlign w:val="center"/>
          </w:tcPr>
          <w:p>
            <w:pPr>
              <w:keepNext/>
              <w:spacing w:after="0" w:line="240" w:lineRule="auto"/>
            </w:pPr>
            <w:r/>
            <w:r>
              <w:rPr>
                <w:sz w:val="18"/>
              </w:rPr>
              <w:t>Sundial (Braddock / Kessler); Callaway</w:t>
            </w:r>
          </w:p>
        </w:tc>
        <w:tc>
          <w:tcPr>
            <w:tcW w:type="dxa" w:w="1152"/>
            <w:vAlign w:val="center"/>
          </w:tcPr>
          <w:p>
            <w:pPr>
              <w:keepNext/>
              <w:spacing w:after="0" w:line="240" w:lineRule="auto"/>
            </w:pPr>
            <w:r/>
            <w:r>
              <w:rPr>
                <w:sz w:val="18"/>
              </w:rPr>
              <w:t>11/06</w:t>
            </w:r>
          </w:p>
        </w:tc>
      </w:tr>
      <w:tr>
        <w:trPr>
          <w:cantSplit/>
        </w:trPr>
        <w:tc>
          <w:tcPr>
            <w:tcW w:type="dxa" w:w="432"/>
            <w:vAlign w:val="center"/>
          </w:tcPr>
          <w:p>
            <w:pPr>
              <w:keepNext/>
              <w:spacing w:after="0" w:line="240" w:lineRule="auto"/>
              <w:jc w:val="center"/>
            </w:pPr>
            <w:r/>
            <w:r>
              <w:rPr>
                <w:sz w:val="18"/>
              </w:rPr>
              <w:t>6</w:t>
            </w:r>
          </w:p>
        </w:tc>
        <w:tc>
          <w:tcPr>
            <w:tcW w:type="dxa" w:w="5688"/>
            <w:vAlign w:val="center"/>
          </w:tcPr>
          <w:p>
            <w:pPr>
              <w:keepNext/>
              <w:spacing w:after="0" w:line="240" w:lineRule="auto"/>
            </w:pPr>
            <w:r/>
            <w:r>
              <w:rPr>
                <w:sz w:val="18"/>
              </w:rPr>
              <w:t>Park program decision (L-2/L-3); meeting with counsel on L-2</w:t>
            </w:r>
          </w:p>
        </w:tc>
        <w:tc>
          <w:tcPr>
            <w:tcW w:type="dxa" w:w="2088"/>
            <w:vAlign w:val="center"/>
          </w:tcPr>
          <w:p>
            <w:pPr>
              <w:keepNext/>
              <w:spacing w:after="0" w:line="240" w:lineRule="auto"/>
            </w:pPr>
            <w:r/>
            <w:r>
              <w:rPr>
                <w:sz w:val="18"/>
              </w:rPr>
              <w:t>Callaway</w:t>
            </w:r>
          </w:p>
        </w:tc>
        <w:tc>
          <w:tcPr>
            <w:tcW w:type="dxa" w:w="1152"/>
            <w:vAlign w:val="center"/>
          </w:tcPr>
          <w:p>
            <w:pPr>
              <w:keepNext/>
              <w:spacing w:after="0" w:line="240" w:lineRule="auto"/>
            </w:pPr>
            <w:r/>
            <w:r>
              <w:rPr>
                <w:sz w:val="18"/>
              </w:rPr>
              <w:t>11/07</w:t>
            </w:r>
          </w:p>
        </w:tc>
      </w:tr>
      <w:tr>
        <w:trPr>
          <w:cantSplit/>
        </w:trPr>
        <w:tc>
          <w:tcPr>
            <w:tcW w:type="dxa" w:w="432"/>
            <w:vAlign w:val="center"/>
          </w:tcPr>
          <w:p>
            <w:pPr>
              <w:spacing w:after="0" w:line="240" w:lineRule="auto"/>
              <w:jc w:val="center"/>
            </w:pPr>
            <w:r/>
            <w:r>
              <w:rPr>
                <w:sz w:val="18"/>
              </w:rPr>
              <w:t>7</w:t>
            </w:r>
          </w:p>
        </w:tc>
        <w:tc>
          <w:tcPr>
            <w:tcW w:type="dxa" w:w="5688"/>
            <w:vAlign w:val="center"/>
          </w:tcPr>
          <w:p>
            <w:pPr>
              <w:spacing w:after="0" w:line="240" w:lineRule="auto"/>
            </w:pPr>
            <w:r/>
            <w:r>
              <w:rPr>
                <w:sz w:val="18"/>
              </w:rPr>
              <w:t>Send revised common-area demand to LVVWD; confirm the will-serve stands (U-2)</w:t>
            </w:r>
          </w:p>
        </w:tc>
        <w:tc>
          <w:tcPr>
            <w:tcW w:type="dxa" w:w="2088"/>
            <w:vAlign w:val="center"/>
          </w:tcPr>
          <w:p>
            <w:pPr>
              <w:spacing w:after="0" w:line="240" w:lineRule="auto"/>
            </w:pPr>
            <w:r/>
            <w:r>
              <w:rPr>
                <w:sz w:val="18"/>
              </w:rPr>
              <w:t>Sundial (Braddock)</w:t>
            </w:r>
          </w:p>
        </w:tc>
        <w:tc>
          <w:tcPr>
            <w:tcW w:type="dxa" w:w="1152"/>
            <w:vAlign w:val="center"/>
          </w:tcPr>
          <w:p>
            <w:pPr>
              <w:spacing w:after="0" w:line="240" w:lineRule="auto"/>
            </w:pPr>
            <w:r/>
            <w:r>
              <w:rPr>
                <w:sz w:val="18"/>
              </w:rPr>
              <w:t>11/13</w:t>
            </w:r>
          </w:p>
        </w:tc>
      </w:tr>
    </w:tbl>
    <w:p>
      <w:pPr>
        <w:spacing w:after="40" w:line="192" w:lineRule="auto"/>
      </w:pPr>
    </w:p>
    <w:p>
      <w:pPr>
        <w:spacing w:after="200"/>
      </w:pPr>
      <w:r>
        <w:rPr>
          <w:b w:val="0"/>
          <w:i w:val="0"/>
        </w:rPr>
        <w:t>I’ll call you Monday to walk through this. The draft L-4 matrix response is attached.</w:t>
      </w:r>
    </w:p>
    <w:p>
      <w:pPr>
        <w:keepNext/>
        <w:spacing w:before="360" w:after="0"/>
      </w:pPr>
      <w:r>
        <w:t>_________________________________</w:t>
      </w:r>
    </w:p>
    <w:p>
      <w:pPr>
        <w:keepNext/>
        <w:spacing w:after="0"/>
      </w:pPr>
      <w:r>
        <w:rPr>
          <w:b/>
        </w:rPr>
        <w:t>Max Braddock</w:t>
      </w:r>
    </w:p>
    <w:p>
      <w:pPr>
        <w:keepNext/>
        <w:spacing w:after="0"/>
      </w:pPr>
      <w:r>
        <w:rPr>
          <w:b w:val="0"/>
        </w:rPr>
        <w:t>Project Manager, Sundial Engineering &amp; Survey</w:t>
      </w:r>
    </w:p>
    <w:p>
      <w:pPr>
        <w:keepNext/>
        <w:spacing w:after="0"/>
      </w:pPr>
      <w:r>
        <w:rPr>
          <w:b w:val="0"/>
        </w:rPr>
        <w:t>mbraddock@sundialensv.com  ·  (702) 555-0144</w:t>
      </w:r>
    </w:p>
    <w:p>
      <w:pPr>
        <w:keepNext/>
        <w:spacing w:before="280"/>
      </w:pPr>
      <w:r>
        <w:rPr>
          <w:b/>
          <w:color w:val="1F3A5F"/>
          <w:sz w:val="22"/>
        </w:rPr>
        <w:t>Attachment A — Draft response to L-4 for the comment matrix</w:t>
      </w:r>
    </w:p>
    <w:p>
      <w:pPr>
        <w:pBdr>
          <w:top w:val="single" w:sz="6" w:space="4" w:color="7F7F7F"/>
          <w:left w:val="single" w:sz="6" w:space="4" w:color="7F7F7F"/>
          <w:bottom w:val="single" w:sz="6" w:space="4" w:color="7F7F7F"/>
          <w:right w:val="single" w:sz="6" w:space="4" w:color="7F7F7F"/>
        </w:pBdr>
        <w:spacing w:after="120"/>
      </w:pPr>
      <w:r>
        <w:rPr>
          <w:b w:val="0"/>
          <w:i w:val="0"/>
          <w:sz w:val="20"/>
        </w:rPr>
        <w:t>Street frontage planting has been revised to one tree per twenty linear feet of street frontage per Title 30 sec. 30.64.030(k) (medium canopy). 208 street trees are provided on 4,160 lf of frontage: Windmill Ln. 2,560 lf / 128 trees; interior collector 1,180 lf / 59 trees; Rainbow Blvd. 420 lf / 21 trees. Trees are Chilopsis linearis, Parkinsonia ‘Desert Museum’ and Prosopis ‘Phoenix’ from the approved palette, at 20 ft on center. See revised Sheet L-1 (plant schedule and frontage tabulation) and Sheet L-2. Revised annual irrigation demand: HZ-1 2.32, HZ-2 0.51, HZ-3 1.37 ac-ft/yr (224 trees); total 4.20 ac-ft/yr. See revised Water Budget and Irrigation Demand Worksheet.</w:t>
      </w:r>
    </w:p>
    <w:p>
      <w:r>
        <w:rPr>
          <w:b w:val="0"/>
          <w:i/>
          <w:sz w:val="18"/>
        </w:rPr>
        <w:t>Confirm the frontage and HZ-1/HZ-2 values against Section 6 before the matrix is finalized.</w:t>
      </w:r>
    </w:p>
    <w:p>
      <w:pPr>
        <w:spacing w:before="160" w:after="0"/>
      </w:pPr>
      <w:r>
        <w:rPr>
          <w:b/>
          <w:color w:val="595959"/>
          <w:sz w:val="17"/>
        </w:rPr>
        <w:t xml:space="preserve">References: </w:t>
      </w:r>
      <w:r>
        <w:rPr>
          <w:color w:val="595959"/>
          <w:sz w:val="17"/>
        </w:rPr>
        <w:t>CC-PW first-round comments, 10/09/2026 (L-4, A-3, A-6); Ocotillo Sheets L-1–L-4, 08/21/2026; Ocotillo Water Budget, Irrigation Demand Worksheet and Turf &amp; Planting Tabulation, 08/15/2026; Sundial Engineer’s Estimate of Probable Cost, 10/10/2026; Clark County Uniform Unit Cost Schedule, eff. 01/01/2026, and Addendum No. 1, eff. 03/01/2026; Clark County Guidance Memorandum CP-PW-GM-2025-04, March 2025; SNWA Compliance Bulletin WRC-2024-07; TM-22-500041 Notice of Approval, 03/14/2022; LVVWD will-serve LVVWD-WS-2026-3341, 07/22/2026; Phase 3 Sheet C-2 and FM-26-100290 checkprint, 08/21/2026.</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Sundial Engineering &amp; Survey  ·  DSR Phase 3 (Job 2201-03)  ·  Comment L-4 memo  ·  10/31/2026  ·  Page </w:t>
    </w:r>
    <w:r>
      <w:rPr>
        <w:color w:val="595959"/>
        <w:sz w:val="16"/>
      </w:rPr>
      <w:fldChar w:fldCharType="begin"/>
      <w:instrText xml:space="preserve">PAGE</w:instrText>
      <w:fldChar w:fldCharType="separate"/>
      <w:t>1</w:t>
      <w:fldChar w:fldCharType="end"/>
    </w:r>
    <w:r>
      <w:rPr>
        <w:color w:val="595959"/>
        <w:sz w:val="16"/>
      </w:rPr>
      <w:t xml:space="preserve"> of </w:t>
    </w:r>
    <w:r>
      <w:rPr>
        <w:color w:val="595959"/>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DSR Ph3 — Comment L-4 memo to Callaway Land Partners</dc:title>
  <dc:subject>Desert Sage Ranch Phase 3 — L-4 street frontage trees, irrigation demand and bond basis</dc:subject>
  <dc:creator>Max Braddock, Sundial Engineering &amp; Survey</dc:creator>
  <cp:keywords/>
  <dc:description>generated by python-docx</dc:description>
  <cp:lastModifiedBy/>
  <cp:revision>1</cp:revision>
  <dcterms:created xsi:type="dcterms:W3CDTF">2013-12-23T23:15:00Z</dcterms:created>
  <dcterms:modified xsi:type="dcterms:W3CDTF">2013-12-23T23:15:00Z</dcterms:modified>
  <cp:category/>
</cp:coreProperties>
</file>