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555555"/>
          <w:sz w:val="18"/>
        </w:rPr>
        <w:t>TURNPIKE CHEMICALS LLC — LAKE CHARLES, LA</w:t>
      </w:r>
    </w:p>
    <w:p>
      <w:pPr>
        <w:spacing w:after="0"/>
      </w:pPr>
      <w:r>
        <w:rPr>
          <w:b/>
          <w:color w:val="1F3A5F"/>
          <w:sz w:val="32"/>
        </w:rPr>
        <w:t>T-02-003 SHELL THICKNESS REVIEW</w:t>
      </w:r>
    </w:p>
    <w:p>
      <w:pPr>
        <w:spacing w:after="120"/>
      </w:pPr>
      <w:r>
        <w:rPr>
          <w:color w:val="1F3A5F"/>
          <w:sz w:val="23"/>
        </w:rPr>
        <w:t>Governing corrosion rate and date to minimum required thickness — as at 06/15/2026</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1944"/>
        <w:gridCol w:w="7848"/>
      </w:tblGrid>
      <w:tr>
        <w:trPr>
          <w:tblHeader w:val="true"/>
          <w:cantSplit w:val="true"/>
        </w:trPr>
        <w:tc>
          <w:tcPr>
            <w:tcW w:type="dxa" w:w="1944"/>
            <w:shd w:val="clear" w:color="auto" w:fill="D5DEEA"/>
            <w:vAlign w:val="center"/>
          </w:tcPr>
          <w:p>
            <w:pPr>
              <w:spacing w:after="0"/>
            </w:pPr>
            <w:r/>
            <w:r>
              <w:rPr>
                <w:b/>
                <w:sz w:val="17"/>
              </w:rPr>
              <w:t>Item</w:t>
            </w:r>
          </w:p>
        </w:tc>
        <w:tc>
          <w:tcPr>
            <w:tcW w:type="dxa" w:w="7848"/>
            <w:shd w:val="clear" w:color="auto" w:fill="D5DEEA"/>
            <w:vAlign w:val="center"/>
          </w:tcPr>
          <w:p>
            <w:pPr>
              <w:spacing w:after="0"/>
            </w:pPr>
            <w:r/>
            <w:r>
              <w:rPr>
                <w:b/>
                <w:sz w:val="17"/>
              </w:rPr>
              <w:t>Detail</w:t>
            </w:r>
          </w:p>
        </w:tc>
      </w:tr>
      <w:tr>
        <w:trPr>
          <w:cantSplit w:val="true"/>
        </w:trPr>
        <w:tc>
          <w:tcPr>
            <w:tcW w:type="dxa" w:w="1944"/>
          </w:tcPr>
          <w:p>
            <w:pPr>
              <w:spacing w:after="0" w:line="240" w:lineRule="auto"/>
            </w:pPr>
            <w:r/>
            <w:r>
              <w:rPr>
                <w:b/>
                <w:sz w:val="17"/>
              </w:rPr>
              <w:t>Asset</w:t>
            </w:r>
          </w:p>
        </w:tc>
        <w:tc>
          <w:tcPr>
            <w:tcW w:type="dxa" w:w="7848"/>
          </w:tcPr>
          <w:p>
            <w:pPr>
              <w:spacing w:after="0" w:line="240" w:lineRule="auto"/>
            </w:pPr>
            <w:r/>
            <w:r>
              <w:rPr>
                <w:sz w:val="17"/>
              </w:rPr>
              <w:t>T-02-003 (Bund 2), derivative blend storage (Spec TC-PROD-BLD-06). 17 m (55.8 ft) dia. × 12.2 m (40 ft), five 8 ft courses, fixed cone roof, concrete ringwall. API 650 7th Ed. (1980); placed in service 09/14/1987; in-service code API 653.</w:t>
            </w:r>
          </w:p>
        </w:tc>
      </w:tr>
      <w:tr>
        <w:trPr>
          <w:cantSplit w:val="true"/>
        </w:trPr>
        <w:tc>
          <w:tcPr>
            <w:tcW w:type="dxa" w:w="1944"/>
          </w:tcPr>
          <w:p>
            <w:pPr>
              <w:spacing w:after="0" w:line="240" w:lineRule="auto"/>
            </w:pPr>
            <w:r/>
            <w:r>
              <w:rPr>
                <w:b/>
                <w:sz w:val="17"/>
              </w:rPr>
              <w:t>Question</w:t>
            </w:r>
          </w:p>
        </w:tc>
        <w:tc>
          <w:tcPr>
            <w:tcW w:type="dxa" w:w="7848"/>
          </w:tcPr>
          <w:p>
            <w:pPr>
              <w:spacing w:after="0" w:line="240" w:lineRule="auto"/>
            </w:pPr>
            <w:r/>
            <w:r>
              <w:rPr>
                <w:sz w:val="17"/>
              </w:rPr>
              <w:t>Which rate of shell loss properly applies at the governing location, and on what date does the shell there reach its minimum required thickness (t-min)? Basis currently carried: FFS TC-MECH-FFS-0059 Rev 1 and workbook TC-MECH-CALC-0075 Rev 1 (1.9 mpy; 46.3 years).</w:t>
            </w:r>
          </w:p>
        </w:tc>
      </w:tr>
      <w:tr>
        <w:trPr>
          <w:cantSplit w:val="true"/>
        </w:trPr>
        <w:tc>
          <w:tcPr>
            <w:tcW w:type="dxa" w:w="1944"/>
          </w:tcPr>
          <w:p>
            <w:pPr>
              <w:spacing w:after="0" w:line="240" w:lineRule="auto"/>
            </w:pPr>
            <w:r/>
            <w:r>
              <w:rPr>
                <w:b/>
                <w:sz w:val="17"/>
              </w:rPr>
              <w:t>Assessment date</w:t>
            </w:r>
          </w:p>
        </w:tc>
        <w:tc>
          <w:tcPr>
            <w:tcW w:type="dxa" w:w="7848"/>
          </w:tcPr>
          <w:p>
            <w:pPr>
              <w:spacing w:after="0" w:line="240" w:lineRule="auto"/>
            </w:pPr>
            <w:r/>
            <w:r>
              <w:rPr>
                <w:sz w:val="17"/>
              </w:rPr>
              <w:t>06/15/2026 (records on file at that date; listed in Section 2)</w:t>
            </w:r>
          </w:p>
        </w:tc>
      </w:tr>
      <w:tr>
        <w:trPr>
          <w:cantSplit w:val="true"/>
        </w:trPr>
        <w:tc>
          <w:tcPr>
            <w:tcW w:type="dxa" w:w="1944"/>
          </w:tcPr>
          <w:p>
            <w:pPr>
              <w:spacing w:after="0" w:line="240" w:lineRule="auto"/>
            </w:pPr>
            <w:r/>
            <w:r>
              <w:rPr>
                <w:b/>
                <w:sz w:val="17"/>
              </w:rPr>
              <w:t>Document no. / status</w:t>
            </w:r>
          </w:p>
        </w:tc>
        <w:tc>
          <w:tcPr>
            <w:tcW w:type="dxa" w:w="7848"/>
          </w:tcPr>
          <w:p>
            <w:pPr>
              <w:spacing w:after="0" w:line="240" w:lineRule="auto"/>
            </w:pPr>
            <w:r/>
            <w:r>
              <w:rPr>
                <w:sz w:val="17"/>
              </w:rPr>
              <w:t>Number to be allocated by Engineering Administration (not self-allocated, per S. Lee memo of 12/09/2024). Rev A, draft for check by the Mechanical Integrity Engineer and review by the site API 653 inspector. This is an engineering input to the FFS re-issue. It is not itself a certified FFS assessment.</w:t>
            </w:r>
          </w:p>
        </w:tc>
      </w:tr>
    </w:tbl>
    <w:p>
      <w:pPr>
        <w:spacing w:after="40"/>
      </w:pPr>
    </w:p>
    <w:p>
      <w:pPr>
        <w:pStyle w:val="Heading1"/>
      </w:pPr>
      <w:r>
        <w:t>1. Result</w:t>
      </w:r>
    </w:p>
    <w:p>
      <w:r>
        <w:t xml:space="preserve">The best like-for-like evidence puts the rate of shell loss at the governing location of T-02-003 at </w:t>
      </w:r>
      <w:r>
        <w:rPr>
          <w:b/>
        </w:rPr>
        <w:t>3.75 mpy</w:t>
      </w:r>
      <w:r>
        <w:t xml:space="preserve">. It was measured at the nearest matched station, 12 in above the governing point, and is if anything higher at the point itself. That is about twice the 1.9 mpy carried in the FFS and the workbook. At this rate the shell there reaches t-min (0.215 in) on </w:t>
      </w:r>
      <w:r>
        <w:rPr>
          <w:b/>
        </w:rPr>
        <w:t>03/01/2049 (about March 2049)</w:t>
      </w:r>
      <w:r>
        <w:t xml:space="preserve">, not around the end of 2071 as now carried. The remaining life as at 06/15/2026 is </w:t>
      </w:r>
      <w:r>
        <w:rPr>
          <w:b/>
        </w:rPr>
        <w:t>22.7 years</w:t>
      </w:r>
      <w:r>
        <w:t>, not 45.5 years (46.3 years counted from 09/2025).</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2232"/>
        <w:gridCol w:w="4824"/>
        <w:gridCol w:w="2736"/>
      </w:tblGrid>
      <w:tr>
        <w:trPr>
          <w:tblHeader w:val="true"/>
          <w:cantSplit w:val="true"/>
        </w:trPr>
        <w:tc>
          <w:tcPr>
            <w:tcW w:type="dxa" w:w="2232"/>
            <w:shd w:val="clear" w:color="auto" w:fill="D5DEEA"/>
            <w:vAlign w:val="center"/>
          </w:tcPr>
          <w:p>
            <w:pPr>
              <w:spacing w:after="0"/>
            </w:pPr>
            <w:r/>
            <w:r>
              <w:rPr>
                <w:b/>
                <w:sz w:val="17"/>
              </w:rPr>
              <w:t>Item</w:t>
            </w:r>
          </w:p>
        </w:tc>
        <w:tc>
          <w:tcPr>
            <w:tcW w:type="dxa" w:w="4824"/>
            <w:shd w:val="clear" w:color="auto" w:fill="D5DEEA"/>
            <w:vAlign w:val="center"/>
          </w:tcPr>
          <w:p>
            <w:pPr>
              <w:spacing w:after="0"/>
            </w:pPr>
            <w:r/>
            <w:r>
              <w:rPr>
                <w:b/>
                <w:sz w:val="17"/>
              </w:rPr>
              <w:t>Value</w:t>
            </w:r>
          </w:p>
        </w:tc>
        <w:tc>
          <w:tcPr>
            <w:tcW w:type="dxa" w:w="2736"/>
            <w:shd w:val="clear" w:color="auto" w:fill="D5DEEA"/>
            <w:vAlign w:val="center"/>
          </w:tcPr>
          <w:p>
            <w:pPr>
              <w:spacing w:after="0"/>
            </w:pPr>
            <w:r/>
            <w:r>
              <w:rPr>
                <w:b/>
                <w:sz w:val="17"/>
              </w:rPr>
              <w:t>Source / basis</w:t>
            </w:r>
          </w:p>
        </w:tc>
      </w:tr>
      <w:tr>
        <w:trPr>
          <w:cantSplit w:val="true"/>
        </w:trPr>
        <w:tc>
          <w:tcPr>
            <w:tcW w:type="dxa" w:w="2232"/>
          </w:tcPr>
          <w:p>
            <w:pPr>
              <w:spacing w:after="0" w:line="240" w:lineRule="auto"/>
            </w:pPr>
            <w:r/>
            <w:r>
              <w:rPr>
                <w:b/>
                <w:sz w:val="17"/>
              </w:rPr>
              <w:t>Governing location</w:t>
            </w:r>
          </w:p>
        </w:tc>
        <w:tc>
          <w:tcPr>
            <w:tcW w:type="dxa" w:w="4824"/>
          </w:tcPr>
          <w:p>
            <w:pPr>
              <w:spacing w:after="0" w:line="240" w:lineRule="auto"/>
            </w:pPr>
            <w:r/>
            <w:r>
              <w:rPr>
                <w:sz w:val="17"/>
              </w:rPr>
              <w:t xml:space="preserve">Shell course 1, south quadrant, 6 in above the bottom-of-shell weld line (Ashgrove grid ref. C1-S-6). On Merrowfield's datum this point is 6 in </w:t>
            </w:r>
            <w:r>
              <w:rPr>
                <w:i/>
                <w:sz w:val="17"/>
              </w:rPr>
              <w:t>below</w:t>
            </w:r>
            <w:r>
              <w:rPr>
                <w:sz w:val="17"/>
              </w:rPr>
              <w:t xml:space="preserve"> the top of the ringwall, which is below Merrowfield's lowest station.</w:t>
            </w:r>
          </w:p>
        </w:tc>
        <w:tc>
          <w:tcPr>
            <w:tcW w:type="dxa" w:w="2736"/>
          </w:tcPr>
          <w:p>
            <w:pPr>
              <w:spacing w:after="0" w:line="240" w:lineRule="auto"/>
            </w:pPr>
            <w:r/>
            <w:r>
              <w:rPr>
                <w:sz w:val="17"/>
              </w:rPr>
              <w:t>R1 T-02-003 row 20; R3 §4.2; Sections 3 and 5</w:t>
            </w:r>
          </w:p>
        </w:tc>
      </w:tr>
      <w:tr>
        <w:trPr>
          <w:cantSplit w:val="true"/>
        </w:trPr>
        <w:tc>
          <w:tcPr>
            <w:tcW w:type="dxa" w:w="2232"/>
          </w:tcPr>
          <w:p>
            <w:pPr>
              <w:spacing w:after="0" w:line="240" w:lineRule="auto"/>
            </w:pPr>
            <w:r/>
            <w:r>
              <w:rPr>
                <w:b/>
                <w:sz w:val="17"/>
              </w:rPr>
              <w:t>Governing thickness</w:t>
            </w:r>
          </w:p>
        </w:tc>
        <w:tc>
          <w:tcPr>
            <w:tcW w:type="dxa" w:w="4824"/>
          </w:tcPr>
          <w:p>
            <w:pPr>
              <w:spacing w:after="0" w:line="240" w:lineRule="auto"/>
            </w:pPr>
            <w:r/>
            <w:r>
              <w:rPr>
                <w:sz w:val="17"/>
              </w:rPr>
              <w:t xml:space="preserve">0.303 in, read 09/12/2025. Used as recorded but </w:t>
            </w:r>
            <w:r>
              <w:rPr>
                <w:b/>
                <w:sz w:val="17"/>
              </w:rPr>
              <w:t>not yet validated</w:t>
            </w:r>
            <w:r>
              <w:rPr>
                <w:sz w:val="17"/>
              </w:rPr>
              <w:t xml:space="preserve"> (Section 6).</w:t>
            </w:r>
          </w:p>
        </w:tc>
        <w:tc>
          <w:tcPr>
            <w:tcW w:type="dxa" w:w="2736"/>
          </w:tcPr>
          <w:p>
            <w:pPr>
              <w:spacing w:after="0" w:line="240" w:lineRule="auto"/>
            </w:pPr>
            <w:r/>
            <w:r>
              <w:rPr>
                <w:sz w:val="17"/>
              </w:rPr>
              <w:t>R1 T-02-003 row 20</w:t>
            </w:r>
          </w:p>
        </w:tc>
      </w:tr>
      <w:tr>
        <w:trPr>
          <w:cantSplit w:val="true"/>
        </w:trPr>
        <w:tc>
          <w:tcPr>
            <w:tcW w:type="dxa" w:w="2232"/>
          </w:tcPr>
          <w:p>
            <w:pPr>
              <w:spacing w:after="0" w:line="240" w:lineRule="auto"/>
            </w:pPr>
            <w:r/>
            <w:r>
              <w:rPr>
                <w:b/>
                <w:sz w:val="17"/>
              </w:rPr>
              <w:t>Readings that set the rate</w:t>
            </w:r>
          </w:p>
        </w:tc>
        <w:tc>
          <w:tcPr>
            <w:tcW w:type="dxa" w:w="4824"/>
          </w:tcPr>
          <w:p>
            <w:pPr>
              <w:spacing w:after="0" w:line="240" w:lineRule="auto"/>
            </w:pPr>
            <w:r/>
            <w:r>
              <w:rPr>
                <w:sz w:val="17"/>
              </w:rPr>
              <w:t>0.349 in (04/2021) → 0.334 in (04/28/2025) at Merrowfield C1-S-6, 18 in above the weld. Same grid and same datum. Loss of 0.015 in over 4.0 years, the same 0.015 in in the N, E, S and W quadrants.</w:t>
            </w:r>
          </w:p>
        </w:tc>
        <w:tc>
          <w:tcPr>
            <w:tcW w:type="dxa" w:w="2736"/>
          </w:tcPr>
          <w:p>
            <w:pPr>
              <w:spacing w:after="0" w:line="240" w:lineRule="auto"/>
            </w:pPr>
            <w:r/>
            <w:r>
              <w:rPr>
                <w:sz w:val="17"/>
              </w:rPr>
              <w:t>R2 T-02-003 rows 6, 10, 14, 18, 22 (baseline CB-UT-2021-019); R2 Summary A11</w:t>
            </w:r>
          </w:p>
        </w:tc>
      </w:tr>
      <w:tr>
        <w:trPr>
          <w:cantSplit w:val="true"/>
        </w:trPr>
        <w:tc>
          <w:tcPr>
            <w:tcW w:type="dxa" w:w="2232"/>
            <w:shd w:val="clear" w:color="auto" w:fill="FFF2CC"/>
          </w:tcPr>
          <w:p>
            <w:pPr>
              <w:spacing w:after="0" w:line="240" w:lineRule="auto"/>
            </w:pPr>
            <w:r/>
            <w:r>
              <w:rPr>
                <w:b/>
                <w:sz w:val="17"/>
              </w:rPr>
              <w:t>Rate applied</w:t>
            </w:r>
          </w:p>
        </w:tc>
        <w:tc>
          <w:tcPr>
            <w:tcW w:type="dxa" w:w="4824"/>
            <w:shd w:val="clear" w:color="auto" w:fill="FFF2CC"/>
          </w:tcPr>
          <w:p>
            <w:pPr>
              <w:spacing w:after="0" w:line="240" w:lineRule="auto"/>
            </w:pPr>
            <w:r/>
            <w:r>
              <w:rPr>
                <w:b/>
                <w:sz w:val="17"/>
              </w:rPr>
              <w:t>3.75 mpy</w:t>
            </w:r>
            <w:r>
              <w:rPr>
                <w:sz w:val="17"/>
              </w:rPr>
              <w:t xml:space="preserve"> (0.00375 in/yr). Basis: short-term, like-for-like, pre-event (04/2021 – 04/2025).</w:t>
            </w:r>
          </w:p>
        </w:tc>
        <w:tc>
          <w:tcPr>
            <w:tcW w:type="dxa" w:w="2736"/>
            <w:shd w:val="clear" w:color="auto" w:fill="FFF2CC"/>
          </w:tcPr>
          <w:p>
            <w:pPr>
              <w:spacing w:after="0" w:line="240" w:lineRule="auto"/>
            </w:pPr>
            <w:r/>
            <w:r>
              <w:rPr>
                <w:sz w:val="17"/>
              </w:rPr>
              <w:t>Sections 7 and 8</w:t>
            </w:r>
          </w:p>
        </w:tc>
      </w:tr>
      <w:tr>
        <w:trPr>
          <w:cantSplit w:val="true"/>
        </w:trPr>
        <w:tc>
          <w:tcPr>
            <w:tcW w:type="dxa" w:w="2232"/>
          </w:tcPr>
          <w:p>
            <w:pPr>
              <w:spacing w:after="0" w:line="240" w:lineRule="auto"/>
            </w:pPr>
            <w:r/>
            <w:r>
              <w:rPr>
                <w:b/>
                <w:sz w:val="17"/>
              </w:rPr>
              <w:t>Minimum required thickness</w:t>
            </w:r>
          </w:p>
        </w:tc>
        <w:tc>
          <w:tcPr>
            <w:tcW w:type="dxa" w:w="4824"/>
          </w:tcPr>
          <w:p>
            <w:pPr>
              <w:spacing w:after="0" w:line="240" w:lineRule="auto"/>
            </w:pPr>
            <w:r/>
            <w:r>
              <w:rPr>
                <w:sz w:val="17"/>
              </w:rPr>
              <w:t>0.215 in (record value; check range 0.189 – 0.223 in)</w:t>
            </w:r>
          </w:p>
        </w:tc>
        <w:tc>
          <w:tcPr>
            <w:tcW w:type="dxa" w:w="2736"/>
          </w:tcPr>
          <w:p>
            <w:pPr>
              <w:spacing w:after="0" w:line="240" w:lineRule="auto"/>
            </w:pPr>
            <w:r/>
            <w:r>
              <w:rPr>
                <w:sz w:val="17"/>
              </w:rPr>
              <w:t>R7 §2–3; R8 §4; R9; Section 9</w:t>
            </w:r>
          </w:p>
        </w:tc>
      </w:tr>
      <w:tr>
        <w:trPr>
          <w:cantSplit w:val="true"/>
        </w:trPr>
        <w:tc>
          <w:tcPr>
            <w:tcW w:type="dxa" w:w="2232"/>
          </w:tcPr>
          <w:p>
            <w:pPr>
              <w:spacing w:after="0" w:line="240" w:lineRule="auto"/>
            </w:pPr>
            <w:r/>
            <w:r>
              <w:rPr>
                <w:b/>
                <w:sz w:val="17"/>
              </w:rPr>
              <w:t>Wall above t-min at last reading</w:t>
            </w:r>
          </w:p>
        </w:tc>
        <w:tc>
          <w:tcPr>
            <w:tcW w:type="dxa" w:w="4824"/>
          </w:tcPr>
          <w:p>
            <w:pPr>
              <w:spacing w:after="0" w:line="240" w:lineRule="auto"/>
            </w:pPr>
            <w:r/>
            <w:r>
              <w:rPr>
                <w:sz w:val="17"/>
              </w:rPr>
              <w:t xml:space="preserve">0.303 − 0.215 = </w:t>
            </w:r>
            <w:r>
              <w:rPr>
                <w:b/>
                <w:sz w:val="17"/>
              </w:rPr>
              <w:t>0.088 in</w:t>
            </w:r>
            <w:r>
              <w:rPr>
                <w:sz w:val="17"/>
              </w:rPr>
              <w:t xml:space="preserve"> (09/12/2025)</w:t>
            </w:r>
          </w:p>
        </w:tc>
        <w:tc>
          <w:tcPr>
            <w:tcW w:type="dxa" w:w="2736"/>
          </w:tcPr>
          <w:p>
            <w:pPr>
              <w:spacing w:after="0" w:line="240" w:lineRule="auto"/>
            </w:pPr>
            <w:r/>
            <w:r>
              <w:rPr>
                <w:sz w:val="17"/>
              </w:rPr>
              <w:t>Section 8</w:t>
            </w:r>
          </w:p>
        </w:tc>
      </w:tr>
      <w:tr>
        <w:trPr>
          <w:cantSplit w:val="true"/>
        </w:trPr>
        <w:tc>
          <w:tcPr>
            <w:tcW w:type="dxa" w:w="2232"/>
          </w:tcPr>
          <w:p>
            <w:pPr>
              <w:spacing w:after="0" w:line="240" w:lineRule="auto"/>
            </w:pPr>
            <w:r/>
            <w:r>
              <w:rPr>
                <w:b/>
                <w:sz w:val="17"/>
              </w:rPr>
              <w:t>Further loss to 06/15/2026</w:t>
            </w:r>
          </w:p>
        </w:tc>
        <w:tc>
          <w:tcPr>
            <w:tcW w:type="dxa" w:w="4824"/>
          </w:tcPr>
          <w:p>
            <w:pPr>
              <w:spacing w:after="0" w:line="240" w:lineRule="auto"/>
            </w:pPr>
            <w:r/>
            <w:r>
              <w:rPr>
                <w:sz w:val="17"/>
              </w:rPr>
              <w:t>276 days (0.756 yr) × 0.00375 in/yr = 0.0028 in</w:t>
            </w:r>
          </w:p>
        </w:tc>
        <w:tc>
          <w:tcPr>
            <w:tcW w:type="dxa" w:w="2736"/>
          </w:tcPr>
          <w:p>
            <w:pPr>
              <w:spacing w:after="0" w:line="240" w:lineRule="auto"/>
            </w:pPr>
            <w:r/>
            <w:r>
              <w:rPr>
                <w:sz w:val="17"/>
              </w:rPr>
              <w:t>Section 8</w:t>
            </w:r>
          </w:p>
        </w:tc>
      </w:tr>
      <w:tr>
        <w:trPr>
          <w:cantSplit w:val="true"/>
        </w:trPr>
        <w:tc>
          <w:tcPr>
            <w:tcW w:type="dxa" w:w="2232"/>
          </w:tcPr>
          <w:p>
            <w:pPr>
              <w:spacing w:after="0" w:line="240" w:lineRule="auto"/>
            </w:pPr>
            <w:r/>
            <w:r>
              <w:rPr>
                <w:b/>
                <w:sz w:val="17"/>
              </w:rPr>
              <w:t>Wall above t-min as at 06/15/2026</w:t>
            </w:r>
          </w:p>
        </w:tc>
        <w:tc>
          <w:tcPr>
            <w:tcW w:type="dxa" w:w="4824"/>
          </w:tcPr>
          <w:p>
            <w:pPr>
              <w:spacing w:after="0" w:line="240" w:lineRule="auto"/>
            </w:pPr>
            <w:r/>
            <w:r>
              <w:rPr>
                <w:b/>
                <w:sz w:val="17"/>
              </w:rPr>
              <w:t>0.0852 in</w:t>
            </w:r>
            <w:r>
              <w:rPr>
                <w:sz w:val="17"/>
              </w:rPr>
              <w:t xml:space="preserve"> (estimated thickness 0.3002 in)</w:t>
            </w:r>
          </w:p>
        </w:tc>
        <w:tc>
          <w:tcPr>
            <w:tcW w:type="dxa" w:w="2736"/>
          </w:tcPr>
          <w:p>
            <w:pPr>
              <w:spacing w:after="0" w:line="240" w:lineRule="auto"/>
            </w:pPr>
            <w:r/>
            <w:r>
              <w:rPr>
                <w:sz w:val="17"/>
              </w:rPr>
              <w:t>Section 8</w:t>
            </w:r>
          </w:p>
        </w:tc>
      </w:tr>
      <w:tr>
        <w:trPr>
          <w:cantSplit w:val="true"/>
        </w:trPr>
        <w:tc>
          <w:tcPr>
            <w:tcW w:type="dxa" w:w="2232"/>
          </w:tcPr>
          <w:p>
            <w:pPr>
              <w:spacing w:after="0" w:line="240" w:lineRule="auto"/>
            </w:pPr>
            <w:r/>
            <w:r>
              <w:rPr>
                <w:b/>
                <w:sz w:val="17"/>
              </w:rPr>
              <w:t>Remaining life as at 06/15/2026</w:t>
            </w:r>
          </w:p>
        </w:tc>
        <w:tc>
          <w:tcPr>
            <w:tcW w:type="dxa" w:w="4824"/>
          </w:tcPr>
          <w:p>
            <w:pPr>
              <w:spacing w:after="0" w:line="240" w:lineRule="auto"/>
            </w:pPr>
            <w:r/>
            <w:r>
              <w:rPr>
                <w:sz w:val="17"/>
              </w:rPr>
              <w:t xml:space="preserve">0.0852 ÷ 0.00375 = </w:t>
            </w:r>
            <w:r>
              <w:rPr>
                <w:b/>
                <w:sz w:val="17"/>
              </w:rPr>
              <w:t>22.7 years</w:t>
            </w:r>
          </w:p>
        </w:tc>
        <w:tc>
          <w:tcPr>
            <w:tcW w:type="dxa" w:w="2736"/>
          </w:tcPr>
          <w:p>
            <w:pPr>
              <w:spacing w:after="0" w:line="240" w:lineRule="auto"/>
            </w:pPr>
            <w:r/>
            <w:r>
              <w:rPr>
                <w:sz w:val="17"/>
              </w:rPr>
              <w:t>Section 8</w:t>
            </w:r>
          </w:p>
        </w:tc>
      </w:tr>
      <w:tr>
        <w:trPr>
          <w:cantSplit w:val="true"/>
        </w:trPr>
        <w:tc>
          <w:tcPr>
            <w:tcW w:type="dxa" w:w="2232"/>
            <w:shd w:val="clear" w:color="auto" w:fill="FFF2CC"/>
          </w:tcPr>
          <w:p>
            <w:pPr>
              <w:spacing w:after="0" w:line="240" w:lineRule="auto"/>
            </w:pPr>
            <w:r/>
            <w:r>
              <w:rPr>
                <w:b/>
                <w:sz w:val="17"/>
              </w:rPr>
              <w:t>Date t-min is reached</w:t>
            </w:r>
          </w:p>
        </w:tc>
        <w:tc>
          <w:tcPr>
            <w:tcW w:type="dxa" w:w="4824"/>
            <w:shd w:val="clear" w:color="auto" w:fill="FFF2CC"/>
          </w:tcPr>
          <w:p>
            <w:pPr>
              <w:spacing w:after="0" w:line="240" w:lineRule="auto"/>
            </w:pPr>
            <w:r/>
            <w:r>
              <w:rPr>
                <w:b/>
                <w:sz w:val="17"/>
              </w:rPr>
              <w:t>03/01/2049</w:t>
            </w:r>
            <w:r>
              <w:rPr>
                <w:sz w:val="17"/>
              </w:rPr>
              <w:t xml:space="preserve"> (about March 2049)</w:t>
            </w:r>
          </w:p>
        </w:tc>
        <w:tc>
          <w:tcPr>
            <w:tcW w:type="dxa" w:w="2736"/>
            <w:shd w:val="clear" w:color="auto" w:fill="FFF2CC"/>
          </w:tcPr>
          <w:p>
            <w:pPr>
              <w:spacing w:after="0" w:line="240" w:lineRule="auto"/>
            </w:pPr>
            <w:r/>
            <w:r>
              <w:rPr>
                <w:sz w:val="17"/>
              </w:rPr>
              <w:t>Section 8; sensitivity in Section 9</w:t>
            </w:r>
          </w:p>
        </w:tc>
      </w:tr>
      <w:tr>
        <w:trPr>
          <w:cantSplit w:val="true"/>
        </w:trPr>
        <w:tc>
          <w:tcPr>
            <w:tcW w:type="dxa" w:w="2232"/>
          </w:tcPr>
          <w:p>
            <w:pPr>
              <w:spacing w:after="0" w:line="240" w:lineRule="auto"/>
            </w:pPr>
            <w:r/>
            <w:r>
              <w:rPr>
                <w:b/>
                <w:sz w:val="17"/>
              </w:rPr>
              <w:t>Basis now carried</w:t>
            </w:r>
          </w:p>
        </w:tc>
        <w:tc>
          <w:tcPr>
            <w:tcW w:type="dxa" w:w="4824"/>
          </w:tcPr>
          <w:p>
            <w:pPr>
              <w:spacing w:after="0" w:line="240" w:lineRule="auto"/>
            </w:pPr>
            <w:r/>
            <w:r>
              <w:rPr>
                <w:sz w:val="17"/>
              </w:rPr>
              <w:t>1.9 mpy, long-term from construction nominal; 46.3 years from 09/12/2025 → about 12/31/2071</w:t>
            </w:r>
          </w:p>
        </w:tc>
        <w:tc>
          <w:tcPr>
            <w:tcW w:type="dxa" w:w="2736"/>
          </w:tcPr>
          <w:p>
            <w:pPr>
              <w:spacing w:after="0" w:line="240" w:lineRule="auto"/>
            </w:pPr>
            <w:r/>
            <w:r>
              <w:rPr>
                <w:sz w:val="17"/>
              </w:rPr>
              <w:t>R7 §2–3; R9 T-02-003 row 9 and Summary row 11</w:t>
            </w:r>
          </w:p>
        </w:tc>
      </w:tr>
    </w:tbl>
    <w:p>
      <w:pPr>
        <w:spacing w:after="40"/>
      </w:pPr>
    </w:p>
    <w:p>
      <w:pPr>
        <w:keepNext/>
        <w:spacing w:after="20"/>
      </w:pPr>
      <w:r>
        <w:rPr>
          <w:b/>
        </w:rPr>
        <w:t>Key points</w:t>
      </w:r>
    </w:p>
    <w:p>
      <w:pPr>
        <w:pStyle w:val="ListBullet"/>
        <w:spacing w:after="40"/>
      </w:pPr>
      <w:r>
        <w:rPr>
          <w:b/>
        </w:rPr>
        <w:t>The 0.031 in 'step' between the 04/2025 Merrowfield and 09/2025 Ashgrove surveys at 'C1-S-6' is not metal loss.</w:t>
      </w:r>
      <w:r>
        <w:t xml:space="preserve"> Merrowfield measures elevation from the top of the ringwall. Ashgrove measures from the bottom-of-shell weld line, which is 12 in lower. The two 'C1-S-6' readings are therefore 12 in apart on the shell, and 0.031 in is the thickness gradient over that 12 in. Read as loss, it would give 83 mpy and put t-min at 10/2026.</w:t>
      </w:r>
    </w:p>
    <w:p>
      <w:pPr>
        <w:pStyle w:val="ListBullet"/>
        <w:spacing w:after="40"/>
      </w:pPr>
      <w:r>
        <w:rPr>
          <w:b/>
        </w:rPr>
        <w:t>With the datums aligned, the two surveys agree.</w:t>
      </w:r>
      <w:r>
        <w:t xml:space="preserve"> At the eight points both contractors read (48 and 72 in above the weld), Ashgrove reproduces Merrowfield to within 0.001 – 0.002 in. The same alignment holds on T-02-001 and T-02-002.</w:t>
      </w:r>
    </w:p>
    <w:p>
      <w:pPr>
        <w:pStyle w:val="ListBullet"/>
        <w:spacing w:after="40"/>
      </w:pPr>
      <w:r>
        <w:rPr>
          <w:b/>
        </w:rPr>
        <w:t>The 2025 interval is too short to give a rate.</w:t>
      </w:r>
      <w:r>
        <w:t xml:space="preserve"> It covers 136 days, only 88 of them after the 06/16/2025 blend change, and the change is within reading tolerance. The only reliable like-for-like rate is the four-year 2021 → 2025 rate: 3.75 mpy at the lowest matched station, 12 in above the governing point. Measured rates increase towards the weld.</w:t>
      </w:r>
    </w:p>
    <w:p>
      <w:pPr>
        <w:pStyle w:val="ListBullet"/>
        <w:spacing w:after="40"/>
      </w:pPr>
      <w:r>
        <w:rPr>
          <w:b/>
        </w:rPr>
        <w:t>The 1.9 mpy long-term figure is not representative.</w:t>
      </w:r>
      <w:r>
        <w:t xml:space="preserve"> It averages 38 years from an assumed nominal start thickness and is half the rate now measured.</w:t>
      </w:r>
    </w:p>
    <w:p>
      <w:pPr>
        <w:pStyle w:val="ListBullet"/>
        <w:spacing w:after="40"/>
      </w:pPr>
      <w:r>
        <w:rPr>
          <w:b/>
        </w:rPr>
        <w:t>The governing reading (0.303 in) needs re-validation.</w:t>
      </w:r>
      <w:r>
        <w:t xml:space="preserve"> It was taken in a calibration period that Ashgrove's own procedure voids, and it has not been validly re-shot. It is still used, because the instrument error found was over-reading, so the true wall is at or below the recorded value. A calibrated re-survey is needed. Adverse sensitivities (Section 9) bring the date forward to 2044 – 2048.</w:t>
      </w:r>
    </w:p>
    <w:p>
      <w:pPr>
        <w:pStyle w:val="Heading1"/>
      </w:pPr>
      <w:r>
        <w:t>2. Records relied on</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604"/>
        <w:gridCol w:w="4867"/>
        <w:gridCol w:w="1800"/>
        <w:gridCol w:w="2520"/>
      </w:tblGrid>
      <w:tr>
        <w:trPr>
          <w:tblHeader w:val="true"/>
          <w:cantSplit w:val="true"/>
        </w:trPr>
        <w:tc>
          <w:tcPr>
            <w:tcW w:type="dxa" w:w="605"/>
            <w:shd w:val="clear" w:color="auto" w:fill="D5DEEA"/>
            <w:vAlign w:val="center"/>
          </w:tcPr>
          <w:p>
            <w:pPr>
              <w:spacing w:after="0"/>
            </w:pPr>
            <w:r/>
            <w:r>
              <w:rPr>
                <w:b/>
                <w:sz w:val="16"/>
              </w:rPr>
              <w:t>Ref</w:t>
            </w:r>
          </w:p>
        </w:tc>
        <w:tc>
          <w:tcPr>
            <w:tcW w:type="dxa" w:w="4867"/>
            <w:shd w:val="clear" w:color="auto" w:fill="D5DEEA"/>
            <w:vAlign w:val="center"/>
          </w:tcPr>
          <w:p>
            <w:pPr>
              <w:spacing w:after="0"/>
            </w:pPr>
            <w:r/>
            <w:r>
              <w:rPr>
                <w:b/>
                <w:sz w:val="16"/>
              </w:rPr>
              <w:t>Record (file and location used)</w:t>
            </w:r>
          </w:p>
        </w:tc>
        <w:tc>
          <w:tcPr>
            <w:tcW w:type="dxa" w:w="1800"/>
            <w:shd w:val="clear" w:color="auto" w:fill="D5DEEA"/>
            <w:vAlign w:val="center"/>
          </w:tcPr>
          <w:p>
            <w:pPr>
              <w:spacing w:after="0"/>
            </w:pPr>
            <w:r/>
            <w:r>
              <w:rPr>
                <w:b/>
                <w:sz w:val="16"/>
              </w:rPr>
              <w:t>Rev / date</w:t>
            </w:r>
          </w:p>
        </w:tc>
        <w:tc>
          <w:tcPr>
            <w:tcW w:type="dxa" w:w="2520"/>
            <w:shd w:val="clear" w:color="auto" w:fill="D5DEEA"/>
            <w:vAlign w:val="center"/>
          </w:tcPr>
          <w:p>
            <w:pPr>
              <w:spacing w:after="0"/>
            </w:pPr>
            <w:r/>
            <w:r>
              <w:rPr>
                <w:b/>
                <w:sz w:val="16"/>
              </w:rPr>
              <w:t>Used for</w:t>
            </w:r>
          </w:p>
        </w:tc>
      </w:tr>
      <w:tr>
        <w:trPr>
          <w:cantSplit w:val="true"/>
        </w:trPr>
        <w:tc>
          <w:tcPr>
            <w:tcW w:type="dxa" w:w="605"/>
          </w:tcPr>
          <w:p>
            <w:pPr>
              <w:spacing w:after="0" w:line="240" w:lineRule="auto"/>
            </w:pPr>
            <w:r/>
            <w:r>
              <w:rPr>
                <w:sz w:val="16"/>
              </w:rPr>
              <w:t>R1</w:t>
            </w:r>
          </w:p>
        </w:tc>
        <w:tc>
          <w:tcPr>
            <w:tcW w:type="dxa" w:w="4867"/>
          </w:tcPr>
          <w:p>
            <w:pPr>
              <w:spacing w:after="0" w:line="240" w:lineRule="auto"/>
            </w:pPr>
            <w:r/>
            <w:r>
              <w:rPr>
                <w:sz w:val="16"/>
              </w:rPr>
              <w:t>Ashgrove NDE — UT Thickness Survey Workbook AG-UT-2025-0917 (Ashgrove_UT_Survey_2025.xlsx); sheets Cover, T-02-003, T-02-001, T-02-002, Summary, Approval</w:t>
            </w:r>
          </w:p>
        </w:tc>
        <w:tc>
          <w:tcPr>
            <w:tcW w:type="dxa" w:w="1800"/>
          </w:tcPr>
          <w:p>
            <w:pPr>
              <w:spacing w:after="0" w:line="240" w:lineRule="auto"/>
            </w:pPr>
            <w:r/>
            <w:r>
              <w:rPr>
                <w:sz w:val="16"/>
              </w:rPr>
              <w:t>Issued 09/23/2025; T-02-003 read 09/12–09/13/2025</w:t>
            </w:r>
          </w:p>
        </w:tc>
        <w:tc>
          <w:tcPr>
            <w:tcW w:type="dxa" w:w="2520"/>
          </w:tcPr>
          <w:p>
            <w:pPr>
              <w:spacing w:after="0" w:line="240" w:lineRule="auto"/>
            </w:pPr>
            <w:r/>
            <w:r>
              <w:rPr>
                <w:sz w:val="16"/>
              </w:rPr>
              <w:t>Governing thickness; matched-point check; datum cross-check</w:t>
            </w:r>
          </w:p>
        </w:tc>
      </w:tr>
      <w:tr>
        <w:trPr>
          <w:cantSplit w:val="true"/>
        </w:trPr>
        <w:tc>
          <w:tcPr>
            <w:tcW w:type="dxa" w:w="605"/>
          </w:tcPr>
          <w:p>
            <w:pPr>
              <w:spacing w:after="0" w:line="240" w:lineRule="auto"/>
            </w:pPr>
            <w:r/>
            <w:r>
              <w:rPr>
                <w:sz w:val="16"/>
              </w:rPr>
              <w:t>R2</w:t>
            </w:r>
          </w:p>
        </w:tc>
        <w:tc>
          <w:tcPr>
            <w:tcW w:type="dxa" w:w="4867"/>
          </w:tcPr>
          <w:p>
            <w:pPr>
              <w:spacing w:after="0" w:line="240" w:lineRule="auto"/>
            </w:pPr>
            <w:r/>
            <w:r>
              <w:rPr>
                <w:sz w:val="16"/>
              </w:rPr>
              <w:t>Merrowfield Inspection Services — UT Thickness Survey Workbook MIS-RPT-2025-TC-LC-01 (Merrowfield_UT_Survey_2025.xlsx); sheets Cover, T-02-003, T-02-001, T-02-002, Summary</w:t>
            </w:r>
          </w:p>
        </w:tc>
        <w:tc>
          <w:tcPr>
            <w:tcW w:type="dxa" w:w="1800"/>
          </w:tcPr>
          <w:p>
            <w:pPr>
              <w:spacing w:after="0" w:line="240" w:lineRule="auto"/>
            </w:pPr>
            <w:r/>
            <w:r>
              <w:rPr>
                <w:sz w:val="16"/>
              </w:rPr>
              <w:t>04/2025 block; T-02-003 read 04/28–04/29/2025</w:t>
            </w:r>
          </w:p>
        </w:tc>
        <w:tc>
          <w:tcPr>
            <w:tcW w:type="dxa" w:w="2520"/>
          </w:tcPr>
          <w:p>
            <w:pPr>
              <w:spacing w:after="0" w:line="240" w:lineRule="auto"/>
            </w:pPr>
            <w:r/>
            <w:r>
              <w:rPr>
                <w:sz w:val="16"/>
              </w:rPr>
              <w:t>2025 readings and 04/2021 baselines (CB-UT-2021-019) → rate</w:t>
            </w:r>
          </w:p>
        </w:tc>
      </w:tr>
      <w:tr>
        <w:trPr>
          <w:cantSplit w:val="true"/>
        </w:trPr>
        <w:tc>
          <w:tcPr>
            <w:tcW w:type="dxa" w:w="605"/>
          </w:tcPr>
          <w:p>
            <w:pPr>
              <w:spacing w:after="0" w:line="240" w:lineRule="auto"/>
            </w:pPr>
            <w:r/>
            <w:r>
              <w:rPr>
                <w:sz w:val="16"/>
              </w:rPr>
              <w:t>R3</w:t>
            </w:r>
          </w:p>
        </w:tc>
        <w:tc>
          <w:tcPr>
            <w:tcW w:type="dxa" w:w="4867"/>
          </w:tcPr>
          <w:p>
            <w:pPr>
              <w:spacing w:after="0" w:line="240" w:lineRule="auto"/>
            </w:pPr>
            <w:r/>
            <w:r>
              <w:rPr>
                <w:sz w:val="16"/>
              </w:rPr>
              <w:t>Ashgrove UT Procedure AG-UT-014 Rev 2 — §3, §4.1, §4.2, §4.4, §5.1, §6.1</w:t>
            </w:r>
          </w:p>
        </w:tc>
        <w:tc>
          <w:tcPr>
            <w:tcW w:type="dxa" w:w="1800"/>
          </w:tcPr>
          <w:p>
            <w:pPr>
              <w:spacing w:after="0" w:line="240" w:lineRule="auto"/>
            </w:pPr>
            <w:r/>
            <w:r>
              <w:rPr>
                <w:sz w:val="16"/>
              </w:rPr>
              <w:t>12/06/2024</w:t>
            </w:r>
          </w:p>
        </w:tc>
        <w:tc>
          <w:tcPr>
            <w:tcW w:type="dxa" w:w="2520"/>
          </w:tcPr>
          <w:p>
            <w:pPr>
              <w:spacing w:after="0" w:line="240" w:lineRule="auto"/>
            </w:pPr>
            <w:r/>
            <w:r>
              <w:rPr>
                <w:sz w:val="16"/>
              </w:rPr>
              <w:t>Ashgrove datum and grid; calibration tolerance and void rule</w:t>
            </w:r>
          </w:p>
        </w:tc>
      </w:tr>
      <w:tr>
        <w:trPr>
          <w:cantSplit w:val="true"/>
        </w:trPr>
        <w:tc>
          <w:tcPr>
            <w:tcW w:type="dxa" w:w="605"/>
          </w:tcPr>
          <w:p>
            <w:pPr>
              <w:spacing w:after="0" w:line="240" w:lineRule="auto"/>
            </w:pPr>
            <w:r/>
            <w:r>
              <w:rPr>
                <w:sz w:val="16"/>
              </w:rPr>
              <w:t>R4</w:t>
            </w:r>
          </w:p>
        </w:tc>
        <w:tc>
          <w:tcPr>
            <w:tcW w:type="dxa" w:w="4867"/>
          </w:tcPr>
          <w:p>
            <w:pPr>
              <w:spacing w:after="0" w:line="240" w:lineRule="auto"/>
            </w:pPr>
            <w:r/>
            <w:r>
              <w:rPr>
                <w:sz w:val="16"/>
              </w:rPr>
              <w:t>Merrowfield UT Procedure MIS-UT-003 Rev 3 — §4, §5.1, §5.3, §5.4, §6.2</w:t>
            </w:r>
          </w:p>
        </w:tc>
        <w:tc>
          <w:tcPr>
            <w:tcW w:type="dxa" w:w="1800"/>
          </w:tcPr>
          <w:p>
            <w:pPr>
              <w:spacing w:after="0" w:line="240" w:lineRule="auto"/>
            </w:pPr>
            <w:r/>
            <w:r>
              <w:rPr>
                <w:sz w:val="16"/>
              </w:rPr>
              <w:t>05/12/2024</w:t>
            </w:r>
          </w:p>
        </w:tc>
        <w:tc>
          <w:tcPr>
            <w:tcW w:type="dxa" w:w="2520"/>
          </w:tcPr>
          <w:p>
            <w:pPr>
              <w:spacing w:after="0" w:line="240" w:lineRule="auto"/>
            </w:pPr>
            <w:r/>
            <w:r>
              <w:rPr>
                <w:sz w:val="16"/>
              </w:rPr>
              <w:t>Merrowfield datum and grid; tolerance</w:t>
            </w:r>
          </w:p>
        </w:tc>
      </w:tr>
      <w:tr>
        <w:trPr>
          <w:cantSplit w:val="true"/>
        </w:trPr>
        <w:tc>
          <w:tcPr>
            <w:tcW w:type="dxa" w:w="605"/>
          </w:tcPr>
          <w:p>
            <w:pPr>
              <w:spacing w:after="0" w:line="240" w:lineRule="auto"/>
            </w:pPr>
            <w:r/>
            <w:r>
              <w:rPr>
                <w:sz w:val="16"/>
              </w:rPr>
              <w:t>R5</w:t>
            </w:r>
          </w:p>
        </w:tc>
        <w:tc>
          <w:tcPr>
            <w:tcW w:type="dxa" w:w="4867"/>
          </w:tcPr>
          <w:p>
            <w:pPr>
              <w:spacing w:after="0" w:line="240" w:lineRule="auto"/>
            </w:pPr>
            <w:r/>
            <w:r>
              <w:rPr>
                <w:sz w:val="16"/>
              </w:rPr>
              <w:t>Ashgrove calibration log AG-UT-F01-2025-0912 — entries 8–12 and remarks</w:t>
            </w:r>
          </w:p>
        </w:tc>
        <w:tc>
          <w:tcPr>
            <w:tcW w:type="dxa" w:w="1800"/>
          </w:tcPr>
          <w:p>
            <w:pPr>
              <w:spacing w:after="0" w:line="240" w:lineRule="auto"/>
            </w:pPr>
            <w:r/>
            <w:r>
              <w:rPr>
                <w:sz w:val="16"/>
              </w:rPr>
              <w:t>09/08–09/15/2025</w:t>
            </w:r>
          </w:p>
        </w:tc>
        <w:tc>
          <w:tcPr>
            <w:tcW w:type="dxa" w:w="2520"/>
          </w:tcPr>
          <w:p>
            <w:pPr>
              <w:spacing w:after="0" w:line="240" w:lineRule="auto"/>
            </w:pPr>
            <w:r/>
            <w:r>
              <w:rPr>
                <w:sz w:val="16"/>
              </w:rPr>
              <w:t>Out-of-tolerance check on T-02-003 course 1</w:t>
            </w:r>
          </w:p>
        </w:tc>
      </w:tr>
      <w:tr>
        <w:trPr>
          <w:cantSplit w:val="true"/>
        </w:trPr>
        <w:tc>
          <w:tcPr>
            <w:tcW w:type="dxa" w:w="605"/>
          </w:tcPr>
          <w:p>
            <w:pPr>
              <w:spacing w:after="0" w:line="240" w:lineRule="auto"/>
            </w:pPr>
            <w:r/>
            <w:r>
              <w:rPr>
                <w:sz w:val="16"/>
              </w:rPr>
              <w:t>R6</w:t>
            </w:r>
          </w:p>
        </w:tc>
        <w:tc>
          <w:tcPr>
            <w:tcW w:type="dxa" w:w="4867"/>
          </w:tcPr>
          <w:p>
            <w:pPr>
              <w:spacing w:after="0" w:line="240" w:lineRule="auto"/>
            </w:pPr>
            <w:r/>
            <w:r>
              <w:rPr>
                <w:sz w:val="16"/>
              </w:rPr>
              <w:t>Ashgrove field data sheet AG-FLD-2025-0917-C1 (T-02-003 course 1)</w:t>
            </w:r>
          </w:p>
        </w:tc>
        <w:tc>
          <w:tcPr>
            <w:tcW w:type="dxa" w:w="1800"/>
          </w:tcPr>
          <w:p>
            <w:pPr>
              <w:spacing w:after="0" w:line="240" w:lineRule="auto"/>
            </w:pPr>
            <w:r/>
            <w:r>
              <w:rPr>
                <w:sz w:val="16"/>
              </w:rPr>
              <w:t>09/17/2025</w:t>
            </w:r>
          </w:p>
        </w:tc>
        <w:tc>
          <w:tcPr>
            <w:tcW w:type="dxa" w:w="2520"/>
          </w:tcPr>
          <w:p>
            <w:pPr>
              <w:spacing w:after="0" w:line="240" w:lineRule="auto"/>
            </w:pPr>
            <w:r/>
            <w:r>
              <w:rPr>
                <w:sz w:val="16"/>
              </w:rPr>
              <w:t>Datum used on T-02-003; validity of the 0.303 in reading</w:t>
            </w:r>
          </w:p>
        </w:tc>
      </w:tr>
      <w:tr>
        <w:trPr>
          <w:cantSplit w:val="true"/>
        </w:trPr>
        <w:tc>
          <w:tcPr>
            <w:tcW w:type="dxa" w:w="605"/>
          </w:tcPr>
          <w:p>
            <w:pPr>
              <w:spacing w:after="0" w:line="240" w:lineRule="auto"/>
            </w:pPr>
            <w:r/>
            <w:r>
              <w:rPr>
                <w:sz w:val="16"/>
              </w:rPr>
              <w:t>R7</w:t>
            </w:r>
          </w:p>
        </w:tc>
        <w:tc>
          <w:tcPr>
            <w:tcW w:type="dxa" w:w="4867"/>
          </w:tcPr>
          <w:p>
            <w:pPr>
              <w:spacing w:after="0" w:line="240" w:lineRule="auto"/>
            </w:pPr>
            <w:r/>
            <w:r>
              <w:rPr>
                <w:sz w:val="16"/>
              </w:rPr>
              <w:t>FFS assessment TC-MECH-FFS-0059 Rev 1 (FFS_Assessment_T-02-003.pdf) — §2, §3</w:t>
            </w:r>
          </w:p>
        </w:tc>
        <w:tc>
          <w:tcPr>
            <w:tcW w:type="dxa" w:w="1800"/>
          </w:tcPr>
          <w:p>
            <w:pPr>
              <w:spacing w:after="0" w:line="240" w:lineRule="auto"/>
            </w:pPr>
            <w:r/>
            <w:r>
              <w:rPr>
                <w:sz w:val="16"/>
              </w:rPr>
              <w:t>11/20/2025</w:t>
            </w:r>
          </w:p>
        </w:tc>
        <w:tc>
          <w:tcPr>
            <w:tcW w:type="dxa" w:w="2520"/>
          </w:tcPr>
          <w:p>
            <w:pPr>
              <w:spacing w:after="0" w:line="240" w:lineRule="auto"/>
            </w:pPr>
            <w:r/>
            <w:r>
              <w:rPr>
                <w:sz w:val="16"/>
              </w:rPr>
              <w:t>Carried rate (1.9 mpy) and t-min (0.215 in)</w:t>
            </w:r>
          </w:p>
        </w:tc>
      </w:tr>
      <w:tr>
        <w:trPr>
          <w:cantSplit w:val="true"/>
        </w:trPr>
        <w:tc>
          <w:tcPr>
            <w:tcW w:type="dxa" w:w="605"/>
          </w:tcPr>
          <w:p>
            <w:pPr>
              <w:spacing w:after="0" w:line="240" w:lineRule="auto"/>
            </w:pPr>
            <w:r/>
            <w:r>
              <w:rPr>
                <w:sz w:val="16"/>
              </w:rPr>
              <w:t>R8</w:t>
            </w:r>
          </w:p>
        </w:tc>
        <w:tc>
          <w:tcPr>
            <w:tcW w:type="dxa" w:w="4867"/>
          </w:tcPr>
          <w:p>
            <w:pPr>
              <w:spacing w:after="0" w:line="240" w:lineRule="auto"/>
            </w:pPr>
            <w:r/>
            <w:r>
              <w:rPr>
                <w:sz w:val="16"/>
              </w:rPr>
              <w:t>External inspection report TC-MECH-INSP-0163 Rev 1 — §3, §4, §5, §6 (F-01), §7</w:t>
            </w:r>
          </w:p>
        </w:tc>
        <w:tc>
          <w:tcPr>
            <w:tcW w:type="dxa" w:w="1800"/>
          </w:tcPr>
          <w:p>
            <w:pPr>
              <w:spacing w:after="0" w:line="240" w:lineRule="auto"/>
            </w:pPr>
            <w:r/>
            <w:r>
              <w:rPr>
                <w:sz w:val="16"/>
              </w:rPr>
              <w:t>01/14/2026</w:t>
            </w:r>
          </w:p>
        </w:tc>
        <w:tc>
          <w:tcPr>
            <w:tcW w:type="dxa" w:w="2520"/>
          </w:tcPr>
          <w:p>
            <w:pPr>
              <w:spacing w:after="0" w:line="240" w:lineRule="auto"/>
            </w:pPr>
            <w:r/>
            <w:r>
              <w:rPr>
                <w:sz w:val="16"/>
              </w:rPr>
              <w:t>'Step' finding; t-min by course; 1.1 mpy</w:t>
            </w:r>
          </w:p>
        </w:tc>
      </w:tr>
      <w:tr>
        <w:trPr>
          <w:cantSplit w:val="true"/>
        </w:trPr>
        <w:tc>
          <w:tcPr>
            <w:tcW w:type="dxa" w:w="605"/>
          </w:tcPr>
          <w:p>
            <w:pPr>
              <w:spacing w:after="0" w:line="240" w:lineRule="auto"/>
            </w:pPr>
            <w:r/>
            <w:r>
              <w:rPr>
                <w:sz w:val="16"/>
              </w:rPr>
              <w:t>R9</w:t>
            </w:r>
          </w:p>
        </w:tc>
        <w:tc>
          <w:tcPr>
            <w:tcW w:type="dxa" w:w="4867"/>
          </w:tcPr>
          <w:p>
            <w:pPr>
              <w:spacing w:after="0" w:line="240" w:lineRule="auto"/>
            </w:pPr>
            <w:r/>
            <w:r>
              <w:rPr>
                <w:sz w:val="16"/>
              </w:rPr>
              <w:t>Corrosion Rate and Remaining Life Workbook TC-MECH-CALC-0075 Rev 1 — Cover A18; T-02-003 sheet; Summary row 11</w:t>
            </w:r>
          </w:p>
        </w:tc>
        <w:tc>
          <w:tcPr>
            <w:tcW w:type="dxa" w:w="1800"/>
          </w:tcPr>
          <w:p>
            <w:pPr>
              <w:spacing w:after="0" w:line="240" w:lineRule="auto"/>
            </w:pPr>
            <w:r/>
            <w:r>
              <w:rPr>
                <w:sz w:val="16"/>
              </w:rPr>
              <w:t>05/22/2026</w:t>
            </w:r>
          </w:p>
        </w:tc>
        <w:tc>
          <w:tcPr>
            <w:tcW w:type="dxa" w:w="2520"/>
          </w:tcPr>
          <w:p>
            <w:pPr>
              <w:spacing w:after="0" w:line="240" w:lineRule="auto"/>
            </w:pPr>
            <w:r/>
            <w:r>
              <w:rPr>
                <w:sz w:val="16"/>
              </w:rPr>
              <w:t>Carried rate, t-min, remaining life (46.3 yr); site rate convention</w:t>
            </w:r>
          </w:p>
        </w:tc>
      </w:tr>
      <w:tr>
        <w:trPr>
          <w:cantSplit w:val="true"/>
        </w:trPr>
        <w:tc>
          <w:tcPr>
            <w:tcW w:type="dxa" w:w="605"/>
          </w:tcPr>
          <w:p>
            <w:pPr>
              <w:spacing w:after="0" w:line="240" w:lineRule="auto"/>
            </w:pPr>
            <w:r/>
            <w:r>
              <w:rPr>
                <w:sz w:val="16"/>
              </w:rPr>
              <w:t>R10</w:t>
            </w:r>
          </w:p>
        </w:tc>
        <w:tc>
          <w:tcPr>
            <w:tcW w:type="dxa" w:w="4867"/>
          </w:tcPr>
          <w:p>
            <w:pPr>
              <w:spacing w:after="0" w:line="240" w:lineRule="auto"/>
            </w:pPr>
            <w:r/>
            <w:r>
              <w:rPr>
                <w:sz w:val="16"/>
              </w:rPr>
              <w:t>Tank Inspection Program 2026 TC-MECH-PROG-0014 Rev 3 — row 19; Notes</w:t>
            </w:r>
          </w:p>
        </w:tc>
        <w:tc>
          <w:tcPr>
            <w:tcW w:type="dxa" w:w="1800"/>
          </w:tcPr>
          <w:p>
            <w:pPr>
              <w:spacing w:after="0" w:line="240" w:lineRule="auto"/>
            </w:pPr>
            <w:r/>
            <w:r>
              <w:rPr>
                <w:sz w:val="16"/>
              </w:rPr>
              <w:t>06/10/2026</w:t>
            </w:r>
          </w:p>
        </w:tc>
        <w:tc>
          <w:tcPr>
            <w:tcW w:type="dxa" w:w="2520"/>
          </w:tcPr>
          <w:p>
            <w:pPr>
              <w:spacing w:after="0" w:line="240" w:lineRule="auto"/>
            </w:pPr>
            <w:r/>
            <w:r>
              <w:rPr>
                <w:sz w:val="16"/>
              </w:rPr>
              <w:t>Programme status (Action Required Y)</w:t>
            </w:r>
          </w:p>
        </w:tc>
      </w:tr>
      <w:tr>
        <w:trPr>
          <w:cantSplit w:val="true"/>
        </w:trPr>
        <w:tc>
          <w:tcPr>
            <w:tcW w:type="dxa" w:w="605"/>
          </w:tcPr>
          <w:p>
            <w:pPr>
              <w:spacing w:after="0" w:line="240" w:lineRule="auto"/>
            </w:pPr>
            <w:r/>
            <w:r>
              <w:rPr>
                <w:sz w:val="16"/>
              </w:rPr>
              <w:t>R11</w:t>
            </w:r>
          </w:p>
        </w:tc>
        <w:tc>
          <w:tcPr>
            <w:tcW w:type="dxa" w:w="4867"/>
          </w:tcPr>
          <w:p>
            <w:pPr>
              <w:spacing w:after="0" w:line="240" w:lineRule="auto"/>
            </w:pPr>
            <w:r/>
            <w:r>
              <w:rPr>
                <w:sz w:val="16"/>
              </w:rPr>
              <w:t>Tank Inspection Plan TC-MECH-PLAN-0203 Rev A (draft) — §2, §3</w:t>
            </w:r>
          </w:p>
        </w:tc>
        <w:tc>
          <w:tcPr>
            <w:tcW w:type="dxa" w:w="1800"/>
          </w:tcPr>
          <w:p>
            <w:pPr>
              <w:spacing w:after="0" w:line="240" w:lineRule="auto"/>
            </w:pPr>
            <w:r/>
            <w:r>
              <w:rPr>
                <w:sz w:val="16"/>
              </w:rPr>
              <w:t>06/10/2026</w:t>
            </w:r>
          </w:p>
        </w:tc>
        <w:tc>
          <w:tcPr>
            <w:tcW w:type="dxa" w:w="2520"/>
          </w:tcPr>
          <w:p>
            <w:pPr>
              <w:spacing w:after="0" w:line="240" w:lineRule="auto"/>
            </w:pPr>
            <w:r/>
            <w:r>
              <w:rPr>
                <w:sz w:val="16"/>
              </w:rPr>
              <w:t>Interval basis; datum section left blank</w:t>
            </w:r>
          </w:p>
        </w:tc>
      </w:tr>
      <w:tr>
        <w:trPr>
          <w:cantSplit w:val="true"/>
        </w:trPr>
        <w:tc>
          <w:tcPr>
            <w:tcW w:type="dxa" w:w="605"/>
          </w:tcPr>
          <w:p>
            <w:pPr>
              <w:spacing w:after="0" w:line="240" w:lineRule="auto"/>
            </w:pPr>
            <w:r/>
            <w:r>
              <w:rPr>
                <w:sz w:val="16"/>
              </w:rPr>
              <w:t>R12</w:t>
            </w:r>
          </w:p>
        </w:tc>
        <w:tc>
          <w:tcPr>
            <w:tcW w:type="dxa" w:w="4867"/>
          </w:tcPr>
          <w:p>
            <w:pPr>
              <w:spacing w:after="0" w:line="240" w:lineRule="auto"/>
            </w:pPr>
            <w:r/>
            <w:r>
              <w:rPr>
                <w:sz w:val="16"/>
              </w:rPr>
              <w:t>Process Data Sheet TC-PROC-DS-0203 Rev 2</w:t>
            </w:r>
          </w:p>
        </w:tc>
        <w:tc>
          <w:tcPr>
            <w:tcW w:type="dxa" w:w="1800"/>
          </w:tcPr>
          <w:p>
            <w:pPr>
              <w:spacing w:after="0" w:line="240" w:lineRule="auto"/>
            </w:pPr>
            <w:r/>
            <w:r>
              <w:rPr>
                <w:sz w:val="16"/>
              </w:rPr>
              <w:t>06/24/2025</w:t>
            </w:r>
          </w:p>
        </w:tc>
        <w:tc>
          <w:tcPr>
            <w:tcW w:type="dxa" w:w="2520"/>
          </w:tcPr>
          <w:p>
            <w:pPr>
              <w:spacing w:after="0" w:line="240" w:lineRule="auto"/>
            </w:pPr>
            <w:r/>
            <w:r>
              <w:rPr>
                <w:sz w:val="16"/>
              </w:rPr>
              <w:t>SG 0.79; max. fill 34 ft; blend revision</w:t>
            </w:r>
          </w:p>
        </w:tc>
      </w:tr>
      <w:tr>
        <w:trPr>
          <w:cantSplit w:val="true"/>
        </w:trPr>
        <w:tc>
          <w:tcPr>
            <w:tcW w:type="dxa" w:w="605"/>
          </w:tcPr>
          <w:p>
            <w:pPr>
              <w:spacing w:after="0" w:line="240" w:lineRule="auto"/>
            </w:pPr>
            <w:r/>
            <w:r>
              <w:rPr>
                <w:sz w:val="16"/>
              </w:rPr>
              <w:t>R13</w:t>
            </w:r>
          </w:p>
        </w:tc>
        <w:tc>
          <w:tcPr>
            <w:tcW w:type="dxa" w:w="4867"/>
          </w:tcPr>
          <w:p>
            <w:pPr>
              <w:spacing w:after="0" w:line="240" w:lineRule="auto"/>
            </w:pPr>
            <w:r/>
            <w:r>
              <w:rPr>
                <w:sz w:val="16"/>
              </w:rPr>
              <w:t>Construction &amp; Nameplate Records Bunds 1 &amp; 2, CBC-ENG-TANK-CONS-BUND12 — §1, §7.1, §7.3</w:t>
            </w:r>
          </w:p>
        </w:tc>
        <w:tc>
          <w:tcPr>
            <w:tcW w:type="dxa" w:w="1800"/>
          </w:tcPr>
          <w:p>
            <w:pPr>
              <w:spacing w:after="0" w:line="240" w:lineRule="auto"/>
            </w:pPr>
            <w:r/>
            <w:r>
              <w:rPr>
                <w:sz w:val="16"/>
              </w:rPr>
              <w:t>08/14/2019</w:t>
            </w:r>
          </w:p>
        </w:tc>
        <w:tc>
          <w:tcPr>
            <w:tcW w:type="dxa" w:w="2520"/>
          </w:tcPr>
          <w:p>
            <w:pPr>
              <w:spacing w:after="0" w:line="240" w:lineRule="auto"/>
            </w:pPr>
            <w:r/>
            <w:r>
              <w:rPr>
                <w:sz w:val="16"/>
              </w:rPr>
              <w:t>Diameter, height, design SG 0.78; in service 09/14/1987; MTRs not in pack</w:t>
            </w:r>
          </w:p>
        </w:tc>
      </w:tr>
      <w:tr>
        <w:trPr>
          <w:cantSplit w:val="true"/>
        </w:trPr>
        <w:tc>
          <w:tcPr>
            <w:tcW w:type="dxa" w:w="605"/>
          </w:tcPr>
          <w:p>
            <w:pPr>
              <w:spacing w:after="0" w:line="240" w:lineRule="auto"/>
            </w:pPr>
            <w:r/>
            <w:r>
              <w:rPr>
                <w:sz w:val="16"/>
              </w:rPr>
              <w:t>R14</w:t>
            </w:r>
          </w:p>
        </w:tc>
        <w:tc>
          <w:tcPr>
            <w:tcW w:type="dxa" w:w="4867"/>
          </w:tcPr>
          <w:p>
            <w:pPr>
              <w:spacing w:after="0" w:line="240" w:lineRule="auto"/>
            </w:pPr>
            <w:r/>
            <w:r>
              <w:rPr>
                <w:sz w:val="16"/>
              </w:rPr>
              <w:t>Tank Design Data Register TC-MECH-REG-0011 Rev 1 — T-02-003 row, note 2</w:t>
            </w:r>
          </w:p>
        </w:tc>
        <w:tc>
          <w:tcPr>
            <w:tcW w:type="dxa" w:w="1800"/>
          </w:tcPr>
          <w:p>
            <w:pPr>
              <w:spacing w:after="0" w:line="240" w:lineRule="auto"/>
            </w:pPr>
            <w:r/>
            <w:r>
              <w:rPr>
                <w:sz w:val="16"/>
              </w:rPr>
              <w:t>04/22/2026</w:t>
            </w:r>
          </w:p>
        </w:tc>
        <w:tc>
          <w:tcPr>
            <w:tcW w:type="dxa" w:w="2520"/>
          </w:tcPr>
          <w:p>
            <w:pPr>
              <w:spacing w:after="0" w:line="240" w:lineRule="auto"/>
            </w:pPr>
            <w:r/>
            <w:r>
              <w:rPr>
                <w:sz w:val="16"/>
              </w:rPr>
              <w:t>Nominal C1 0.375 in (design-drawing value, not measured)</w:t>
            </w:r>
          </w:p>
        </w:tc>
      </w:tr>
      <w:tr>
        <w:trPr>
          <w:cantSplit w:val="true"/>
        </w:trPr>
        <w:tc>
          <w:tcPr>
            <w:tcW w:type="dxa" w:w="605"/>
          </w:tcPr>
          <w:p>
            <w:pPr>
              <w:spacing w:after="0" w:line="240" w:lineRule="auto"/>
            </w:pPr>
            <w:r/>
            <w:r>
              <w:rPr>
                <w:sz w:val="16"/>
              </w:rPr>
              <w:t>R15</w:t>
            </w:r>
          </w:p>
        </w:tc>
        <w:tc>
          <w:tcPr>
            <w:tcW w:type="dxa" w:w="4867"/>
          </w:tcPr>
          <w:p>
            <w:pPr>
              <w:spacing w:after="0" w:line="240" w:lineRule="auto"/>
            </w:pPr>
            <w:r/>
            <w:r>
              <w:rPr>
                <w:sz w:val="16"/>
              </w:rPr>
              <w:t>Legacy Inspection Report Index 2016–2023 — CB-UT-2018-020, CB-UT-2021-019</w:t>
            </w:r>
          </w:p>
        </w:tc>
        <w:tc>
          <w:tcPr>
            <w:tcW w:type="dxa" w:w="1800"/>
          </w:tcPr>
          <w:p>
            <w:pPr>
              <w:spacing w:after="0" w:line="240" w:lineRule="auto"/>
            </w:pPr>
            <w:r/>
            <w:r>
              <w:rPr>
                <w:sz w:val="16"/>
              </w:rPr>
              <w:t>Closed 09/26/2024</w:t>
            </w:r>
          </w:p>
        </w:tc>
        <w:tc>
          <w:tcPr>
            <w:tcW w:type="dxa" w:w="2520"/>
          </w:tcPr>
          <w:p>
            <w:pPr>
              <w:spacing w:after="0" w:line="240" w:lineRule="auto"/>
            </w:pPr>
            <w:r/>
            <w:r>
              <w:rPr>
                <w:sz w:val="16"/>
              </w:rPr>
              <w:t>UT history: 2018 summary letter only; 2021 Delta Coast survey</w:t>
            </w:r>
          </w:p>
        </w:tc>
      </w:tr>
      <w:tr>
        <w:trPr>
          <w:cantSplit w:val="true"/>
        </w:trPr>
        <w:tc>
          <w:tcPr>
            <w:tcW w:type="dxa" w:w="605"/>
          </w:tcPr>
          <w:p>
            <w:pPr>
              <w:spacing w:after="0" w:line="240" w:lineRule="auto"/>
            </w:pPr>
            <w:r/>
            <w:r>
              <w:rPr>
                <w:sz w:val="16"/>
              </w:rPr>
              <w:t>R16</w:t>
            </w:r>
          </w:p>
        </w:tc>
        <w:tc>
          <w:tcPr>
            <w:tcW w:type="dxa" w:w="4867"/>
          </w:tcPr>
          <w:p>
            <w:pPr>
              <w:spacing w:after="0" w:line="240" w:lineRule="auto"/>
            </w:pPr>
            <w:r/>
            <w:r>
              <w:rPr>
                <w:sz w:val="16"/>
              </w:rPr>
              <w:t>Process change note PCN-2025-039 (S. Ali e-mail 06/18/2025); MOC-2025-019</w:t>
            </w:r>
          </w:p>
        </w:tc>
        <w:tc>
          <w:tcPr>
            <w:tcW w:type="dxa" w:w="1800"/>
          </w:tcPr>
          <w:p>
            <w:pPr>
              <w:spacing w:after="0" w:line="240" w:lineRule="auto"/>
            </w:pPr>
            <w:r/>
            <w:r>
              <w:rPr>
                <w:sz w:val="16"/>
              </w:rPr>
              <w:t>Effective 06/16/2025</w:t>
            </w:r>
          </w:p>
        </w:tc>
        <w:tc>
          <w:tcPr>
            <w:tcW w:type="dxa" w:w="2520"/>
          </w:tcPr>
          <w:p>
            <w:pPr>
              <w:spacing w:after="0" w:line="240" w:lineRule="auto"/>
            </w:pPr>
            <w:r/>
            <w:r>
              <w:rPr>
                <w:sz w:val="16"/>
              </w:rPr>
              <w:t>Date of the blend change ('event')</w:t>
            </w:r>
          </w:p>
        </w:tc>
      </w:tr>
      <w:tr>
        <w:trPr>
          <w:cantSplit w:val="true"/>
        </w:trPr>
        <w:tc>
          <w:tcPr>
            <w:tcW w:type="dxa" w:w="605"/>
          </w:tcPr>
          <w:p>
            <w:pPr>
              <w:spacing w:after="0" w:line="240" w:lineRule="auto"/>
            </w:pPr>
            <w:r/>
            <w:r>
              <w:rPr>
                <w:sz w:val="16"/>
              </w:rPr>
              <w:t>R17</w:t>
            </w:r>
          </w:p>
        </w:tc>
        <w:tc>
          <w:tcPr>
            <w:tcW w:type="dxa" w:w="4867"/>
          </w:tcPr>
          <w:p>
            <w:pPr>
              <w:spacing w:after="0" w:line="240" w:lineRule="auto"/>
            </w:pPr>
            <w:r/>
            <w:r>
              <w:rPr>
                <w:sz w:val="16"/>
              </w:rPr>
              <w:t>FFS Assessment Guidance TC-MECH-PROC-0007 Rev 2 — §4</w:t>
            </w:r>
          </w:p>
        </w:tc>
        <w:tc>
          <w:tcPr>
            <w:tcW w:type="dxa" w:w="1800"/>
          </w:tcPr>
          <w:p>
            <w:pPr>
              <w:spacing w:after="0" w:line="240" w:lineRule="auto"/>
            </w:pPr>
            <w:r/>
            <w:r>
              <w:rPr>
                <w:sz w:val="16"/>
              </w:rPr>
              <w:t>06/03/2026</w:t>
            </w:r>
          </w:p>
        </w:tc>
        <w:tc>
          <w:tcPr>
            <w:tcW w:type="dxa" w:w="2520"/>
          </w:tcPr>
          <w:p>
            <w:pPr>
              <w:spacing w:after="0" w:line="240" w:lineRule="auto"/>
            </w:pPr>
            <w:r/>
            <w:r>
              <w:rPr>
                <w:sz w:val="16"/>
              </w:rPr>
              <w:t>Rate basis and interval must be stated</w:t>
            </w:r>
          </w:p>
        </w:tc>
      </w:tr>
      <w:tr>
        <w:trPr>
          <w:cantSplit w:val="true"/>
        </w:trPr>
        <w:tc>
          <w:tcPr>
            <w:tcW w:type="dxa" w:w="605"/>
          </w:tcPr>
          <w:p>
            <w:pPr>
              <w:spacing w:after="0" w:line="240" w:lineRule="auto"/>
            </w:pPr>
            <w:r/>
            <w:r>
              <w:rPr>
                <w:sz w:val="16"/>
              </w:rPr>
              <w:t>R18</w:t>
            </w:r>
          </w:p>
        </w:tc>
        <w:tc>
          <w:tcPr>
            <w:tcW w:type="dxa" w:w="4867"/>
          </w:tcPr>
          <w:p>
            <w:pPr>
              <w:spacing w:after="0" w:line="240" w:lineRule="auto"/>
            </w:pPr>
            <w:r/>
            <w:r>
              <w:rPr>
                <w:sz w:val="16"/>
              </w:rPr>
              <w:t>MI Written Program TC-MECH-PROG-0001 Rev 1 — §3, §5.2</w:t>
            </w:r>
          </w:p>
        </w:tc>
        <w:tc>
          <w:tcPr>
            <w:tcW w:type="dxa" w:w="1800"/>
          </w:tcPr>
          <w:p>
            <w:pPr>
              <w:spacing w:after="0" w:line="240" w:lineRule="auto"/>
            </w:pPr>
            <w:r/>
            <w:r>
              <w:rPr>
                <w:sz w:val="16"/>
              </w:rPr>
              <w:t>03/2025</w:t>
            </w:r>
          </w:p>
        </w:tc>
        <w:tc>
          <w:tcPr>
            <w:tcW w:type="dxa" w:w="2520"/>
          </w:tcPr>
          <w:p>
            <w:pPr>
              <w:spacing w:after="0" w:line="240" w:lineRule="auto"/>
            </w:pPr>
            <w:r/>
            <w:r>
              <w:rPr>
                <w:sz w:val="16"/>
              </w:rPr>
              <w:t>Certified-evidence rule; service-change reassessment</w:t>
            </w:r>
          </w:p>
        </w:tc>
      </w:tr>
      <w:tr>
        <w:trPr>
          <w:cantSplit w:val="true"/>
        </w:trPr>
        <w:tc>
          <w:tcPr>
            <w:tcW w:type="dxa" w:w="605"/>
          </w:tcPr>
          <w:p>
            <w:pPr>
              <w:spacing w:after="0" w:line="240" w:lineRule="auto"/>
            </w:pPr>
            <w:r/>
            <w:r>
              <w:rPr>
                <w:sz w:val="16"/>
              </w:rPr>
              <w:t>R19</w:t>
            </w:r>
          </w:p>
        </w:tc>
        <w:tc>
          <w:tcPr>
            <w:tcW w:type="dxa" w:w="4867"/>
          </w:tcPr>
          <w:p>
            <w:pPr>
              <w:spacing w:after="0" w:line="240" w:lineRule="auto"/>
            </w:pPr>
            <w:r/>
            <w:r>
              <w:rPr>
                <w:sz w:val="16"/>
              </w:rPr>
              <w:t>API certificate 653-38472, S. David</w:t>
            </w:r>
          </w:p>
        </w:tc>
        <w:tc>
          <w:tcPr>
            <w:tcW w:type="dxa" w:w="1800"/>
          </w:tcPr>
          <w:p>
            <w:pPr>
              <w:spacing w:after="0" w:line="240" w:lineRule="auto"/>
            </w:pPr>
            <w:r/>
            <w:r>
              <w:rPr>
                <w:sz w:val="16"/>
              </w:rPr>
              <w:t>Issued 02/20/2026</w:t>
            </w:r>
          </w:p>
        </w:tc>
        <w:tc>
          <w:tcPr>
            <w:tcW w:type="dxa" w:w="2520"/>
          </w:tcPr>
          <w:p>
            <w:pPr>
              <w:spacing w:after="0" w:line="240" w:lineRule="auto"/>
            </w:pPr>
            <w:r/>
            <w:r>
              <w:rPr>
                <w:sz w:val="16"/>
              </w:rPr>
              <w:t>Certificate lapse 11/30/2025 – 02/20/2026</w:t>
            </w:r>
          </w:p>
        </w:tc>
      </w:tr>
      <w:tr>
        <w:trPr>
          <w:cantSplit w:val="true"/>
        </w:trPr>
        <w:tc>
          <w:tcPr>
            <w:tcW w:type="dxa" w:w="605"/>
          </w:tcPr>
          <w:p>
            <w:pPr>
              <w:spacing w:after="0" w:line="240" w:lineRule="auto"/>
            </w:pPr>
            <w:r/>
            <w:r>
              <w:rPr>
                <w:sz w:val="16"/>
              </w:rPr>
              <w:t>R20</w:t>
            </w:r>
          </w:p>
        </w:tc>
        <w:tc>
          <w:tcPr>
            <w:tcW w:type="dxa" w:w="4867"/>
          </w:tcPr>
          <w:p>
            <w:pPr>
              <w:spacing w:after="0" w:line="240" w:lineRule="auto"/>
            </w:pPr>
            <w:r/>
            <w:r>
              <w:rPr>
                <w:sz w:val="16"/>
              </w:rPr>
              <w:t>Integrity Data Handover Note CB-LC-HAND-2024-01; fitter note 'T02003 access and staging' (H. Chapman, '12/9'); FFS Tracker TC-MECH-TRK-0002</w:t>
            </w:r>
          </w:p>
        </w:tc>
        <w:tc>
          <w:tcPr>
            <w:tcW w:type="dxa" w:w="1800"/>
          </w:tcPr>
          <w:p>
            <w:pPr>
              <w:spacing w:after="0" w:line="240" w:lineRule="auto"/>
            </w:pPr>
            <w:r/>
            <w:r>
              <w:rPr>
                <w:sz w:val="16"/>
              </w:rPr>
              <w:t>10/01/2024; 09/12/2025; 06/12/2026</w:t>
            </w:r>
          </w:p>
        </w:tc>
        <w:tc>
          <w:tcPr>
            <w:tcW w:type="dxa" w:w="2520"/>
          </w:tcPr>
          <w:p>
            <w:pPr>
              <w:spacing w:after="0" w:line="240" w:lineRule="auto"/>
            </w:pPr>
            <w:r/>
            <w:r>
              <w:rPr>
                <w:sz w:val="16"/>
              </w:rPr>
              <w:t>Contractor procedures not held; course 5 access; tracker entry</w:t>
            </w:r>
          </w:p>
        </w:tc>
      </w:tr>
    </w:tbl>
    <w:p>
      <w:pPr>
        <w:spacing w:after="40"/>
      </w:pPr>
    </w:p>
    <w:p>
      <w:pPr>
        <w:pStyle w:val="Heading1"/>
      </w:pPr>
      <w:r>
        <w:t>3. The two 2025 surveys use different elevation datums</w:t>
      </w:r>
    </w:p>
    <w:p>
      <w:pPr>
        <w:pStyle w:val="Heading2"/>
      </w:pPr>
      <w:r>
        <w:t>3.1 What the records say</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1944"/>
        <w:gridCol w:w="3744"/>
        <w:gridCol w:w="4104"/>
      </w:tblGrid>
      <w:tr>
        <w:trPr>
          <w:tblHeader w:val="true"/>
          <w:cantSplit w:val="true"/>
        </w:trPr>
        <w:tc>
          <w:tcPr>
            <w:tcW w:type="dxa" w:w="1944"/>
            <w:shd w:val="clear" w:color="auto" w:fill="D5DEEA"/>
            <w:vAlign w:val="center"/>
          </w:tcPr>
          <w:p>
            <w:pPr>
              <w:spacing w:after="0"/>
            </w:pPr>
            <w:r/>
            <w:r>
              <w:rPr>
                <w:b/>
                <w:sz w:val="17"/>
              </w:rPr>
              <w:t>Item</w:t>
            </w:r>
          </w:p>
        </w:tc>
        <w:tc>
          <w:tcPr>
            <w:tcW w:type="dxa" w:w="3744"/>
            <w:shd w:val="clear" w:color="auto" w:fill="D5DEEA"/>
            <w:vAlign w:val="center"/>
          </w:tcPr>
          <w:p>
            <w:pPr>
              <w:spacing w:after="0"/>
            </w:pPr>
            <w:r/>
            <w:r>
              <w:rPr>
                <w:b/>
                <w:sz w:val="17"/>
              </w:rPr>
              <w:t>Merrowfield (R4, R2)</w:t>
            </w:r>
          </w:p>
        </w:tc>
        <w:tc>
          <w:tcPr>
            <w:tcW w:type="dxa" w:w="4104"/>
            <w:shd w:val="clear" w:color="auto" w:fill="D5DEEA"/>
            <w:vAlign w:val="center"/>
          </w:tcPr>
          <w:p>
            <w:pPr>
              <w:spacing w:after="0"/>
            </w:pPr>
            <w:r/>
            <w:r>
              <w:rPr>
                <w:b/>
                <w:sz w:val="17"/>
              </w:rPr>
              <w:t>Ashgrove (R3, R1, R6)</w:t>
            </w:r>
          </w:p>
        </w:tc>
      </w:tr>
      <w:tr>
        <w:trPr>
          <w:cantSplit w:val="true"/>
        </w:trPr>
        <w:tc>
          <w:tcPr>
            <w:tcW w:type="dxa" w:w="1944"/>
          </w:tcPr>
          <w:p>
            <w:pPr>
              <w:spacing w:after="0" w:line="240" w:lineRule="auto"/>
            </w:pPr>
            <w:r/>
            <w:r>
              <w:rPr>
                <w:b/>
                <w:sz w:val="17"/>
              </w:rPr>
              <w:t>Elevation datum</w:t>
            </w:r>
          </w:p>
        </w:tc>
        <w:tc>
          <w:tcPr>
            <w:tcW w:type="dxa" w:w="3744"/>
          </w:tcPr>
          <w:p>
            <w:pPr>
              <w:spacing w:after="0" w:line="240" w:lineRule="auto"/>
            </w:pPr>
            <w:r/>
            <w:r>
              <w:rPr>
                <w:sz w:val="17"/>
              </w:rPr>
              <w:t>Top of the foundation ringwall, where it meets the outside face of the shell (R4 §5.1)</w:t>
            </w:r>
          </w:p>
        </w:tc>
        <w:tc>
          <w:tcPr>
            <w:tcW w:type="dxa" w:w="4104"/>
          </w:tcPr>
          <w:p>
            <w:pPr>
              <w:spacing w:after="0" w:line="240" w:lineRule="auto"/>
            </w:pPr>
            <w:r/>
            <w:r>
              <w:rPr>
                <w:sz w:val="17"/>
              </w:rPr>
              <w:t>Bottom-of-shell weld line: the outer toe of the shell-to-bottom fillet weld (R3 §4.2)</w:t>
            </w:r>
          </w:p>
        </w:tc>
      </w:tr>
      <w:tr>
        <w:trPr>
          <w:cantSplit w:val="true"/>
        </w:trPr>
        <w:tc>
          <w:tcPr>
            <w:tcW w:type="dxa" w:w="1944"/>
          </w:tcPr>
          <w:p>
            <w:pPr>
              <w:spacing w:after="0" w:line="240" w:lineRule="auto"/>
            </w:pPr>
            <w:r/>
            <w:r>
              <w:rPr>
                <w:b/>
                <w:sz w:val="17"/>
              </w:rPr>
              <w:t>Relationship stated</w:t>
            </w:r>
          </w:p>
        </w:tc>
        <w:tc>
          <w:tcPr>
            <w:tcW w:type="dxa" w:w="3744"/>
          </w:tcPr>
          <w:p>
            <w:pPr>
              <w:spacing w:after="0" w:line="240" w:lineRule="auto"/>
            </w:pPr>
            <w:r/>
            <w:r>
              <w:rPr>
                <w:sz w:val="17"/>
              </w:rPr>
              <w:t>—</w:t>
            </w:r>
          </w:p>
        </w:tc>
        <w:tc>
          <w:tcPr>
            <w:tcW w:type="dxa" w:w="4104"/>
          </w:tcPr>
          <w:p>
            <w:pPr>
              <w:spacing w:after="0" w:line="240" w:lineRule="auto"/>
            </w:pPr>
            <w:r/>
            <w:r>
              <w:rPr>
                <w:sz w:val="17"/>
              </w:rPr>
              <w:t>"On Turnpike Chemicals' field-erected tanks at Lake Charles, this datum stands 12 in (305 mm) below the top of the foundation ringwall" (R3 §4.2)</w:t>
            </w:r>
          </w:p>
        </w:tc>
      </w:tr>
      <w:tr>
        <w:trPr>
          <w:cantSplit w:val="true"/>
        </w:trPr>
        <w:tc>
          <w:tcPr>
            <w:tcW w:type="dxa" w:w="1944"/>
          </w:tcPr>
          <w:p>
            <w:pPr>
              <w:spacing w:after="0" w:line="240" w:lineRule="auto"/>
            </w:pPr>
            <w:r/>
            <w:r>
              <w:rPr>
                <w:b/>
                <w:sz w:val="17"/>
              </w:rPr>
              <w:t>Course-1 stations</w:t>
            </w:r>
          </w:p>
        </w:tc>
        <w:tc>
          <w:tcPr>
            <w:tcW w:type="dxa" w:w="3744"/>
          </w:tcPr>
          <w:p>
            <w:pPr>
              <w:spacing w:after="0" w:line="240" w:lineRule="auto"/>
            </w:pPr>
            <w:r/>
            <w:r>
              <w:rPr>
                <w:sz w:val="17"/>
              </w:rPr>
              <w:t>6, 18, 36 and 60 in above datum (R4 §5.3)</w:t>
            </w:r>
          </w:p>
        </w:tc>
        <w:tc>
          <w:tcPr>
            <w:tcW w:type="dxa" w:w="4104"/>
          </w:tcPr>
          <w:p>
            <w:pPr>
              <w:spacing w:after="0" w:line="240" w:lineRule="auto"/>
            </w:pPr>
            <w:r/>
            <w:r>
              <w:rPr>
                <w:sz w:val="17"/>
              </w:rPr>
              <w:t>Default 6, 24, 48 and 72 in above datum (R3 §4.1); used as-is on T-02-003</w:t>
            </w:r>
          </w:p>
        </w:tc>
      </w:tr>
      <w:tr>
        <w:trPr>
          <w:cantSplit w:val="true"/>
        </w:trPr>
        <w:tc>
          <w:tcPr>
            <w:tcW w:type="dxa" w:w="1944"/>
          </w:tcPr>
          <w:p>
            <w:pPr>
              <w:spacing w:after="0" w:line="240" w:lineRule="auto"/>
            </w:pPr>
            <w:r/>
            <w:r>
              <w:rPr>
                <w:b/>
                <w:sz w:val="17"/>
              </w:rPr>
              <w:t>Datum shown in workbook?</w:t>
            </w:r>
          </w:p>
        </w:tc>
        <w:tc>
          <w:tcPr>
            <w:tcW w:type="dxa" w:w="3744"/>
          </w:tcPr>
          <w:p>
            <w:pPr>
              <w:spacing w:after="0" w:line="240" w:lineRule="auto"/>
            </w:pPr>
            <w:r/>
            <w:r>
              <w:rPr>
                <w:sz w:val="17"/>
              </w:rPr>
              <w:t>No. The datum is 'defined in … Section 5 … and is not restated' (R2 Cover B23; T-02-003 note, row 47)</w:t>
            </w:r>
          </w:p>
        </w:tc>
        <w:tc>
          <w:tcPr>
            <w:tcW w:type="dxa" w:w="4104"/>
          </w:tcPr>
          <w:p>
            <w:pPr>
              <w:spacing w:after="0" w:line="240" w:lineRule="auto"/>
            </w:pPr>
            <w:r/>
            <w:r>
              <w:rPr>
                <w:sz w:val="17"/>
              </w:rPr>
              <w:t>No. The datum is 'defined in the procedure … not restated' (R1 Cover B20), and no transposition is applied in the workbook (R3 §4.4)</w:t>
            </w:r>
          </w:p>
        </w:tc>
      </w:tr>
      <w:tr>
        <w:trPr>
          <w:cantSplit w:val="true"/>
        </w:trPr>
        <w:tc>
          <w:tcPr>
            <w:tcW w:type="dxa" w:w="1944"/>
          </w:tcPr>
          <w:p>
            <w:pPr>
              <w:spacing w:after="0" w:line="240" w:lineRule="auto"/>
            </w:pPr>
            <w:r/>
            <w:r>
              <w:rPr>
                <w:b/>
                <w:sz w:val="17"/>
              </w:rPr>
              <w:t>T-02-003 field record</w:t>
            </w:r>
          </w:p>
        </w:tc>
        <w:tc>
          <w:tcPr>
            <w:tcW w:type="dxa" w:w="3744"/>
          </w:tcPr>
          <w:p>
            <w:pPr>
              <w:spacing w:after="0" w:line="240" w:lineRule="auto"/>
            </w:pPr>
            <w:r/>
            <w:r>
              <w:rPr>
                <w:sz w:val="17"/>
              </w:rPr>
              <w:t>—</w:t>
            </w:r>
          </w:p>
        </w:tc>
        <w:tc>
          <w:tcPr>
            <w:tcW w:type="dxa" w:w="4104"/>
          </w:tcPr>
          <w:p>
            <w:pPr>
              <w:spacing w:after="0" w:line="240" w:lineRule="auto"/>
            </w:pPr>
            <w:r/>
            <w:r>
              <w:rPr>
                <w:sz w:val="17"/>
              </w:rPr>
              <w:t>R6: 'As per AG procedure §4.2' ticked; 'Owner-specified datum' not ticked</w:t>
            </w:r>
          </w:p>
        </w:tc>
      </w:tr>
    </w:tbl>
    <w:p>
      <w:pPr>
        <w:spacing w:after="40"/>
      </w:pPr>
    </w:p>
    <w:p>
      <w:r>
        <w:t>None of the inspection report (R8 §4 compares 'grid points carrying the same nominal elevations'), the FFS (R7) or the workbook (R9) states or applies a datum. In the draft inspection plan (R11 §3), the bullets under 'Grid density and datum convention' are blank.</w:t>
      </w:r>
    </w:p>
    <w:p>
      <w:pPr>
        <w:pStyle w:val="Heading2"/>
      </w:pPr>
      <w:r>
        <w:t>3.2 Transposition onto one datum</w:t>
      </w:r>
    </w:p>
    <w:p>
      <w:pPr>
        <w:keepNext/>
      </w:pPr>
      <w:r>
        <w:rPr>
          <w:b/>
        </w:rPr>
        <w:t>Elevation above the weld line = Merrowfield elevation + 12 in.</w:t>
      </w:r>
      <w:r>
        <w:t xml:space="preserve"> Ashgrove elevations are already measured from the weld line.</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2304"/>
        <w:gridCol w:w="2520"/>
        <w:gridCol w:w="2664"/>
        <w:gridCol w:w="2304"/>
      </w:tblGrid>
      <w:tr>
        <w:trPr>
          <w:tblHeader w:val="true"/>
          <w:cantSplit w:val="true"/>
        </w:trPr>
        <w:tc>
          <w:tcPr>
            <w:tcW w:type="dxa" w:w="2304"/>
            <w:shd w:val="clear" w:color="auto" w:fill="D5DEEA"/>
            <w:vAlign w:val="center"/>
          </w:tcPr>
          <w:p>
            <w:pPr>
              <w:spacing w:after="0"/>
            </w:pPr>
            <w:r/>
            <w:r>
              <w:rPr>
                <w:b/>
                <w:sz w:val="17"/>
              </w:rPr>
              <w:t>Elevation above weld line (in)</w:t>
            </w:r>
          </w:p>
        </w:tc>
        <w:tc>
          <w:tcPr>
            <w:tcW w:type="dxa" w:w="2520"/>
            <w:shd w:val="clear" w:color="auto" w:fill="D5DEEA"/>
            <w:vAlign w:val="center"/>
          </w:tcPr>
          <w:p>
            <w:pPr>
              <w:spacing w:after="0"/>
            </w:pPr>
            <w:r/>
            <w:r>
              <w:rPr>
                <w:b/>
                <w:sz w:val="17"/>
              </w:rPr>
              <w:t>Merrowfield label (above ringwall)</w:t>
            </w:r>
          </w:p>
        </w:tc>
        <w:tc>
          <w:tcPr>
            <w:tcW w:type="dxa" w:w="2664"/>
            <w:shd w:val="clear" w:color="auto" w:fill="D5DEEA"/>
            <w:vAlign w:val="center"/>
          </w:tcPr>
          <w:p>
            <w:pPr>
              <w:spacing w:after="0"/>
            </w:pPr>
            <w:r/>
            <w:r>
              <w:rPr>
                <w:b/>
                <w:sz w:val="17"/>
              </w:rPr>
              <w:t>Ashgrove label on T-02-003 (above weld)</w:t>
            </w:r>
          </w:p>
        </w:tc>
        <w:tc>
          <w:tcPr>
            <w:tcW w:type="dxa" w:w="2304"/>
            <w:shd w:val="clear" w:color="auto" w:fill="D5DEEA"/>
            <w:vAlign w:val="center"/>
          </w:tcPr>
          <w:p>
            <w:pPr>
              <w:spacing w:after="0"/>
            </w:pPr>
            <w:r/>
            <w:r>
              <w:rPr>
                <w:b/>
                <w:sz w:val="17"/>
              </w:rPr>
              <w:t>Comparable?</w:t>
            </w:r>
          </w:p>
        </w:tc>
      </w:tr>
      <w:tr>
        <w:trPr>
          <w:cantSplit w:val="true"/>
        </w:trPr>
        <w:tc>
          <w:tcPr>
            <w:tcW w:type="dxa" w:w="2304"/>
          </w:tcPr>
          <w:p>
            <w:pPr>
              <w:spacing w:after="0" w:line="240" w:lineRule="auto"/>
              <w:jc w:val="center"/>
            </w:pPr>
            <w:r/>
            <w:r>
              <w:rPr>
                <w:sz w:val="17"/>
              </w:rPr>
              <w:t>6</w:t>
            </w:r>
          </w:p>
        </w:tc>
        <w:tc>
          <w:tcPr>
            <w:tcW w:type="dxa" w:w="2520"/>
          </w:tcPr>
          <w:p>
            <w:pPr>
              <w:spacing w:after="0" w:line="240" w:lineRule="auto"/>
            </w:pPr>
            <w:r/>
            <w:r>
              <w:rPr>
                <w:sz w:val="17"/>
              </w:rPr>
              <w:t>— (below Merrowfield grid)</w:t>
            </w:r>
          </w:p>
        </w:tc>
        <w:tc>
          <w:tcPr>
            <w:tcW w:type="dxa" w:w="2664"/>
          </w:tcPr>
          <w:p>
            <w:pPr>
              <w:spacing w:after="0" w:line="240" w:lineRule="auto"/>
            </w:pPr>
            <w:r/>
            <w:r>
              <w:rPr>
                <w:sz w:val="17"/>
              </w:rPr>
              <w:t>C1-x-6</w:t>
            </w:r>
          </w:p>
        </w:tc>
        <w:tc>
          <w:tcPr>
            <w:tcW w:type="dxa" w:w="2304"/>
          </w:tcPr>
          <w:p>
            <w:pPr>
              <w:spacing w:after="0" w:line="240" w:lineRule="auto"/>
            </w:pPr>
            <w:r/>
            <w:r>
              <w:rPr>
                <w:sz w:val="17"/>
              </w:rPr>
              <w:t>No — Ashgrove only</w:t>
            </w:r>
          </w:p>
        </w:tc>
      </w:tr>
      <w:tr>
        <w:trPr>
          <w:cantSplit w:val="true"/>
        </w:trPr>
        <w:tc>
          <w:tcPr>
            <w:tcW w:type="dxa" w:w="2304"/>
          </w:tcPr>
          <w:p>
            <w:pPr>
              <w:spacing w:after="0" w:line="240" w:lineRule="auto"/>
              <w:jc w:val="center"/>
            </w:pPr>
            <w:r/>
            <w:r>
              <w:rPr>
                <w:sz w:val="17"/>
              </w:rPr>
              <w:t>18</w:t>
            </w:r>
          </w:p>
        </w:tc>
        <w:tc>
          <w:tcPr>
            <w:tcW w:type="dxa" w:w="2520"/>
          </w:tcPr>
          <w:p>
            <w:pPr>
              <w:spacing w:after="0" w:line="240" w:lineRule="auto"/>
            </w:pPr>
            <w:r/>
            <w:r>
              <w:rPr>
                <w:sz w:val="17"/>
              </w:rPr>
              <w:t>C1-x-6</w:t>
            </w:r>
          </w:p>
        </w:tc>
        <w:tc>
          <w:tcPr>
            <w:tcW w:type="dxa" w:w="2664"/>
          </w:tcPr>
          <w:p>
            <w:pPr>
              <w:spacing w:after="0" w:line="240" w:lineRule="auto"/>
            </w:pPr>
            <w:r/>
            <w:r>
              <w:rPr>
                <w:sz w:val="17"/>
              </w:rPr>
              <w:t>—</w:t>
            </w:r>
          </w:p>
        </w:tc>
        <w:tc>
          <w:tcPr>
            <w:tcW w:type="dxa" w:w="2304"/>
          </w:tcPr>
          <w:p>
            <w:pPr>
              <w:spacing w:after="0" w:line="240" w:lineRule="auto"/>
            </w:pPr>
            <w:r/>
            <w:r>
              <w:rPr>
                <w:sz w:val="17"/>
              </w:rPr>
              <w:t>No — Merrowfield only</w:t>
            </w:r>
          </w:p>
        </w:tc>
      </w:tr>
      <w:tr>
        <w:trPr>
          <w:cantSplit w:val="true"/>
        </w:trPr>
        <w:tc>
          <w:tcPr>
            <w:tcW w:type="dxa" w:w="2304"/>
          </w:tcPr>
          <w:p>
            <w:pPr>
              <w:spacing w:after="0" w:line="240" w:lineRule="auto"/>
              <w:jc w:val="center"/>
            </w:pPr>
            <w:r/>
            <w:r>
              <w:rPr>
                <w:sz w:val="17"/>
              </w:rPr>
              <w:t>24</w:t>
            </w:r>
          </w:p>
        </w:tc>
        <w:tc>
          <w:tcPr>
            <w:tcW w:type="dxa" w:w="2520"/>
          </w:tcPr>
          <w:p>
            <w:pPr>
              <w:spacing w:after="0" w:line="240" w:lineRule="auto"/>
            </w:pPr>
            <w:r/>
            <w:r>
              <w:rPr>
                <w:sz w:val="17"/>
              </w:rPr>
              <w:t>—</w:t>
            </w:r>
          </w:p>
        </w:tc>
        <w:tc>
          <w:tcPr>
            <w:tcW w:type="dxa" w:w="2664"/>
          </w:tcPr>
          <w:p>
            <w:pPr>
              <w:spacing w:after="0" w:line="240" w:lineRule="auto"/>
            </w:pPr>
            <w:r/>
            <w:r>
              <w:rPr>
                <w:sz w:val="17"/>
              </w:rPr>
              <w:t>C1-x-24</w:t>
            </w:r>
          </w:p>
        </w:tc>
        <w:tc>
          <w:tcPr>
            <w:tcW w:type="dxa" w:w="2304"/>
          </w:tcPr>
          <w:p>
            <w:pPr>
              <w:spacing w:after="0" w:line="240" w:lineRule="auto"/>
            </w:pPr>
            <w:r/>
            <w:r>
              <w:rPr>
                <w:sz w:val="17"/>
              </w:rPr>
              <w:t>Between Merrowfield 18 and 30</w:t>
            </w:r>
          </w:p>
        </w:tc>
      </w:tr>
      <w:tr>
        <w:trPr>
          <w:cantSplit w:val="true"/>
        </w:trPr>
        <w:tc>
          <w:tcPr>
            <w:tcW w:type="dxa" w:w="2304"/>
          </w:tcPr>
          <w:p>
            <w:pPr>
              <w:spacing w:after="0" w:line="240" w:lineRule="auto"/>
              <w:jc w:val="center"/>
            </w:pPr>
            <w:r/>
            <w:r>
              <w:rPr>
                <w:sz w:val="17"/>
              </w:rPr>
              <w:t>30</w:t>
            </w:r>
          </w:p>
        </w:tc>
        <w:tc>
          <w:tcPr>
            <w:tcW w:type="dxa" w:w="2520"/>
          </w:tcPr>
          <w:p>
            <w:pPr>
              <w:spacing w:after="0" w:line="240" w:lineRule="auto"/>
            </w:pPr>
            <w:r/>
            <w:r>
              <w:rPr>
                <w:sz w:val="17"/>
              </w:rPr>
              <w:t>C1-x-18</w:t>
            </w:r>
          </w:p>
        </w:tc>
        <w:tc>
          <w:tcPr>
            <w:tcW w:type="dxa" w:w="2664"/>
          </w:tcPr>
          <w:p>
            <w:pPr>
              <w:spacing w:after="0" w:line="240" w:lineRule="auto"/>
            </w:pPr>
            <w:r/>
            <w:r>
              <w:rPr>
                <w:sz w:val="17"/>
              </w:rPr>
              <w:t>—</w:t>
            </w:r>
          </w:p>
        </w:tc>
        <w:tc>
          <w:tcPr>
            <w:tcW w:type="dxa" w:w="2304"/>
          </w:tcPr>
          <w:p>
            <w:pPr>
              <w:spacing w:after="0" w:line="240" w:lineRule="auto"/>
            </w:pPr>
            <w:r/>
            <w:r>
              <w:rPr>
                <w:sz w:val="17"/>
              </w:rPr>
              <w:t>No — Merrowfield only</w:t>
            </w:r>
          </w:p>
        </w:tc>
      </w:tr>
      <w:tr>
        <w:trPr>
          <w:cantSplit w:val="true"/>
        </w:trPr>
        <w:tc>
          <w:tcPr>
            <w:tcW w:type="dxa" w:w="2304"/>
          </w:tcPr>
          <w:p>
            <w:pPr>
              <w:spacing w:after="0" w:line="240" w:lineRule="auto"/>
              <w:jc w:val="center"/>
            </w:pPr>
            <w:r/>
            <w:r>
              <w:rPr>
                <w:sz w:val="17"/>
              </w:rPr>
              <w:t>48</w:t>
            </w:r>
          </w:p>
        </w:tc>
        <w:tc>
          <w:tcPr>
            <w:tcW w:type="dxa" w:w="2520"/>
          </w:tcPr>
          <w:p>
            <w:pPr>
              <w:spacing w:after="0" w:line="240" w:lineRule="auto"/>
            </w:pPr>
            <w:r/>
            <w:r>
              <w:rPr>
                <w:sz w:val="17"/>
              </w:rPr>
              <w:t>C1-x-36</w:t>
            </w:r>
          </w:p>
        </w:tc>
        <w:tc>
          <w:tcPr>
            <w:tcW w:type="dxa" w:w="2664"/>
          </w:tcPr>
          <w:p>
            <w:pPr>
              <w:spacing w:after="0" w:line="240" w:lineRule="auto"/>
            </w:pPr>
            <w:r/>
            <w:r>
              <w:rPr>
                <w:sz w:val="17"/>
              </w:rPr>
              <w:t>C1-x-48</w:t>
            </w:r>
          </w:p>
        </w:tc>
        <w:tc>
          <w:tcPr>
            <w:tcW w:type="dxa" w:w="2304"/>
          </w:tcPr>
          <w:p>
            <w:pPr>
              <w:spacing w:after="0" w:line="240" w:lineRule="auto"/>
            </w:pPr>
            <w:r/>
            <w:r>
              <w:rPr>
                <w:b/>
                <w:sz w:val="17"/>
              </w:rPr>
              <w:t>Yes — same point</w:t>
            </w:r>
          </w:p>
        </w:tc>
      </w:tr>
      <w:tr>
        <w:trPr>
          <w:cantSplit w:val="true"/>
        </w:trPr>
        <w:tc>
          <w:tcPr>
            <w:tcW w:type="dxa" w:w="2304"/>
          </w:tcPr>
          <w:p>
            <w:pPr>
              <w:spacing w:after="0" w:line="240" w:lineRule="auto"/>
              <w:jc w:val="center"/>
            </w:pPr>
            <w:r/>
            <w:r>
              <w:rPr>
                <w:sz w:val="17"/>
              </w:rPr>
              <w:t>72</w:t>
            </w:r>
          </w:p>
        </w:tc>
        <w:tc>
          <w:tcPr>
            <w:tcW w:type="dxa" w:w="2520"/>
          </w:tcPr>
          <w:p>
            <w:pPr>
              <w:spacing w:after="0" w:line="240" w:lineRule="auto"/>
            </w:pPr>
            <w:r/>
            <w:r>
              <w:rPr>
                <w:sz w:val="17"/>
              </w:rPr>
              <w:t>C1-x-60</w:t>
            </w:r>
          </w:p>
        </w:tc>
        <w:tc>
          <w:tcPr>
            <w:tcW w:type="dxa" w:w="2664"/>
          </w:tcPr>
          <w:p>
            <w:pPr>
              <w:spacing w:after="0" w:line="240" w:lineRule="auto"/>
            </w:pPr>
            <w:r/>
            <w:r>
              <w:rPr>
                <w:sz w:val="17"/>
              </w:rPr>
              <w:t>C1-x-72</w:t>
            </w:r>
          </w:p>
        </w:tc>
        <w:tc>
          <w:tcPr>
            <w:tcW w:type="dxa" w:w="2304"/>
          </w:tcPr>
          <w:p>
            <w:pPr>
              <w:spacing w:after="0" w:line="240" w:lineRule="auto"/>
            </w:pPr>
            <w:r/>
            <w:r>
              <w:rPr>
                <w:b/>
                <w:sz w:val="17"/>
              </w:rPr>
              <w:t>Yes — same point</w:t>
            </w:r>
          </w:p>
        </w:tc>
      </w:tr>
    </w:tbl>
    <w:p>
      <w:pPr>
        <w:spacing w:after="40"/>
      </w:pPr>
    </w:p>
    <w:p>
      <w:pPr>
        <w:pStyle w:val="Heading2"/>
      </w:pPr>
      <w:r>
        <w:t>3.3 The readings confirm the 12 in offset</w:t>
      </w:r>
    </w:p>
    <w:p>
      <w:pPr>
        <w:pStyle w:val="ListBullet"/>
        <w:spacing w:after="40"/>
      </w:pPr>
      <w:r>
        <w:rPr>
          <w:b/>
        </w:rPr>
        <w:t>Matched points on T-02-003 (48 and 72 in above the weld).</w:t>
      </w:r>
      <w:r>
        <w:t xml:space="preserve"> Ashgrove (09/12/2025) is lower than Merrowfield (04/28/2025) by 0.001 in in the south quadrant and 0.002 in in N, E and W, at both elevations. All eight pairs agree within 0.002 in. At the 2021–2025 rates for these elevations, 136 days of service would remove 0.0008 – 0.0011 in.</w:t>
      </w:r>
    </w:p>
    <w:p>
      <w:pPr>
        <w:pStyle w:val="ListBullet"/>
        <w:spacing w:after="40"/>
      </w:pPr>
      <w:r>
        <w:rPr>
          <w:b/>
        </w:rPr>
        <w:t>Ashgrove's 24 in station is midway between Merrowfield's stations at 18 and 30 in above the weld.</w:t>
      </w:r>
      <w:r>
        <w:t xml:space="preserve"> In all four quadrants the Ashgrove reading is 0.0005 in below the Merrowfield midpoint, e.g. south: 0.340 against (0.334 + 0.347) ÷ 2 = 0.3405 in.</w:t>
      </w:r>
    </w:p>
    <w:p>
      <w:pPr>
        <w:pStyle w:val="ListBullet"/>
        <w:spacing w:after="40"/>
      </w:pPr>
      <w:r>
        <w:rPr>
          <w:b/>
        </w:rPr>
        <w:t>Sister tanks T-02-001 and T-02-002</w:t>
      </w:r>
      <w:r>
        <w:t xml:space="preserve">, read by the same two contractors in the same campaigns (R1, R2). On those tanks Ashgrove placed course-1 stations at 18, 30, 48 and 72 in above the weld, which are Merrowfield's 6, 18, 36 and 60 in transposed. It reproduced Merrowfield's readings within 0.000 – 0.004 in at every point; for example, T-02-002 south: 0.263 / 0.265 / 0.276 / 0.292 in against 0.263 / 0.266 / 0.277 / 0.293 in. On T-02-003 Ashgrove used its default 6/24/48/72 in grid instead, so only the </w:t>
      </w:r>
      <w:r>
        <w:rPr>
          <w:i/>
        </w:rPr>
        <w:t>label</w:t>
      </w:r>
      <w:r>
        <w:t xml:space="preserve"> '6' coincides.</w:t>
      </w:r>
    </w:p>
    <w:p>
      <w:pPr>
        <w:pStyle w:val="Heading2"/>
      </w:pPr>
      <w:r>
        <w:t>3.4 Consequence: the 0.031 in 'step' is a datum artefact</w:t>
      </w:r>
    </w:p>
    <w:p>
      <w:r>
        <w:t xml:space="preserve">Merrowfield's C1-S-6 is 18 in above the weld. Ashgrove's C1-S-6 is 6 in above the weld. The 0.031 in step in R8 §4 and finding F-01 compares these two different points. It is exactly 0.031 in in all four quadrants (N 0.337 / 0.306, E 0.335 / 0.304, S 0.334 / 0.303, W 0.336 / 0.305 in). That is what a fixed elevation offset on a smooth thickness gradient produces. It is not what 4½ months of corrosion would produce: real loss would also show at the matched points, where the change is 0.002 in or less. </w:t>
      </w:r>
      <w:r>
        <w:rPr>
          <w:b/>
        </w:rPr>
        <w:t>No corrosion rate can be derived from the step.</w:t>
      </w:r>
    </w:p>
    <w:p>
      <w:pPr>
        <w:jc w:val="center"/>
      </w:pPr>
      <w:r>
        <w:drawing>
          <wp:inline xmlns:a="http://schemas.openxmlformats.org/drawingml/2006/main" xmlns:pic="http://schemas.openxmlformats.org/drawingml/2006/picture">
            <wp:extent cx="6217920" cy="3273575"/>
            <wp:docPr id="1" name="Picture 1"/>
            <wp:cNvGraphicFramePr>
              <a:graphicFrameLocks noChangeAspect="1"/>
            </wp:cNvGraphicFramePr>
            <a:graphic>
              <a:graphicData uri="http://schemas.openxmlformats.org/drawingml/2006/picture">
                <pic:pic>
                  <pic:nvPicPr>
                    <pic:cNvPr id="0" name="fig1c.png"/>
                    <pic:cNvPicPr/>
                  </pic:nvPicPr>
                  <pic:blipFill>
                    <a:blip r:embed="rId11"/>
                    <a:stretch>
                      <a:fillRect/>
                    </a:stretch>
                  </pic:blipFill>
                  <pic:spPr>
                    <a:xfrm>
                      <a:off x="0" y="0"/>
                      <a:ext cx="6217920" cy="3273575"/>
                    </a:xfrm>
                    <a:prstGeom prst="rect"/>
                  </pic:spPr>
                </pic:pic>
              </a:graphicData>
            </a:graphic>
          </wp:inline>
        </w:drawing>
      </w:r>
    </w:p>
    <w:p>
      <w:pPr>
        <w:spacing w:after="120"/>
      </w:pPr>
      <w:r>
        <w:rPr>
          <w:i/>
          <w:sz w:val="17"/>
        </w:rPr>
        <w:t>Figure 1 — Course 1, south quadrant. (a) As labelled: the two 'C1-S-6' readings sit 0.031 in apart. (b) With Merrowfield elevations moved up 12 in onto the weld-line datum, the 2025 surveys lie on one profile and coincide at the matched points. The Ashgrove 6 in reading is the only measurement in the lowest 18 in of the shell. Data: R1, R2.</w:t>
      </w:r>
    </w:p>
    <w:p>
      <w:pPr>
        <w:pStyle w:val="Heading1"/>
      </w:pPr>
      <w:r>
        <w:t>4. Course 1 thickness on a common datum</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1512"/>
        <w:gridCol w:w="1512"/>
        <w:gridCol w:w="1512"/>
        <w:gridCol w:w="1800"/>
        <w:gridCol w:w="1728"/>
        <w:gridCol w:w="1728"/>
      </w:tblGrid>
      <w:tr>
        <w:trPr>
          <w:tblHeader w:val="true"/>
          <w:cantSplit w:val="true"/>
        </w:trPr>
        <w:tc>
          <w:tcPr>
            <w:tcW w:type="dxa" w:w="1512"/>
            <w:shd w:val="clear" w:color="auto" w:fill="D5DEEA"/>
            <w:vAlign w:val="center"/>
          </w:tcPr>
          <w:p>
            <w:pPr>
              <w:spacing w:after="0"/>
            </w:pPr>
            <w:r/>
            <w:r>
              <w:rPr>
                <w:b/>
                <w:sz w:val="17"/>
              </w:rPr>
              <w:t>Elevation above weld (in)</w:t>
            </w:r>
          </w:p>
        </w:tc>
        <w:tc>
          <w:tcPr>
            <w:tcW w:type="dxa" w:w="1512"/>
            <w:shd w:val="clear" w:color="auto" w:fill="D5DEEA"/>
            <w:vAlign w:val="center"/>
          </w:tcPr>
          <w:p>
            <w:pPr>
              <w:spacing w:after="0"/>
            </w:pPr>
            <w:r/>
            <w:r>
              <w:rPr>
                <w:b/>
                <w:sz w:val="17"/>
              </w:rPr>
              <w:t>Merrowfield grid</w:t>
            </w:r>
          </w:p>
        </w:tc>
        <w:tc>
          <w:tcPr>
            <w:tcW w:type="dxa" w:w="1512"/>
            <w:shd w:val="clear" w:color="auto" w:fill="D5DEEA"/>
            <w:vAlign w:val="center"/>
          </w:tcPr>
          <w:p>
            <w:pPr>
              <w:spacing w:after="0"/>
            </w:pPr>
            <w:r/>
            <w:r>
              <w:rPr>
                <w:b/>
                <w:sz w:val="17"/>
              </w:rPr>
              <w:t>Ashgrove grid</w:t>
            </w:r>
          </w:p>
        </w:tc>
        <w:tc>
          <w:tcPr>
            <w:tcW w:type="dxa" w:w="1800"/>
            <w:shd w:val="clear" w:color="auto" w:fill="D5DEEA"/>
            <w:vAlign w:val="center"/>
          </w:tcPr>
          <w:p>
            <w:pPr>
              <w:spacing w:after="0"/>
            </w:pPr>
            <w:r/>
            <w:r>
              <w:rPr>
                <w:b/>
                <w:sz w:val="17"/>
              </w:rPr>
              <w:t>CB-UT-2021-019 04/2021 (in)</w:t>
            </w:r>
          </w:p>
        </w:tc>
        <w:tc>
          <w:tcPr>
            <w:tcW w:type="dxa" w:w="1728"/>
            <w:shd w:val="clear" w:color="auto" w:fill="D5DEEA"/>
            <w:vAlign w:val="center"/>
          </w:tcPr>
          <w:p>
            <w:pPr>
              <w:spacing w:after="0"/>
            </w:pPr>
            <w:r/>
            <w:r>
              <w:rPr>
                <w:b/>
                <w:sz w:val="17"/>
              </w:rPr>
              <w:t>Merrowfield 04/28/2025 (in)</w:t>
            </w:r>
          </w:p>
        </w:tc>
        <w:tc>
          <w:tcPr>
            <w:tcW w:type="dxa" w:w="1728"/>
            <w:shd w:val="clear" w:color="auto" w:fill="D5DEEA"/>
            <w:vAlign w:val="center"/>
          </w:tcPr>
          <w:p>
            <w:pPr>
              <w:spacing w:after="0"/>
            </w:pPr>
            <w:r/>
            <w:r>
              <w:rPr>
                <w:b/>
                <w:sz w:val="17"/>
              </w:rPr>
              <w:t>Ashgrove 09/12/2025 (in)</w:t>
            </w:r>
          </w:p>
        </w:tc>
      </w:tr>
      <w:tr>
        <w:trPr>
          <w:cantSplit w:val="true"/>
        </w:trPr>
        <w:tc>
          <w:tcPr>
            <w:tcW w:type="dxa" w:w="1512"/>
            <w:shd w:val="clear" w:color="auto" w:fill="FFF2CC"/>
          </w:tcPr>
          <w:p>
            <w:pPr>
              <w:spacing w:after="0" w:line="240" w:lineRule="auto"/>
              <w:jc w:val="center"/>
            </w:pPr>
            <w:r/>
            <w:r>
              <w:rPr>
                <w:sz w:val="17"/>
              </w:rPr>
              <w:t>6</w:t>
            </w:r>
          </w:p>
        </w:tc>
        <w:tc>
          <w:tcPr>
            <w:tcW w:type="dxa" w:w="1512"/>
            <w:shd w:val="clear" w:color="auto" w:fill="FFF2CC"/>
          </w:tcPr>
          <w:p>
            <w:pPr>
              <w:spacing w:after="0" w:line="240" w:lineRule="auto"/>
            </w:pPr>
            <w:r/>
            <w:r>
              <w:rPr>
                <w:sz w:val="17"/>
              </w:rPr>
              <w:t>—</w:t>
            </w:r>
          </w:p>
        </w:tc>
        <w:tc>
          <w:tcPr>
            <w:tcW w:type="dxa" w:w="1512"/>
            <w:shd w:val="clear" w:color="auto" w:fill="FFF2CC"/>
          </w:tcPr>
          <w:p>
            <w:pPr>
              <w:spacing w:after="0" w:line="240" w:lineRule="auto"/>
            </w:pPr>
            <w:r/>
            <w:r>
              <w:rPr>
                <w:sz w:val="17"/>
              </w:rPr>
              <w:t>C1-S-6</w:t>
            </w:r>
          </w:p>
        </w:tc>
        <w:tc>
          <w:tcPr>
            <w:tcW w:type="dxa" w:w="1800"/>
            <w:shd w:val="clear" w:color="auto" w:fill="FFF2CC"/>
          </w:tcPr>
          <w:p>
            <w:pPr>
              <w:spacing w:after="0" w:line="240" w:lineRule="auto"/>
              <w:jc w:val="center"/>
            </w:pPr>
            <w:r/>
            <w:r>
              <w:rPr>
                <w:sz w:val="17"/>
              </w:rPr>
              <w:t>—</w:t>
            </w:r>
          </w:p>
        </w:tc>
        <w:tc>
          <w:tcPr>
            <w:tcW w:type="dxa" w:w="1728"/>
            <w:shd w:val="clear" w:color="auto" w:fill="FFF2CC"/>
          </w:tcPr>
          <w:p>
            <w:pPr>
              <w:spacing w:after="0" w:line="240" w:lineRule="auto"/>
              <w:jc w:val="center"/>
            </w:pPr>
            <w:r/>
            <w:r>
              <w:rPr>
                <w:sz w:val="17"/>
              </w:rPr>
              <w:t>—</w:t>
            </w:r>
          </w:p>
        </w:tc>
        <w:tc>
          <w:tcPr>
            <w:tcW w:type="dxa" w:w="1728"/>
            <w:shd w:val="clear" w:color="auto" w:fill="FFF2CC"/>
          </w:tcPr>
          <w:p>
            <w:pPr>
              <w:spacing w:after="0" w:line="240" w:lineRule="auto"/>
              <w:jc w:val="center"/>
            </w:pPr>
            <w:r/>
            <w:r>
              <w:rPr>
                <w:sz w:val="17"/>
              </w:rPr>
              <w:t>0.303</w:t>
            </w:r>
          </w:p>
        </w:tc>
      </w:tr>
      <w:tr>
        <w:trPr>
          <w:cantSplit w:val="true"/>
        </w:trPr>
        <w:tc>
          <w:tcPr>
            <w:tcW w:type="dxa" w:w="1512"/>
          </w:tcPr>
          <w:p>
            <w:pPr>
              <w:spacing w:after="0" w:line="240" w:lineRule="auto"/>
              <w:jc w:val="center"/>
            </w:pPr>
            <w:r/>
            <w:r>
              <w:rPr>
                <w:sz w:val="17"/>
              </w:rPr>
              <w:t>18</w:t>
            </w:r>
          </w:p>
        </w:tc>
        <w:tc>
          <w:tcPr>
            <w:tcW w:type="dxa" w:w="1512"/>
          </w:tcPr>
          <w:p>
            <w:pPr>
              <w:spacing w:after="0" w:line="240" w:lineRule="auto"/>
            </w:pPr>
            <w:r/>
            <w:r>
              <w:rPr>
                <w:sz w:val="17"/>
              </w:rPr>
              <w:t>C1-S-6</w:t>
            </w:r>
          </w:p>
        </w:tc>
        <w:tc>
          <w:tcPr>
            <w:tcW w:type="dxa" w:w="1512"/>
          </w:tcPr>
          <w:p>
            <w:pPr>
              <w:spacing w:after="0" w:line="240" w:lineRule="auto"/>
            </w:pPr>
            <w:r/>
            <w:r>
              <w:rPr>
                <w:sz w:val="17"/>
              </w:rPr>
              <w:t>—</w:t>
            </w:r>
          </w:p>
        </w:tc>
        <w:tc>
          <w:tcPr>
            <w:tcW w:type="dxa" w:w="1800"/>
          </w:tcPr>
          <w:p>
            <w:pPr>
              <w:spacing w:after="0" w:line="240" w:lineRule="auto"/>
              <w:jc w:val="center"/>
            </w:pPr>
            <w:r/>
            <w:r>
              <w:rPr>
                <w:sz w:val="17"/>
              </w:rPr>
              <w:t>0.349</w:t>
            </w:r>
          </w:p>
        </w:tc>
        <w:tc>
          <w:tcPr>
            <w:tcW w:type="dxa" w:w="1728"/>
          </w:tcPr>
          <w:p>
            <w:pPr>
              <w:spacing w:after="0" w:line="240" w:lineRule="auto"/>
              <w:jc w:val="center"/>
            </w:pPr>
            <w:r/>
            <w:r>
              <w:rPr>
                <w:sz w:val="17"/>
              </w:rPr>
              <w:t>0.334</w:t>
            </w:r>
          </w:p>
        </w:tc>
        <w:tc>
          <w:tcPr>
            <w:tcW w:type="dxa" w:w="1728"/>
          </w:tcPr>
          <w:p>
            <w:pPr>
              <w:spacing w:after="0" w:line="240" w:lineRule="auto"/>
              <w:jc w:val="center"/>
            </w:pPr>
            <w:r/>
            <w:r>
              <w:rPr>
                <w:sz w:val="17"/>
              </w:rPr>
              <w:t>—</w:t>
            </w:r>
          </w:p>
        </w:tc>
      </w:tr>
      <w:tr>
        <w:trPr>
          <w:cantSplit w:val="true"/>
        </w:trPr>
        <w:tc>
          <w:tcPr>
            <w:tcW w:type="dxa" w:w="1512"/>
          </w:tcPr>
          <w:p>
            <w:pPr>
              <w:spacing w:after="0" w:line="240" w:lineRule="auto"/>
              <w:jc w:val="center"/>
            </w:pPr>
            <w:r/>
            <w:r>
              <w:rPr>
                <w:sz w:val="17"/>
              </w:rPr>
              <w:t>24</w:t>
            </w:r>
          </w:p>
        </w:tc>
        <w:tc>
          <w:tcPr>
            <w:tcW w:type="dxa" w:w="1512"/>
          </w:tcPr>
          <w:p>
            <w:pPr>
              <w:spacing w:after="0" w:line="240" w:lineRule="auto"/>
            </w:pPr>
            <w:r/>
            <w:r>
              <w:rPr>
                <w:sz w:val="17"/>
              </w:rPr>
              <w:t>—</w:t>
            </w:r>
          </w:p>
        </w:tc>
        <w:tc>
          <w:tcPr>
            <w:tcW w:type="dxa" w:w="1512"/>
          </w:tcPr>
          <w:p>
            <w:pPr>
              <w:spacing w:after="0" w:line="240" w:lineRule="auto"/>
            </w:pPr>
            <w:r/>
            <w:r>
              <w:rPr>
                <w:sz w:val="17"/>
              </w:rPr>
              <w:t>C1-S-24</w:t>
            </w:r>
          </w:p>
        </w:tc>
        <w:tc>
          <w:tcPr>
            <w:tcW w:type="dxa" w:w="1800"/>
          </w:tcPr>
          <w:p>
            <w:pPr>
              <w:spacing w:after="0" w:line="240" w:lineRule="auto"/>
              <w:jc w:val="center"/>
            </w:pPr>
            <w:r/>
            <w:r>
              <w:rPr>
                <w:sz w:val="17"/>
              </w:rPr>
              <w:t>—</w:t>
            </w:r>
          </w:p>
        </w:tc>
        <w:tc>
          <w:tcPr>
            <w:tcW w:type="dxa" w:w="1728"/>
          </w:tcPr>
          <w:p>
            <w:pPr>
              <w:spacing w:after="0" w:line="240" w:lineRule="auto"/>
              <w:jc w:val="center"/>
            </w:pPr>
            <w:r/>
            <w:r>
              <w:rPr>
                <w:sz w:val="17"/>
              </w:rPr>
              <w:t>—</w:t>
            </w:r>
          </w:p>
        </w:tc>
        <w:tc>
          <w:tcPr>
            <w:tcW w:type="dxa" w:w="1728"/>
          </w:tcPr>
          <w:p>
            <w:pPr>
              <w:spacing w:after="0" w:line="240" w:lineRule="auto"/>
              <w:jc w:val="center"/>
            </w:pPr>
            <w:r/>
            <w:r>
              <w:rPr>
                <w:sz w:val="17"/>
              </w:rPr>
              <w:t>0.340</w:t>
            </w:r>
          </w:p>
        </w:tc>
      </w:tr>
      <w:tr>
        <w:trPr>
          <w:cantSplit w:val="true"/>
        </w:trPr>
        <w:tc>
          <w:tcPr>
            <w:tcW w:type="dxa" w:w="1512"/>
          </w:tcPr>
          <w:p>
            <w:pPr>
              <w:spacing w:after="0" w:line="240" w:lineRule="auto"/>
              <w:jc w:val="center"/>
            </w:pPr>
            <w:r/>
            <w:r>
              <w:rPr>
                <w:sz w:val="17"/>
              </w:rPr>
              <w:t>30</w:t>
            </w:r>
          </w:p>
        </w:tc>
        <w:tc>
          <w:tcPr>
            <w:tcW w:type="dxa" w:w="1512"/>
          </w:tcPr>
          <w:p>
            <w:pPr>
              <w:spacing w:after="0" w:line="240" w:lineRule="auto"/>
            </w:pPr>
            <w:r/>
            <w:r>
              <w:rPr>
                <w:sz w:val="17"/>
              </w:rPr>
              <w:t>C1-S-18</w:t>
            </w:r>
          </w:p>
        </w:tc>
        <w:tc>
          <w:tcPr>
            <w:tcW w:type="dxa" w:w="1512"/>
          </w:tcPr>
          <w:p>
            <w:pPr>
              <w:spacing w:after="0" w:line="240" w:lineRule="auto"/>
            </w:pPr>
            <w:r/>
            <w:r>
              <w:rPr>
                <w:sz w:val="17"/>
              </w:rPr>
              <w:t>—</w:t>
            </w:r>
          </w:p>
        </w:tc>
        <w:tc>
          <w:tcPr>
            <w:tcW w:type="dxa" w:w="1800"/>
          </w:tcPr>
          <w:p>
            <w:pPr>
              <w:spacing w:after="0" w:line="240" w:lineRule="auto"/>
              <w:jc w:val="center"/>
            </w:pPr>
            <w:r/>
            <w:r>
              <w:rPr>
                <w:sz w:val="17"/>
              </w:rPr>
              <w:t>0.360</w:t>
            </w:r>
          </w:p>
        </w:tc>
        <w:tc>
          <w:tcPr>
            <w:tcW w:type="dxa" w:w="1728"/>
          </w:tcPr>
          <w:p>
            <w:pPr>
              <w:spacing w:after="0" w:line="240" w:lineRule="auto"/>
              <w:jc w:val="center"/>
            </w:pPr>
            <w:r/>
            <w:r>
              <w:rPr>
                <w:sz w:val="17"/>
              </w:rPr>
              <w:t>0.347</w:t>
            </w:r>
          </w:p>
        </w:tc>
        <w:tc>
          <w:tcPr>
            <w:tcW w:type="dxa" w:w="1728"/>
          </w:tcPr>
          <w:p>
            <w:pPr>
              <w:spacing w:after="0" w:line="240" w:lineRule="auto"/>
              <w:jc w:val="center"/>
            </w:pPr>
            <w:r/>
            <w:r>
              <w:rPr>
                <w:sz w:val="17"/>
              </w:rPr>
              <w:t>—</w:t>
            </w:r>
          </w:p>
        </w:tc>
      </w:tr>
      <w:tr>
        <w:trPr>
          <w:cantSplit w:val="true"/>
        </w:trPr>
        <w:tc>
          <w:tcPr>
            <w:tcW w:type="dxa" w:w="1512"/>
          </w:tcPr>
          <w:p>
            <w:pPr>
              <w:spacing w:after="0" w:line="240" w:lineRule="auto"/>
              <w:jc w:val="center"/>
            </w:pPr>
            <w:r/>
            <w:r>
              <w:rPr>
                <w:sz w:val="17"/>
              </w:rPr>
              <w:t>48</w:t>
            </w:r>
          </w:p>
        </w:tc>
        <w:tc>
          <w:tcPr>
            <w:tcW w:type="dxa" w:w="1512"/>
          </w:tcPr>
          <w:p>
            <w:pPr>
              <w:spacing w:after="0" w:line="240" w:lineRule="auto"/>
            </w:pPr>
            <w:r/>
            <w:r>
              <w:rPr>
                <w:sz w:val="17"/>
              </w:rPr>
              <w:t>C1-S-36</w:t>
            </w:r>
          </w:p>
        </w:tc>
        <w:tc>
          <w:tcPr>
            <w:tcW w:type="dxa" w:w="1512"/>
          </w:tcPr>
          <w:p>
            <w:pPr>
              <w:spacing w:after="0" w:line="240" w:lineRule="auto"/>
            </w:pPr>
            <w:r/>
            <w:r>
              <w:rPr>
                <w:sz w:val="17"/>
              </w:rPr>
              <w:t>C1-S-48</w:t>
            </w:r>
          </w:p>
        </w:tc>
        <w:tc>
          <w:tcPr>
            <w:tcW w:type="dxa" w:w="1800"/>
          </w:tcPr>
          <w:p>
            <w:pPr>
              <w:spacing w:after="0" w:line="240" w:lineRule="auto"/>
              <w:jc w:val="center"/>
            </w:pPr>
            <w:r/>
            <w:r>
              <w:rPr>
                <w:sz w:val="17"/>
              </w:rPr>
              <w:t>0.369</w:t>
            </w:r>
          </w:p>
        </w:tc>
        <w:tc>
          <w:tcPr>
            <w:tcW w:type="dxa" w:w="1728"/>
          </w:tcPr>
          <w:p>
            <w:pPr>
              <w:spacing w:after="0" w:line="240" w:lineRule="auto"/>
              <w:jc w:val="center"/>
            </w:pPr>
            <w:r/>
            <w:r>
              <w:rPr>
                <w:sz w:val="17"/>
              </w:rPr>
              <w:t>0.357</w:t>
            </w:r>
          </w:p>
        </w:tc>
        <w:tc>
          <w:tcPr>
            <w:tcW w:type="dxa" w:w="1728"/>
          </w:tcPr>
          <w:p>
            <w:pPr>
              <w:spacing w:after="0" w:line="240" w:lineRule="auto"/>
              <w:jc w:val="center"/>
            </w:pPr>
            <w:r/>
            <w:r>
              <w:rPr>
                <w:sz w:val="17"/>
              </w:rPr>
              <w:t>0.356</w:t>
            </w:r>
          </w:p>
        </w:tc>
      </w:tr>
      <w:tr>
        <w:trPr>
          <w:cantSplit w:val="true"/>
        </w:trPr>
        <w:tc>
          <w:tcPr>
            <w:tcW w:type="dxa" w:w="1512"/>
          </w:tcPr>
          <w:p>
            <w:pPr>
              <w:spacing w:after="0" w:line="240" w:lineRule="auto"/>
              <w:jc w:val="center"/>
            </w:pPr>
            <w:r/>
            <w:r>
              <w:rPr>
                <w:sz w:val="17"/>
              </w:rPr>
              <w:t>72</w:t>
            </w:r>
          </w:p>
        </w:tc>
        <w:tc>
          <w:tcPr>
            <w:tcW w:type="dxa" w:w="1512"/>
          </w:tcPr>
          <w:p>
            <w:pPr>
              <w:spacing w:after="0" w:line="240" w:lineRule="auto"/>
            </w:pPr>
            <w:r/>
            <w:r>
              <w:rPr>
                <w:sz w:val="17"/>
              </w:rPr>
              <w:t>C1-S-60</w:t>
            </w:r>
          </w:p>
        </w:tc>
        <w:tc>
          <w:tcPr>
            <w:tcW w:type="dxa" w:w="1512"/>
          </w:tcPr>
          <w:p>
            <w:pPr>
              <w:spacing w:after="0" w:line="240" w:lineRule="auto"/>
            </w:pPr>
            <w:r/>
            <w:r>
              <w:rPr>
                <w:sz w:val="17"/>
              </w:rPr>
              <w:t>C1-S-72</w:t>
            </w:r>
          </w:p>
        </w:tc>
        <w:tc>
          <w:tcPr>
            <w:tcW w:type="dxa" w:w="1800"/>
          </w:tcPr>
          <w:p>
            <w:pPr>
              <w:spacing w:after="0" w:line="240" w:lineRule="auto"/>
              <w:jc w:val="center"/>
            </w:pPr>
            <w:r/>
            <w:r>
              <w:rPr>
                <w:sz w:val="17"/>
              </w:rPr>
              <w:t>0.377</w:t>
            </w:r>
          </w:p>
        </w:tc>
        <w:tc>
          <w:tcPr>
            <w:tcW w:type="dxa" w:w="1728"/>
          </w:tcPr>
          <w:p>
            <w:pPr>
              <w:spacing w:after="0" w:line="240" w:lineRule="auto"/>
              <w:jc w:val="center"/>
            </w:pPr>
            <w:r/>
            <w:r>
              <w:rPr>
                <w:sz w:val="17"/>
              </w:rPr>
              <w:t>0.367</w:t>
            </w:r>
          </w:p>
        </w:tc>
        <w:tc>
          <w:tcPr>
            <w:tcW w:type="dxa" w:w="1728"/>
          </w:tcPr>
          <w:p>
            <w:pPr>
              <w:spacing w:after="0" w:line="240" w:lineRule="auto"/>
              <w:jc w:val="center"/>
            </w:pPr>
            <w:r/>
            <w:r>
              <w:rPr>
                <w:sz w:val="17"/>
              </w:rPr>
              <w:t>0.366</w:t>
            </w:r>
          </w:p>
        </w:tc>
      </w:tr>
    </w:tbl>
    <w:p>
      <w:pPr>
        <w:spacing w:after="40"/>
      </w:pPr>
    </w:p>
    <w:p>
      <w:pPr>
        <w:spacing w:after="120"/>
      </w:pPr>
      <w:r>
        <w:rPr>
          <w:i/>
          <w:sz w:val="17"/>
        </w:rPr>
        <w:t>Table 4 — South quadrant, course 1. The 2021 values are the baselines Merrowfield carries 'at the same grid location' (R2 Cover B25). R2 Summary A11 states that change values are computed only where the two surveys 'share both a grid reference and a datum'. All four quadrants are tabulated in Appendix A.</w:t>
      </w:r>
    </w:p>
    <w:p>
      <w:r>
        <w:t>The Merrowfield visual note (R2 T-02-003 row 7) records 'generalized thinning on the lower part of course 1, reducing with elevation; no localized pitting evident'. The profile matches that note: the thinnest metal is nearest the shell-to-bottom weld, and loss falls off steadily with height. The 2021 readings at 72 in above the weld (0.377 – 0.380 in) are above the 0.375 in nominal, so the as-built plate was thicker than nominal.</w:t>
      </w:r>
    </w:p>
    <w:p>
      <w:pPr>
        <w:pStyle w:val="Heading1"/>
      </w:pPr>
      <w:r>
        <w:t>5. Governing location</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936"/>
        <w:gridCol w:w="2808"/>
        <w:gridCol w:w="1007"/>
        <w:gridCol w:w="1368"/>
        <w:gridCol w:w="2088"/>
        <w:gridCol w:w="1584"/>
      </w:tblGrid>
      <w:tr>
        <w:trPr>
          <w:tblHeader w:val="true"/>
          <w:cantSplit w:val="true"/>
        </w:trPr>
        <w:tc>
          <w:tcPr>
            <w:tcW w:type="dxa" w:w="936"/>
            <w:shd w:val="clear" w:color="auto" w:fill="D5DEEA"/>
            <w:vAlign w:val="center"/>
          </w:tcPr>
          <w:p>
            <w:pPr>
              <w:spacing w:after="0"/>
            </w:pPr>
            <w:r/>
            <w:r>
              <w:rPr>
                <w:b/>
                <w:sz w:val="17"/>
              </w:rPr>
              <w:t>Course</w:t>
            </w:r>
          </w:p>
        </w:tc>
        <w:tc>
          <w:tcPr>
            <w:tcW w:type="dxa" w:w="2808"/>
            <w:shd w:val="clear" w:color="auto" w:fill="D5DEEA"/>
            <w:vAlign w:val="center"/>
          </w:tcPr>
          <w:p>
            <w:pPr>
              <w:spacing w:after="0"/>
            </w:pPr>
            <w:r/>
            <w:r>
              <w:rPr>
                <w:b/>
                <w:sz w:val="17"/>
              </w:rPr>
              <w:t>Lowest 2025 reading (grid)</w:t>
            </w:r>
          </w:p>
        </w:tc>
        <w:tc>
          <w:tcPr>
            <w:tcW w:type="dxa" w:w="1008"/>
            <w:shd w:val="clear" w:color="auto" w:fill="D5DEEA"/>
            <w:vAlign w:val="center"/>
          </w:tcPr>
          <w:p>
            <w:pPr>
              <w:spacing w:after="0"/>
            </w:pPr>
            <w:r/>
            <w:r>
              <w:rPr>
                <w:b/>
                <w:sz w:val="17"/>
              </w:rPr>
              <w:t>t-min (in)</w:t>
            </w:r>
          </w:p>
        </w:tc>
        <w:tc>
          <w:tcPr>
            <w:tcW w:type="dxa" w:w="1368"/>
            <w:shd w:val="clear" w:color="auto" w:fill="D5DEEA"/>
            <w:vAlign w:val="center"/>
          </w:tcPr>
          <w:p>
            <w:pPr>
              <w:spacing w:after="0"/>
            </w:pPr>
            <w:r/>
            <w:r>
              <w:rPr>
                <w:b/>
                <w:sz w:val="17"/>
              </w:rPr>
              <w:t>Wall above t-min (in)</w:t>
            </w:r>
          </w:p>
        </w:tc>
        <w:tc>
          <w:tcPr>
            <w:tcW w:type="dxa" w:w="2088"/>
            <w:shd w:val="clear" w:color="auto" w:fill="D5DEEA"/>
            <w:vAlign w:val="center"/>
          </w:tcPr>
          <w:p>
            <w:pPr>
              <w:spacing w:after="0"/>
            </w:pPr>
            <w:r/>
            <w:r>
              <w:rPr>
                <w:b/>
                <w:sz w:val="17"/>
              </w:rPr>
              <w:t>Highest like-for-like rate 2021→2025 (mpy)</w:t>
            </w:r>
          </w:p>
        </w:tc>
        <w:tc>
          <w:tcPr>
            <w:tcW w:type="dxa" w:w="1584"/>
            <w:shd w:val="clear" w:color="auto" w:fill="D5DEEA"/>
            <w:vAlign w:val="center"/>
          </w:tcPr>
          <w:p>
            <w:pPr>
              <w:spacing w:after="0"/>
            </w:pPr>
            <w:r/>
            <w:r>
              <w:rPr>
                <w:b/>
                <w:sz w:val="17"/>
              </w:rPr>
              <w:t>Indicative life (yr)</w:t>
            </w:r>
          </w:p>
        </w:tc>
      </w:tr>
      <w:tr>
        <w:trPr>
          <w:cantSplit w:val="true"/>
        </w:trPr>
        <w:tc>
          <w:tcPr>
            <w:tcW w:type="dxa" w:w="936"/>
            <w:shd w:val="clear" w:color="auto" w:fill="FFF2CC"/>
          </w:tcPr>
          <w:p>
            <w:pPr>
              <w:spacing w:after="0" w:line="240" w:lineRule="auto"/>
              <w:jc w:val="center"/>
            </w:pPr>
            <w:r/>
            <w:r>
              <w:rPr>
                <w:sz w:val="17"/>
              </w:rPr>
              <w:t>1</w:t>
            </w:r>
          </w:p>
        </w:tc>
        <w:tc>
          <w:tcPr>
            <w:tcW w:type="dxa" w:w="2808"/>
            <w:shd w:val="clear" w:color="auto" w:fill="FFF2CC"/>
          </w:tcPr>
          <w:p>
            <w:pPr>
              <w:spacing w:after="0" w:line="240" w:lineRule="auto"/>
            </w:pPr>
            <w:r/>
            <w:r>
              <w:rPr>
                <w:sz w:val="17"/>
              </w:rPr>
              <w:t>0.303 (Ashgrove C1-S-6)</w:t>
            </w:r>
          </w:p>
        </w:tc>
        <w:tc>
          <w:tcPr>
            <w:tcW w:type="dxa" w:w="1008"/>
            <w:shd w:val="clear" w:color="auto" w:fill="FFF2CC"/>
          </w:tcPr>
          <w:p>
            <w:pPr>
              <w:spacing w:after="0" w:line="240" w:lineRule="auto"/>
              <w:jc w:val="center"/>
            </w:pPr>
            <w:r/>
            <w:r>
              <w:rPr>
                <w:sz w:val="17"/>
              </w:rPr>
              <w:t>0.215</w:t>
            </w:r>
          </w:p>
        </w:tc>
        <w:tc>
          <w:tcPr>
            <w:tcW w:type="dxa" w:w="1368"/>
            <w:shd w:val="clear" w:color="auto" w:fill="FFF2CC"/>
          </w:tcPr>
          <w:p>
            <w:pPr>
              <w:spacing w:after="0" w:line="240" w:lineRule="auto"/>
              <w:jc w:val="center"/>
            </w:pPr>
            <w:r/>
            <w:r>
              <w:rPr>
                <w:sz w:val="17"/>
              </w:rPr>
              <w:t>0.088</w:t>
            </w:r>
          </w:p>
        </w:tc>
        <w:tc>
          <w:tcPr>
            <w:tcW w:type="dxa" w:w="2088"/>
            <w:shd w:val="clear" w:color="auto" w:fill="FFF2CC"/>
          </w:tcPr>
          <w:p>
            <w:pPr>
              <w:spacing w:after="0" w:line="240" w:lineRule="auto"/>
              <w:jc w:val="center"/>
            </w:pPr>
            <w:r/>
            <w:r>
              <w:rPr>
                <w:sz w:val="17"/>
              </w:rPr>
              <w:t>3.75</w:t>
            </w:r>
          </w:p>
        </w:tc>
        <w:tc>
          <w:tcPr>
            <w:tcW w:type="dxa" w:w="1584"/>
            <w:shd w:val="clear" w:color="auto" w:fill="FFF2CC"/>
          </w:tcPr>
          <w:p>
            <w:pPr>
              <w:spacing w:after="0" w:line="240" w:lineRule="auto"/>
              <w:jc w:val="center"/>
            </w:pPr>
            <w:r/>
            <w:r>
              <w:rPr>
                <w:sz w:val="17"/>
              </w:rPr>
              <w:t>23.5</w:t>
            </w:r>
          </w:p>
        </w:tc>
      </w:tr>
      <w:tr>
        <w:trPr>
          <w:cantSplit w:val="true"/>
        </w:trPr>
        <w:tc>
          <w:tcPr>
            <w:tcW w:type="dxa" w:w="936"/>
          </w:tcPr>
          <w:p>
            <w:pPr>
              <w:spacing w:after="0" w:line="240" w:lineRule="auto"/>
              <w:jc w:val="center"/>
            </w:pPr>
            <w:r/>
            <w:r>
              <w:rPr>
                <w:sz w:val="17"/>
              </w:rPr>
              <w:t>2</w:t>
            </w:r>
          </w:p>
        </w:tc>
        <w:tc>
          <w:tcPr>
            <w:tcW w:type="dxa" w:w="2808"/>
          </w:tcPr>
          <w:p>
            <w:pPr>
              <w:spacing w:after="0" w:line="240" w:lineRule="auto"/>
            </w:pPr>
            <w:r/>
            <w:r>
              <w:rPr>
                <w:sz w:val="17"/>
              </w:rPr>
              <w:t>0.293 (Ashgrove C2-E-24 / C2-W-24)</w:t>
            </w:r>
          </w:p>
        </w:tc>
        <w:tc>
          <w:tcPr>
            <w:tcW w:type="dxa" w:w="1008"/>
          </w:tcPr>
          <w:p>
            <w:pPr>
              <w:spacing w:after="0" w:line="240" w:lineRule="auto"/>
              <w:jc w:val="center"/>
            </w:pPr>
            <w:r/>
            <w:r>
              <w:rPr>
                <w:sz w:val="17"/>
              </w:rPr>
              <w:t>0.170</w:t>
            </w:r>
          </w:p>
        </w:tc>
        <w:tc>
          <w:tcPr>
            <w:tcW w:type="dxa" w:w="1368"/>
          </w:tcPr>
          <w:p>
            <w:pPr>
              <w:spacing w:after="0" w:line="240" w:lineRule="auto"/>
              <w:jc w:val="center"/>
            </w:pPr>
            <w:r/>
            <w:r>
              <w:rPr>
                <w:sz w:val="17"/>
              </w:rPr>
              <w:t>0.123</w:t>
            </w:r>
          </w:p>
        </w:tc>
        <w:tc>
          <w:tcPr>
            <w:tcW w:type="dxa" w:w="2088"/>
          </w:tcPr>
          <w:p>
            <w:pPr>
              <w:spacing w:after="0" w:line="240" w:lineRule="auto"/>
              <w:jc w:val="center"/>
            </w:pPr>
            <w:r/>
            <w:r>
              <w:rPr>
                <w:sz w:val="17"/>
              </w:rPr>
              <w:t>2.25</w:t>
            </w:r>
          </w:p>
        </w:tc>
        <w:tc>
          <w:tcPr>
            <w:tcW w:type="dxa" w:w="1584"/>
          </w:tcPr>
          <w:p>
            <w:pPr>
              <w:spacing w:after="0" w:line="240" w:lineRule="auto"/>
              <w:jc w:val="center"/>
            </w:pPr>
            <w:r/>
            <w:r>
              <w:rPr>
                <w:sz w:val="17"/>
              </w:rPr>
              <w:t>54.7</w:t>
            </w:r>
          </w:p>
        </w:tc>
      </w:tr>
      <w:tr>
        <w:trPr>
          <w:cantSplit w:val="true"/>
        </w:trPr>
        <w:tc>
          <w:tcPr>
            <w:tcW w:type="dxa" w:w="936"/>
          </w:tcPr>
          <w:p>
            <w:pPr>
              <w:spacing w:after="0" w:line="240" w:lineRule="auto"/>
              <w:jc w:val="center"/>
            </w:pPr>
            <w:r/>
            <w:r>
              <w:rPr>
                <w:sz w:val="17"/>
              </w:rPr>
              <w:t>3</w:t>
            </w:r>
          </w:p>
        </w:tc>
        <w:tc>
          <w:tcPr>
            <w:tcW w:type="dxa" w:w="2808"/>
          </w:tcPr>
          <w:p>
            <w:pPr>
              <w:spacing w:after="0" w:line="240" w:lineRule="auto"/>
            </w:pPr>
            <w:r/>
            <w:r>
              <w:rPr>
                <w:sz w:val="17"/>
              </w:rPr>
              <w:t>0.237 (Ashgrove C3-E-24)</w:t>
            </w:r>
          </w:p>
        </w:tc>
        <w:tc>
          <w:tcPr>
            <w:tcW w:type="dxa" w:w="1008"/>
          </w:tcPr>
          <w:p>
            <w:pPr>
              <w:spacing w:after="0" w:line="240" w:lineRule="auto"/>
              <w:jc w:val="center"/>
            </w:pPr>
            <w:r/>
            <w:r>
              <w:rPr>
                <w:sz w:val="17"/>
              </w:rPr>
              <w:t>0.140</w:t>
            </w:r>
          </w:p>
        </w:tc>
        <w:tc>
          <w:tcPr>
            <w:tcW w:type="dxa" w:w="1368"/>
          </w:tcPr>
          <w:p>
            <w:pPr>
              <w:spacing w:after="0" w:line="240" w:lineRule="auto"/>
              <w:jc w:val="center"/>
            </w:pPr>
            <w:r/>
            <w:r>
              <w:rPr>
                <w:sz w:val="17"/>
              </w:rPr>
              <w:t>0.097</w:t>
            </w:r>
          </w:p>
        </w:tc>
        <w:tc>
          <w:tcPr>
            <w:tcW w:type="dxa" w:w="2088"/>
          </w:tcPr>
          <w:p>
            <w:pPr>
              <w:spacing w:after="0" w:line="240" w:lineRule="auto"/>
              <w:jc w:val="center"/>
            </w:pPr>
            <w:r/>
            <w:r>
              <w:rPr>
                <w:sz w:val="17"/>
              </w:rPr>
              <w:t>1.75</w:t>
            </w:r>
          </w:p>
        </w:tc>
        <w:tc>
          <w:tcPr>
            <w:tcW w:type="dxa" w:w="1584"/>
          </w:tcPr>
          <w:p>
            <w:pPr>
              <w:spacing w:after="0" w:line="240" w:lineRule="auto"/>
              <w:jc w:val="center"/>
            </w:pPr>
            <w:r/>
            <w:r>
              <w:rPr>
                <w:sz w:val="17"/>
              </w:rPr>
              <w:t>55.4</w:t>
            </w:r>
          </w:p>
        </w:tc>
      </w:tr>
      <w:tr>
        <w:trPr>
          <w:cantSplit w:val="true"/>
        </w:trPr>
        <w:tc>
          <w:tcPr>
            <w:tcW w:type="dxa" w:w="936"/>
          </w:tcPr>
          <w:p>
            <w:pPr>
              <w:spacing w:after="0" w:line="240" w:lineRule="auto"/>
              <w:jc w:val="center"/>
            </w:pPr>
            <w:r/>
            <w:r>
              <w:rPr>
                <w:sz w:val="17"/>
              </w:rPr>
              <w:t>4</w:t>
            </w:r>
          </w:p>
        </w:tc>
        <w:tc>
          <w:tcPr>
            <w:tcW w:type="dxa" w:w="2808"/>
          </w:tcPr>
          <w:p>
            <w:pPr>
              <w:spacing w:after="0" w:line="240" w:lineRule="auto"/>
            </w:pPr>
            <w:r/>
            <w:r>
              <w:rPr>
                <w:sz w:val="17"/>
              </w:rPr>
              <w:t>0.241 (Ashgrove C4-E-24)</w:t>
            </w:r>
          </w:p>
        </w:tc>
        <w:tc>
          <w:tcPr>
            <w:tcW w:type="dxa" w:w="1008"/>
          </w:tcPr>
          <w:p>
            <w:pPr>
              <w:spacing w:after="0" w:line="240" w:lineRule="auto"/>
              <w:jc w:val="center"/>
            </w:pPr>
            <w:r/>
            <w:r>
              <w:rPr>
                <w:sz w:val="17"/>
              </w:rPr>
              <w:t>0.140</w:t>
            </w:r>
          </w:p>
        </w:tc>
        <w:tc>
          <w:tcPr>
            <w:tcW w:type="dxa" w:w="1368"/>
          </w:tcPr>
          <w:p>
            <w:pPr>
              <w:spacing w:after="0" w:line="240" w:lineRule="auto"/>
              <w:jc w:val="center"/>
            </w:pPr>
            <w:r/>
            <w:r>
              <w:rPr>
                <w:sz w:val="17"/>
              </w:rPr>
              <w:t>0.101</w:t>
            </w:r>
          </w:p>
        </w:tc>
        <w:tc>
          <w:tcPr>
            <w:tcW w:type="dxa" w:w="2088"/>
          </w:tcPr>
          <w:p>
            <w:pPr>
              <w:spacing w:after="0" w:line="240" w:lineRule="auto"/>
              <w:jc w:val="center"/>
            </w:pPr>
            <w:r/>
            <w:r>
              <w:rPr>
                <w:sz w:val="17"/>
              </w:rPr>
              <w:t>1.00</w:t>
            </w:r>
          </w:p>
        </w:tc>
        <w:tc>
          <w:tcPr>
            <w:tcW w:type="dxa" w:w="1584"/>
          </w:tcPr>
          <w:p>
            <w:pPr>
              <w:spacing w:after="0" w:line="240" w:lineRule="auto"/>
              <w:jc w:val="center"/>
            </w:pPr>
            <w:r/>
            <w:r>
              <w:rPr>
                <w:sz w:val="17"/>
              </w:rPr>
              <w:t>101</w:t>
            </w:r>
          </w:p>
        </w:tc>
      </w:tr>
      <w:tr>
        <w:trPr>
          <w:cantSplit w:val="true"/>
        </w:trPr>
        <w:tc>
          <w:tcPr>
            <w:tcW w:type="dxa" w:w="936"/>
          </w:tcPr>
          <w:p>
            <w:pPr>
              <w:spacing w:after="0" w:line="240" w:lineRule="auto"/>
              <w:jc w:val="center"/>
            </w:pPr>
            <w:r/>
            <w:r>
              <w:rPr>
                <w:sz w:val="17"/>
              </w:rPr>
              <w:t>5</w:t>
            </w:r>
          </w:p>
        </w:tc>
        <w:tc>
          <w:tcPr>
            <w:tcW w:type="dxa" w:w="2808"/>
          </w:tcPr>
          <w:p>
            <w:pPr>
              <w:spacing w:after="0" w:line="240" w:lineRule="auto"/>
            </w:pPr>
            <w:r/>
            <w:r>
              <w:rPr>
                <w:sz w:val="17"/>
              </w:rPr>
              <w:t>0.243 (Ashgrove C5-E-24)</w:t>
            </w:r>
          </w:p>
        </w:tc>
        <w:tc>
          <w:tcPr>
            <w:tcW w:type="dxa" w:w="1008"/>
          </w:tcPr>
          <w:p>
            <w:pPr>
              <w:spacing w:after="0" w:line="240" w:lineRule="auto"/>
              <w:jc w:val="center"/>
            </w:pPr>
            <w:r/>
            <w:r>
              <w:rPr>
                <w:sz w:val="17"/>
              </w:rPr>
              <w:t>0.140</w:t>
            </w:r>
          </w:p>
        </w:tc>
        <w:tc>
          <w:tcPr>
            <w:tcW w:type="dxa" w:w="1368"/>
          </w:tcPr>
          <w:p>
            <w:pPr>
              <w:spacing w:after="0" w:line="240" w:lineRule="auto"/>
              <w:jc w:val="center"/>
            </w:pPr>
            <w:r/>
            <w:r>
              <w:rPr>
                <w:sz w:val="17"/>
              </w:rPr>
              <w:t>0.103</w:t>
            </w:r>
          </w:p>
        </w:tc>
        <w:tc>
          <w:tcPr>
            <w:tcW w:type="dxa" w:w="2088"/>
          </w:tcPr>
          <w:p>
            <w:pPr>
              <w:spacing w:after="0" w:line="240" w:lineRule="auto"/>
              <w:jc w:val="center"/>
            </w:pPr>
            <w:r/>
            <w:r>
              <w:rPr>
                <w:sz w:val="17"/>
              </w:rPr>
              <w:t>0.75</w:t>
            </w:r>
          </w:p>
        </w:tc>
        <w:tc>
          <w:tcPr>
            <w:tcW w:type="dxa" w:w="1584"/>
          </w:tcPr>
          <w:p>
            <w:pPr>
              <w:spacing w:after="0" w:line="240" w:lineRule="auto"/>
              <w:jc w:val="center"/>
            </w:pPr>
            <w:r/>
            <w:r>
              <w:rPr>
                <w:sz w:val="17"/>
              </w:rPr>
              <w:t>137</w:t>
            </w:r>
          </w:p>
        </w:tc>
      </w:tr>
    </w:tbl>
    <w:p>
      <w:pPr>
        <w:spacing w:after="40"/>
      </w:pPr>
    </w:p>
    <w:p>
      <w:pPr>
        <w:spacing w:after="120"/>
      </w:pPr>
      <w:r>
        <w:rPr>
          <w:i/>
          <w:sz w:val="17"/>
        </w:rPr>
        <w:t>Table 5 — t-min for courses 2–5 from R8 §4. R9 gives 0.171 / 0.127 in for courses 2 / 3, which does not change the ranking. Rates are from Merrowfield readings against CB-UT-2021-019 baselines (Appendix B).</w:t>
      </w:r>
    </w:p>
    <w:p>
      <w:r>
        <w:rPr>
          <w:b/>
        </w:rPr>
        <w:t>Course 1 governs</w:t>
      </w:r>
      <w:r>
        <w:t xml:space="preserve">, as the FFS, the inspection report and the workbook also conclude. The Ashgrove summary (R1 Summary row 8) lists course 3 as 'governing', but only because it has the lowest absolute reading (0.237 in); that ignores t-min. Within course 1, the thinnest band is 6 in above the weld: 0.303 – 0.306 in at N, E, S and W, lowest at S. The governing location is therefore </w:t>
      </w:r>
      <w:r>
        <w:rPr>
          <w:b/>
        </w:rPr>
        <w:t>course 1, south, 6 in above the bottom-of-shell weld line</w:t>
      </w:r>
      <w:r>
        <w:t>. Two coverage gaps remain:</w:t>
      </w:r>
    </w:p>
    <w:p>
      <w:pPr>
        <w:pStyle w:val="ListBullet"/>
        <w:spacing w:after="40"/>
      </w:pPr>
      <w:r>
        <w:t>the 6 in band was read at only four of the eight octants (NE, SE, SW and NW were read at 24 in only), so the circumferential minimum at that height is not known;</w:t>
      </w:r>
    </w:p>
    <w:p>
      <w:pPr>
        <w:pStyle w:val="ListBullet"/>
        <w:spacing w:after="40"/>
      </w:pPr>
      <w:r>
        <w:t>apart from Ashgrove's 6 in readings, nothing has ever been measured in the lowest 18 in of the shell.</w:t>
      </w:r>
    </w:p>
    <w:p>
      <w:pPr>
        <w:pStyle w:val="Heading1"/>
      </w:pPr>
      <w:r>
        <w:t>6. Reliability of the readings</w:t>
      </w:r>
    </w:p>
    <w:p>
      <w:pPr>
        <w:pStyle w:val="Heading2"/>
      </w:pPr>
      <w:r>
        <w:t>6.1 Readings used for the rate (Cordell Bayou 04/2021 and Merrowfield 04/2025)</w:t>
      </w:r>
    </w:p>
    <w:p>
      <w:pPr>
        <w:pStyle w:val="ListBullet"/>
        <w:spacing w:after="40"/>
      </w:pPr>
      <w:r>
        <w:rPr>
          <w:b/>
        </w:rPr>
        <w:t>Merrowfield 04/28/2025.</w:t>
      </w:r>
      <w:r>
        <w:t xml:space="preserve"> The procedure tolerance is ±0.002 in (R4 §4), and every shift check was within ±0.002 in (R2 Summary A12). Surfaces were clean bare metal; two readings were taken at 90° per location (R4 §6.2); a Level III sign-out is recorded (R2 Summary A13).</w:t>
      </w:r>
    </w:p>
    <w:p>
      <w:pPr>
        <w:pStyle w:val="ListBullet"/>
        <w:spacing w:after="40"/>
      </w:pPr>
      <w:r>
        <w:rPr>
          <w:b/>
        </w:rPr>
        <w:t>CB-UT-2021-019 (Delta Coast, 04/2021)</w:t>
      </w:r>
      <w:r>
        <w:t>, held as the baseline column in R2. Merrowfield computes change only where grid and datum are shared (R2 Summary A11). The data behave like real wall loss rather than a datum shift: the 2021 profile is smooth, the 2021→2025 losses fall steadily with height (0.015, 0.013, 0.011–0.012, 0.009–0.010 in), and they are the same in all four quadrants.</w:t>
      </w:r>
    </w:p>
    <w:p>
      <w:pPr>
        <w:pStyle w:val="ListBullet"/>
        <w:spacing w:after="40"/>
      </w:pPr>
      <w:r>
        <w:rPr>
          <w:b/>
        </w:rPr>
        <w:t>Independent corroboration.</w:t>
      </w:r>
      <w:r>
        <w:t xml:space="preserve"> Ashgrove's matched readings reproduce Merrowfield's 2025 values within 0.001 – 0.002 in (Section 3.3).</w:t>
      </w:r>
    </w:p>
    <w:p>
      <w:pPr>
        <w:pStyle w:val="ListBullet"/>
        <w:spacing w:after="40"/>
      </w:pPr>
      <w:r>
        <w:rPr>
          <w:b/>
        </w:rPr>
        <w:t>Limitations.</w:t>
      </w:r>
      <w:r>
        <w:t xml:space="preserve"> The original CB-UT-2021-019 report (indexed as transferred, R15) was not among the records reviewed, and Delta Coast's procedure is not held on site (R20). The 2021 datum therefore rests on Merrowfield's like-for-like statement. Merrowfield's Level III sign-out is dated 04/28/2025, but the T-02-003 readings run to 04/29/2025; this should be clarified with Merrowfield. The day of the 2021 survey is not recorded, so 4.0 years is used; an early-April 2021 survey would give 4.07 years and 3.68 mpy, so 4.0 years is the conservative choice. Reading tolerance on a 0.015 in loss is about ±0.004 in. The identical result in four quadrants indicates low scatter.</w:t>
      </w:r>
    </w:p>
    <w:p>
      <w:pPr>
        <w:pStyle w:val="Heading2"/>
      </w:pPr>
      <w:r>
        <w:t>6.2 Ashgrove course-1 readings of 09/12/2025: calibration</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792"/>
        <w:gridCol w:w="1655"/>
        <w:gridCol w:w="3311"/>
        <w:gridCol w:w="1368"/>
        <w:gridCol w:w="1080"/>
        <w:gridCol w:w="1584"/>
      </w:tblGrid>
      <w:tr>
        <w:trPr>
          <w:tblHeader w:val="true"/>
          <w:cantSplit w:val="true"/>
        </w:trPr>
        <w:tc>
          <w:tcPr>
            <w:tcW w:type="dxa" w:w="792"/>
            <w:shd w:val="clear" w:color="auto" w:fill="D5DEEA"/>
            <w:vAlign w:val="center"/>
          </w:tcPr>
          <w:p>
            <w:pPr>
              <w:spacing w:after="0"/>
            </w:pPr>
            <w:r/>
            <w:r>
              <w:rPr>
                <w:b/>
                <w:sz w:val="17"/>
              </w:rPr>
              <w:t>Entry</w:t>
            </w:r>
          </w:p>
        </w:tc>
        <w:tc>
          <w:tcPr>
            <w:tcW w:type="dxa" w:w="1656"/>
            <w:shd w:val="clear" w:color="auto" w:fill="D5DEEA"/>
            <w:vAlign w:val="center"/>
          </w:tcPr>
          <w:p>
            <w:pPr>
              <w:spacing w:after="0"/>
            </w:pPr>
            <w:r/>
            <w:r>
              <w:rPr>
                <w:b/>
                <w:sz w:val="17"/>
              </w:rPr>
              <w:t>Date / time</w:t>
            </w:r>
          </w:p>
        </w:tc>
        <w:tc>
          <w:tcPr>
            <w:tcW w:type="dxa" w:w="3312"/>
            <w:shd w:val="clear" w:color="auto" w:fill="D5DEEA"/>
            <w:vAlign w:val="center"/>
          </w:tcPr>
          <w:p>
            <w:pPr>
              <w:spacing w:after="0"/>
            </w:pPr>
            <w:r/>
            <w:r>
              <w:rPr>
                <w:b/>
                <w:sz w:val="17"/>
              </w:rPr>
              <w:t>Event (tank / area)</w:t>
            </w:r>
          </w:p>
        </w:tc>
        <w:tc>
          <w:tcPr>
            <w:tcW w:type="dxa" w:w="1368"/>
            <w:shd w:val="clear" w:color="auto" w:fill="D5DEEA"/>
            <w:vAlign w:val="center"/>
          </w:tcPr>
          <w:p>
            <w:pPr>
              <w:spacing w:after="0"/>
            </w:pPr>
            <w:r/>
            <w:r>
              <w:rPr>
                <w:b/>
                <w:sz w:val="17"/>
              </w:rPr>
              <w:t>0.300 in block read</w:t>
            </w:r>
          </w:p>
        </w:tc>
        <w:tc>
          <w:tcPr>
            <w:tcW w:type="dxa" w:w="1080"/>
            <w:shd w:val="clear" w:color="auto" w:fill="D5DEEA"/>
            <w:vAlign w:val="center"/>
          </w:tcPr>
          <w:p>
            <w:pPr>
              <w:spacing w:after="0"/>
            </w:pPr>
            <w:r/>
            <w:r>
              <w:rPr>
                <w:b/>
                <w:sz w:val="17"/>
              </w:rPr>
              <w:t>Deviation</w:t>
            </w:r>
          </w:p>
        </w:tc>
        <w:tc>
          <w:tcPr>
            <w:tcW w:type="dxa" w:w="1584"/>
            <w:shd w:val="clear" w:color="auto" w:fill="D5DEEA"/>
            <w:vAlign w:val="center"/>
          </w:tcPr>
          <w:p>
            <w:pPr>
              <w:spacing w:after="0"/>
            </w:pPr>
            <w:r/>
            <w:r>
              <w:rPr>
                <w:b/>
                <w:sz w:val="17"/>
              </w:rPr>
              <w:t>Result</w:t>
            </w:r>
          </w:p>
        </w:tc>
      </w:tr>
      <w:tr>
        <w:trPr>
          <w:cantSplit w:val="true"/>
        </w:trPr>
        <w:tc>
          <w:tcPr>
            <w:tcW w:type="dxa" w:w="792"/>
          </w:tcPr>
          <w:p>
            <w:pPr>
              <w:spacing w:after="0" w:line="240" w:lineRule="auto"/>
              <w:jc w:val="center"/>
            </w:pPr>
            <w:r/>
            <w:r>
              <w:rPr>
                <w:sz w:val="17"/>
              </w:rPr>
              <w:t>8</w:t>
            </w:r>
          </w:p>
        </w:tc>
        <w:tc>
          <w:tcPr>
            <w:tcW w:type="dxa" w:w="1656"/>
          </w:tcPr>
          <w:p>
            <w:pPr>
              <w:spacing w:after="0" w:line="240" w:lineRule="auto"/>
            </w:pPr>
            <w:r/>
            <w:r>
              <w:rPr>
                <w:sz w:val="17"/>
              </w:rPr>
              <w:t>09/12/2025 07:00</w:t>
            </w:r>
          </w:p>
        </w:tc>
        <w:tc>
          <w:tcPr>
            <w:tcW w:type="dxa" w:w="3312"/>
          </w:tcPr>
          <w:p>
            <w:pPr>
              <w:spacing w:after="0" w:line="240" w:lineRule="auto"/>
            </w:pPr>
            <w:r/>
            <w:r>
              <w:rPr>
                <w:sz w:val="17"/>
              </w:rPr>
              <w:t>Start of shift (T-02-003 course 1)</w:t>
            </w:r>
          </w:p>
        </w:tc>
        <w:tc>
          <w:tcPr>
            <w:tcW w:type="dxa" w:w="1368"/>
          </w:tcPr>
          <w:p>
            <w:pPr>
              <w:spacing w:after="0" w:line="240" w:lineRule="auto"/>
              <w:jc w:val="center"/>
            </w:pPr>
            <w:r/>
            <w:r>
              <w:rPr>
                <w:sz w:val="17"/>
              </w:rPr>
              <w:t>0.299</w:t>
            </w:r>
          </w:p>
        </w:tc>
        <w:tc>
          <w:tcPr>
            <w:tcW w:type="dxa" w:w="1080"/>
          </w:tcPr>
          <w:p>
            <w:pPr>
              <w:spacing w:after="0" w:line="240" w:lineRule="auto"/>
              <w:jc w:val="center"/>
            </w:pPr>
            <w:r/>
            <w:r>
              <w:rPr>
                <w:sz w:val="17"/>
              </w:rPr>
              <w:t>−0.001</w:t>
            </w:r>
          </w:p>
        </w:tc>
        <w:tc>
          <w:tcPr>
            <w:tcW w:type="dxa" w:w="1584"/>
          </w:tcPr>
          <w:p>
            <w:pPr>
              <w:spacing w:after="0" w:line="240" w:lineRule="auto"/>
            </w:pPr>
            <w:r/>
            <w:r>
              <w:rPr>
                <w:sz w:val="17"/>
              </w:rPr>
              <w:t>In tolerance</w:t>
            </w:r>
          </w:p>
        </w:tc>
      </w:tr>
      <w:tr>
        <w:trPr>
          <w:cantSplit w:val="true"/>
        </w:trPr>
        <w:tc>
          <w:tcPr>
            <w:tcW w:type="dxa" w:w="792"/>
          </w:tcPr>
          <w:p>
            <w:pPr>
              <w:spacing w:after="0" w:line="240" w:lineRule="auto"/>
              <w:jc w:val="center"/>
            </w:pPr>
            <w:r/>
            <w:r>
              <w:rPr>
                <w:sz w:val="17"/>
              </w:rPr>
              <w:t>9</w:t>
            </w:r>
          </w:p>
        </w:tc>
        <w:tc>
          <w:tcPr>
            <w:tcW w:type="dxa" w:w="1656"/>
          </w:tcPr>
          <w:p>
            <w:pPr>
              <w:spacing w:after="0" w:line="240" w:lineRule="auto"/>
            </w:pPr>
            <w:r/>
            <w:r>
              <w:rPr>
                <w:sz w:val="17"/>
              </w:rPr>
              <w:t>09/12/2025 11:20</w:t>
            </w:r>
          </w:p>
        </w:tc>
        <w:tc>
          <w:tcPr>
            <w:tcW w:type="dxa" w:w="3312"/>
          </w:tcPr>
          <w:p>
            <w:pPr>
              <w:spacing w:after="0" w:line="240" w:lineRule="auto"/>
            </w:pPr>
            <w:r/>
            <w:r>
              <w:rPr>
                <w:sz w:val="17"/>
              </w:rPr>
              <w:t>Ambient drift &gt; 20 °F (T-02-003 course 1)</w:t>
            </w:r>
          </w:p>
        </w:tc>
        <w:tc>
          <w:tcPr>
            <w:tcW w:type="dxa" w:w="1368"/>
          </w:tcPr>
          <w:p>
            <w:pPr>
              <w:spacing w:after="0" w:line="240" w:lineRule="auto"/>
              <w:jc w:val="center"/>
            </w:pPr>
            <w:r/>
            <w:r>
              <w:rPr>
                <w:sz w:val="17"/>
              </w:rPr>
              <w:t>0.302</w:t>
            </w:r>
          </w:p>
        </w:tc>
        <w:tc>
          <w:tcPr>
            <w:tcW w:type="dxa" w:w="1080"/>
          </w:tcPr>
          <w:p>
            <w:pPr>
              <w:spacing w:after="0" w:line="240" w:lineRule="auto"/>
              <w:jc w:val="center"/>
            </w:pPr>
            <w:r/>
            <w:r>
              <w:rPr>
                <w:sz w:val="17"/>
              </w:rPr>
              <w:t>+0.002</w:t>
            </w:r>
          </w:p>
        </w:tc>
        <w:tc>
          <w:tcPr>
            <w:tcW w:type="dxa" w:w="1584"/>
          </w:tcPr>
          <w:p>
            <w:pPr>
              <w:spacing w:after="0" w:line="240" w:lineRule="auto"/>
            </w:pPr>
            <w:r/>
            <w:r>
              <w:rPr>
                <w:sz w:val="17"/>
              </w:rPr>
              <w:t>In tolerance</w:t>
            </w:r>
          </w:p>
        </w:tc>
      </w:tr>
      <w:tr>
        <w:trPr>
          <w:cantSplit w:val="true"/>
        </w:trPr>
        <w:tc>
          <w:tcPr>
            <w:tcW w:type="dxa" w:w="792"/>
            <w:shd w:val="clear" w:color="auto" w:fill="F8D7DA"/>
          </w:tcPr>
          <w:p>
            <w:pPr>
              <w:spacing w:after="0" w:line="240" w:lineRule="auto"/>
              <w:jc w:val="center"/>
            </w:pPr>
            <w:r/>
            <w:r>
              <w:rPr>
                <w:sz w:val="17"/>
              </w:rPr>
              <w:t>10</w:t>
            </w:r>
          </w:p>
        </w:tc>
        <w:tc>
          <w:tcPr>
            <w:tcW w:type="dxa" w:w="1656"/>
            <w:shd w:val="clear" w:color="auto" w:fill="F8D7DA"/>
          </w:tcPr>
          <w:p>
            <w:pPr>
              <w:spacing w:after="0" w:line="240" w:lineRule="auto"/>
            </w:pPr>
            <w:r/>
            <w:r>
              <w:rPr>
                <w:sz w:val="17"/>
              </w:rPr>
              <w:t>09/12/2025 17:45</w:t>
            </w:r>
          </w:p>
        </w:tc>
        <w:tc>
          <w:tcPr>
            <w:tcW w:type="dxa" w:w="3312"/>
            <w:shd w:val="clear" w:color="auto" w:fill="F8D7DA"/>
          </w:tcPr>
          <w:p>
            <w:pPr>
              <w:spacing w:after="0" w:line="240" w:lineRule="auto"/>
            </w:pPr>
            <w:r/>
            <w:r>
              <w:rPr>
                <w:sz w:val="17"/>
              </w:rPr>
              <w:t>End of shift (T-02-003 course 1 / course 2 start)</w:t>
            </w:r>
          </w:p>
        </w:tc>
        <w:tc>
          <w:tcPr>
            <w:tcW w:type="dxa" w:w="1368"/>
            <w:shd w:val="clear" w:color="auto" w:fill="F8D7DA"/>
          </w:tcPr>
          <w:p>
            <w:pPr>
              <w:spacing w:after="0" w:line="240" w:lineRule="auto"/>
              <w:jc w:val="center"/>
            </w:pPr>
            <w:r/>
            <w:r>
              <w:rPr>
                <w:sz w:val="17"/>
              </w:rPr>
              <w:t>0.306</w:t>
            </w:r>
          </w:p>
        </w:tc>
        <w:tc>
          <w:tcPr>
            <w:tcW w:type="dxa" w:w="1080"/>
            <w:shd w:val="clear" w:color="auto" w:fill="F8D7DA"/>
          </w:tcPr>
          <w:p>
            <w:pPr>
              <w:spacing w:after="0" w:line="240" w:lineRule="auto"/>
              <w:jc w:val="center"/>
            </w:pPr>
            <w:r/>
            <w:r>
              <w:rPr>
                <w:sz w:val="17"/>
              </w:rPr>
              <w:t>+0.006</w:t>
            </w:r>
          </w:p>
        </w:tc>
        <w:tc>
          <w:tcPr>
            <w:tcW w:type="dxa" w:w="1584"/>
            <w:shd w:val="clear" w:color="auto" w:fill="F8D7DA"/>
          </w:tcPr>
          <w:p>
            <w:pPr>
              <w:spacing w:after="0" w:line="240" w:lineRule="auto"/>
            </w:pPr>
            <w:r/>
            <w:r>
              <w:rPr>
                <w:b/>
                <w:sz w:val="17"/>
              </w:rPr>
              <w:t>OUT OF TOLERANCE</w:t>
            </w:r>
          </w:p>
        </w:tc>
      </w:tr>
      <w:tr>
        <w:trPr>
          <w:cantSplit w:val="true"/>
        </w:trPr>
        <w:tc>
          <w:tcPr>
            <w:tcW w:type="dxa" w:w="792"/>
          </w:tcPr>
          <w:p>
            <w:pPr>
              <w:spacing w:after="0" w:line="240" w:lineRule="auto"/>
              <w:jc w:val="center"/>
            </w:pPr>
            <w:r/>
            <w:r>
              <w:rPr>
                <w:sz w:val="17"/>
              </w:rPr>
              <w:t>11</w:t>
            </w:r>
          </w:p>
        </w:tc>
        <w:tc>
          <w:tcPr>
            <w:tcW w:type="dxa" w:w="1656"/>
          </w:tcPr>
          <w:p>
            <w:pPr>
              <w:spacing w:after="0" w:line="240" w:lineRule="auto"/>
            </w:pPr>
            <w:r/>
            <w:r>
              <w:rPr>
                <w:sz w:val="17"/>
              </w:rPr>
              <w:t>09/13/2025 07:05</w:t>
            </w:r>
          </w:p>
        </w:tc>
        <w:tc>
          <w:tcPr>
            <w:tcW w:type="dxa" w:w="3312"/>
          </w:tcPr>
          <w:p>
            <w:pPr>
              <w:spacing w:after="0" w:line="240" w:lineRule="auto"/>
            </w:pPr>
            <w:r/>
            <w:r>
              <w:rPr>
                <w:sz w:val="17"/>
              </w:rPr>
              <w:t>After re-zero and transducer face dressing (courses 2–5)</w:t>
            </w:r>
          </w:p>
        </w:tc>
        <w:tc>
          <w:tcPr>
            <w:tcW w:type="dxa" w:w="1368"/>
          </w:tcPr>
          <w:p>
            <w:pPr>
              <w:spacing w:after="0" w:line="240" w:lineRule="auto"/>
              <w:jc w:val="center"/>
            </w:pPr>
            <w:r/>
            <w:r>
              <w:rPr>
                <w:sz w:val="17"/>
              </w:rPr>
              <w:t>0.300</w:t>
            </w:r>
          </w:p>
        </w:tc>
        <w:tc>
          <w:tcPr>
            <w:tcW w:type="dxa" w:w="1080"/>
          </w:tcPr>
          <w:p>
            <w:pPr>
              <w:spacing w:after="0" w:line="240" w:lineRule="auto"/>
              <w:jc w:val="center"/>
            </w:pPr>
            <w:r/>
            <w:r>
              <w:rPr>
                <w:sz w:val="17"/>
              </w:rPr>
              <w:t>0.000</w:t>
            </w:r>
          </w:p>
        </w:tc>
        <w:tc>
          <w:tcPr>
            <w:tcW w:type="dxa" w:w="1584"/>
          </w:tcPr>
          <w:p>
            <w:pPr>
              <w:spacing w:after="0" w:line="240" w:lineRule="auto"/>
            </w:pPr>
            <w:r/>
            <w:r>
              <w:rPr>
                <w:sz w:val="17"/>
              </w:rPr>
              <w:t>In tolerance</w:t>
            </w:r>
          </w:p>
        </w:tc>
      </w:tr>
    </w:tbl>
    <w:p>
      <w:pPr>
        <w:spacing w:after="40"/>
      </w:pPr>
    </w:p>
    <w:p>
      <w:r>
        <w:t xml:space="preserve">AG-UT-014 §3 sets the tolerance at ±0.003 in and states: </w:t>
      </w:r>
      <w:r>
        <w:rPr>
          <w:i/>
        </w:rPr>
        <w:t>'Out-of-tolerance findings void all readings taken since the previous in-tolerance calibration; affected grid points shall be re-shot.'</w:t>
      </w:r>
      <w:r>
        <w:t xml:space="preserve"> Every reading taken on 09/12/2025 after 11:20 is therefore void. The procedure (§6.1) requires each workbook entry to carry a calibration timestamp, probe serial and technician initials, but the T-02-003 sheet has none, so the void readings cannot be identified. No re-shoot of course 1 is logged; the 09/13 entries cover courses 2–5. The instrument was </w:t>
      </w:r>
      <w:r>
        <w:rPr>
          <w:b/>
        </w:rPr>
        <w:t>over-reading</w:t>
      </w:r>
      <w:r>
        <w:t xml:space="preserve"> (+0.006 in), so any reading in the void window overstates the wall by up to 0.006 in. The close agreement at 24, 48 and 72 in suggests those stations were not materially affected. The 6 in stations, including the governing one, have nothing to be checked against.</w:t>
      </w:r>
    </w:p>
    <w:p>
      <w:pPr>
        <w:pStyle w:val="Heading2"/>
      </w:pPr>
      <w:r>
        <w:t>6.3 Field data sheet AG-FLD-2025-0917-C1 (09/17/2025) is not a valid re-shoot</w:t>
      </w:r>
    </w:p>
    <w:p>
      <w:pPr>
        <w:pStyle w:val="ListBullet"/>
        <w:spacing w:after="40"/>
      </w:pPr>
      <w:r>
        <w:t>Instrument 's/n AG-1147' is not the campaign instrument (38DL-11427, R1 Cover B11). It does not appear in the calibration log, which covers only 38DL-11427 and has no entries after 09/15/2025 (R5).</w:t>
      </w:r>
    </w:p>
    <w:p>
      <w:pPr>
        <w:pStyle w:val="ListBullet"/>
        <w:spacing w:after="40"/>
      </w:pPr>
      <w:r>
        <w:t>The technician, D. Ferris, is not on the workbook cover or approval sheet (R. Alvarez, J. Boudreaux; R1).</w:t>
      </w:r>
    </w:p>
    <w:p>
      <w:pPr>
        <w:pStyle w:val="ListBullet"/>
        <w:spacing w:after="40"/>
      </w:pPr>
      <w:r>
        <w:t>The reviewer is given as 'M. Okafor, Ashgrove supervising technician'. M. K. Okafor is the Merrowfield readings technician named on the Merrowfield workbook cover (R2 Cover B17). The reviewer's identity needs to be confirmed.</w:t>
      </w:r>
    </w:p>
    <w:p>
      <w:pPr>
        <w:pStyle w:val="ListBullet"/>
        <w:spacing w:after="40"/>
      </w:pPr>
      <w:r>
        <w:t>Seven of the eight stations were read through intact coating; only C1-S was taken to bare metal ('C1-S bare metal patch, remainder coated — DF'). R3 §5.1 requires coating thicker than 0.010 in, or of unknown condition, to be removed to bright metal, and the sheet records no coating thickness.</w:t>
      </w:r>
    </w:p>
    <w:p>
      <w:pPr>
        <w:pStyle w:val="ListBullet"/>
        <w:spacing w:after="40"/>
      </w:pPr>
      <w:r>
        <w:t>No station elevations are recorded; stations are given only as C1-N … C1-NW.</w:t>
      </w:r>
    </w:p>
    <w:p>
      <w:pPr>
        <w:pStyle w:val="ListBullet"/>
        <w:spacing w:after="40"/>
      </w:pPr>
      <w:r>
        <w:t>'Readings transcribed to the issued workbook without adjustment' is untrue for 7 of the 8 stations. For example, the sheet gives C1-N 0.329 and C1-E 0.315, while the workbook gives C1-N-6 0.306 / C1-N-24 0.343 and C1-E-6 0.304 / C1-E-24 0.341. Only C1-S matches: its triplet 0.303 / 0.305 / 0.304 is identical to the workbook's C1-S-6 entry, even though the workbook records a different instrument and survey dates of 09/12–09/13.</w:t>
      </w:r>
    </w:p>
    <w:p>
      <w:r>
        <w:t>The provenance of the 0.303 in value is therefore uncertain. It came either from the void window on 09/12 or from an uncontrolled instrument on 09/17.</w:t>
      </w:r>
    </w:p>
    <w:p>
      <w:pPr>
        <w:pStyle w:val="Heading2"/>
      </w:pPr>
      <w:r>
        <w:t>6.4 How the 0.303 in reading is treated</w:t>
      </w:r>
    </w:p>
    <w:p>
      <w:r>
        <w:t xml:space="preserve">The reading is not validated. It is nonetheless </w:t>
      </w:r>
      <w:r>
        <w:rPr>
          <w:b/>
        </w:rPr>
        <w:t>used as the governing thickness</w:t>
      </w:r>
      <w:r>
        <w:t>, for three reasons:</w:t>
      </w:r>
    </w:p>
    <w:p>
      <w:pPr>
        <w:pStyle w:val="ListBullet"/>
        <w:spacing w:after="40"/>
      </w:pPr>
      <w:r>
        <w:t>it is the only measurement in the lowest 18 in of the shell, since Merrowfield's grid starts 18 in above the weld;</w:t>
      </w:r>
    </w:p>
    <w:p>
      <w:pPr>
        <w:pStyle w:val="ListBullet"/>
        <w:spacing w:after="40"/>
      </w:pPr>
      <w:r>
        <w:t>it agrees with the other three quadrants at the same height (0.304 – 0.306 in) and lies on the profile measured above it (Figure 1b);</w:t>
      </w:r>
    </w:p>
    <w:p>
      <w:pPr>
        <w:pStyle w:val="ListBullet"/>
        <w:spacing w:after="40"/>
      </w:pPr>
      <w:r>
        <w:t>the error mechanism found (instrument over-reading) means the true wall is at or below 0.303 in. Replacing it with Merrowfield's 0.334 in from 12 in higher would be non-conservative (basis G, Section 7).</w:t>
      </w:r>
    </w:p>
    <w:p>
      <w:r>
        <w:t>A worst-case allowance (0.303 − 0.006 = 0.297 in) is included in the sensitivity analysis (Section 9). The reading must be confirmed by a calibrated re-survey (Section 10, action 1).</w:t>
      </w:r>
    </w:p>
    <w:p>
      <w:pPr>
        <w:pStyle w:val="Heading1"/>
      </w:pPr>
      <w:r>
        <w:t>7. Selecting the rate</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503"/>
        <w:gridCol w:w="3024"/>
        <w:gridCol w:w="2664"/>
        <w:gridCol w:w="1080"/>
        <w:gridCol w:w="1440"/>
        <w:gridCol w:w="1080"/>
      </w:tblGrid>
      <w:tr>
        <w:trPr>
          <w:tblHeader w:val="true"/>
          <w:cantSplit w:val="true"/>
        </w:trPr>
        <w:tc>
          <w:tcPr>
            <w:tcW w:type="dxa" w:w="504"/>
            <w:shd w:val="clear" w:color="auto" w:fill="D5DEEA"/>
            <w:vAlign w:val="center"/>
          </w:tcPr>
          <w:p>
            <w:pPr>
              <w:spacing w:after="0"/>
            </w:pPr>
            <w:r/>
            <w:r>
              <w:rPr>
                <w:b/>
                <w:sz w:val="16"/>
              </w:rPr>
              <w:t>Ref</w:t>
            </w:r>
          </w:p>
        </w:tc>
        <w:tc>
          <w:tcPr>
            <w:tcW w:type="dxa" w:w="3024"/>
            <w:shd w:val="clear" w:color="auto" w:fill="D5DEEA"/>
            <w:vAlign w:val="center"/>
          </w:tcPr>
          <w:p>
            <w:pPr>
              <w:spacing w:after="0"/>
            </w:pPr>
            <w:r/>
            <w:r>
              <w:rPr>
                <w:b/>
                <w:sz w:val="16"/>
              </w:rPr>
              <w:t>Basis</w:t>
            </w:r>
          </w:p>
        </w:tc>
        <w:tc>
          <w:tcPr>
            <w:tcW w:type="dxa" w:w="2664"/>
            <w:shd w:val="clear" w:color="auto" w:fill="D5DEEA"/>
            <w:vAlign w:val="center"/>
          </w:tcPr>
          <w:p>
            <w:pPr>
              <w:spacing w:after="0"/>
            </w:pPr>
            <w:r/>
            <w:r>
              <w:rPr>
                <w:b/>
                <w:sz w:val="16"/>
              </w:rPr>
              <w:t>Readings and interval</w:t>
            </w:r>
          </w:p>
        </w:tc>
        <w:tc>
          <w:tcPr>
            <w:tcW w:type="dxa" w:w="1080"/>
            <w:shd w:val="clear" w:color="auto" w:fill="D5DEEA"/>
            <w:vAlign w:val="center"/>
          </w:tcPr>
          <w:p>
            <w:pPr>
              <w:spacing w:after="0"/>
            </w:pPr>
            <w:r/>
            <w:r>
              <w:rPr>
                <w:b/>
                <w:sz w:val="16"/>
              </w:rPr>
              <w:t>Rate (mpy)</w:t>
            </w:r>
          </w:p>
        </w:tc>
        <w:tc>
          <w:tcPr>
            <w:tcW w:type="dxa" w:w="1440"/>
            <w:shd w:val="clear" w:color="auto" w:fill="D5DEEA"/>
            <w:vAlign w:val="center"/>
          </w:tcPr>
          <w:p>
            <w:pPr>
              <w:spacing w:after="0"/>
            </w:pPr>
            <w:r/>
            <w:r>
              <w:rPr>
                <w:b/>
                <w:sz w:val="16"/>
              </w:rPr>
              <w:t>t-min date implied</w:t>
            </w:r>
          </w:p>
        </w:tc>
        <w:tc>
          <w:tcPr>
            <w:tcW w:type="dxa" w:w="1080"/>
            <w:shd w:val="clear" w:color="auto" w:fill="D5DEEA"/>
            <w:vAlign w:val="center"/>
          </w:tcPr>
          <w:p>
            <w:pPr>
              <w:spacing w:after="0"/>
            </w:pPr>
            <w:r/>
            <w:r>
              <w:rPr>
                <w:b/>
                <w:sz w:val="16"/>
              </w:rPr>
              <w:t>Adopted</w:t>
            </w:r>
          </w:p>
        </w:tc>
      </w:tr>
      <w:tr>
        <w:trPr>
          <w:cantSplit w:val="true"/>
        </w:trPr>
        <w:tc>
          <w:tcPr>
            <w:tcW w:type="dxa" w:w="504"/>
          </w:tcPr>
          <w:p>
            <w:pPr>
              <w:spacing w:after="0" w:line="240" w:lineRule="auto"/>
              <w:jc w:val="center"/>
            </w:pPr>
            <w:r/>
            <w:r>
              <w:rPr>
                <w:sz w:val="16"/>
              </w:rPr>
              <w:t>A</w:t>
            </w:r>
          </w:p>
        </w:tc>
        <w:tc>
          <w:tcPr>
            <w:tcW w:type="dxa" w:w="3024"/>
          </w:tcPr>
          <w:p>
            <w:pPr>
              <w:spacing w:after="0" w:line="240" w:lineRule="auto"/>
            </w:pPr>
            <w:r/>
            <w:r>
              <w:rPr>
                <w:sz w:val="16"/>
              </w:rPr>
              <w:t>Long-term from construction nominal, at Ashgrove C1-S-6 (FFS R7 §2; workbook R9)</w:t>
            </w:r>
          </w:p>
        </w:tc>
        <w:tc>
          <w:tcPr>
            <w:tcW w:type="dxa" w:w="2664"/>
          </w:tcPr>
          <w:p>
            <w:pPr>
              <w:spacing w:after="0" w:line="240" w:lineRule="auto"/>
            </w:pPr>
            <w:r/>
            <w:r>
              <w:rPr>
                <w:sz w:val="16"/>
              </w:rPr>
              <w:t>0.375 in nominal (09/14/1987) → 0.303 in (09/12/2025); 38.0 yr</w:t>
            </w:r>
          </w:p>
        </w:tc>
        <w:tc>
          <w:tcPr>
            <w:tcW w:type="dxa" w:w="1080"/>
          </w:tcPr>
          <w:p>
            <w:pPr>
              <w:spacing w:after="0" w:line="240" w:lineRule="auto"/>
              <w:jc w:val="center"/>
            </w:pPr>
            <w:r/>
            <w:r>
              <w:rPr>
                <w:sz w:val="16"/>
              </w:rPr>
              <w:t>1.9</w:t>
            </w:r>
          </w:p>
        </w:tc>
        <w:tc>
          <w:tcPr>
            <w:tcW w:type="dxa" w:w="1440"/>
          </w:tcPr>
          <w:p>
            <w:pPr>
              <w:spacing w:after="0" w:line="240" w:lineRule="auto"/>
            </w:pPr>
            <w:r/>
            <w:r>
              <w:rPr>
                <w:sz w:val="16"/>
              </w:rPr>
              <w:t>≈ 12/31/2071 (46.3 yr)</w:t>
            </w:r>
          </w:p>
        </w:tc>
        <w:tc>
          <w:tcPr>
            <w:tcW w:type="dxa" w:w="1080"/>
          </w:tcPr>
          <w:p>
            <w:pPr>
              <w:spacing w:after="0" w:line="240" w:lineRule="auto"/>
              <w:jc w:val="center"/>
            </w:pPr>
            <w:r/>
            <w:r>
              <w:rPr>
                <w:sz w:val="16"/>
              </w:rPr>
              <w:t>No</w:t>
            </w:r>
          </w:p>
        </w:tc>
      </w:tr>
      <w:tr>
        <w:trPr>
          <w:cantSplit w:val="true"/>
        </w:trPr>
        <w:tc>
          <w:tcPr>
            <w:tcW w:type="dxa" w:w="504"/>
          </w:tcPr>
          <w:p>
            <w:pPr>
              <w:spacing w:after="0" w:line="240" w:lineRule="auto"/>
              <w:jc w:val="center"/>
            </w:pPr>
            <w:r/>
            <w:r>
              <w:rPr>
                <w:sz w:val="16"/>
              </w:rPr>
              <w:t>B</w:t>
            </w:r>
          </w:p>
        </w:tc>
        <w:tc>
          <w:tcPr>
            <w:tcW w:type="dxa" w:w="3024"/>
          </w:tcPr>
          <w:p>
            <w:pPr>
              <w:spacing w:after="0" w:line="240" w:lineRule="auto"/>
            </w:pPr>
            <w:r/>
            <w:r>
              <w:rPr>
                <w:sz w:val="16"/>
              </w:rPr>
              <w:t>Long-term from construction nominal, at Merrowfield C1-S-6 (R8 §5)</w:t>
            </w:r>
          </w:p>
        </w:tc>
        <w:tc>
          <w:tcPr>
            <w:tcW w:type="dxa" w:w="2664"/>
          </w:tcPr>
          <w:p>
            <w:pPr>
              <w:spacing w:after="0" w:line="240" w:lineRule="auto"/>
            </w:pPr>
            <w:r/>
            <w:r>
              <w:rPr>
                <w:sz w:val="16"/>
              </w:rPr>
              <w:t>0.375 → 0.334 in (04/2025); 37.6 yr</w:t>
            </w:r>
          </w:p>
        </w:tc>
        <w:tc>
          <w:tcPr>
            <w:tcW w:type="dxa" w:w="1080"/>
          </w:tcPr>
          <w:p>
            <w:pPr>
              <w:spacing w:after="0" w:line="240" w:lineRule="auto"/>
              <w:jc w:val="center"/>
            </w:pPr>
            <w:r/>
            <w:r>
              <w:rPr>
                <w:sz w:val="16"/>
              </w:rPr>
              <w:t>1.1</w:t>
            </w:r>
          </w:p>
        </w:tc>
        <w:tc>
          <w:tcPr>
            <w:tcW w:type="dxa" w:w="1440"/>
          </w:tcPr>
          <w:p>
            <w:pPr>
              <w:spacing w:after="0" w:line="240" w:lineRule="auto"/>
            </w:pPr>
            <w:r/>
            <w:r>
              <w:rPr>
                <w:sz w:val="16"/>
              </w:rPr>
              <w:t>n/a — not governing</w:t>
            </w:r>
          </w:p>
        </w:tc>
        <w:tc>
          <w:tcPr>
            <w:tcW w:type="dxa" w:w="1080"/>
          </w:tcPr>
          <w:p>
            <w:pPr>
              <w:spacing w:after="0" w:line="240" w:lineRule="auto"/>
              <w:jc w:val="center"/>
            </w:pPr>
            <w:r/>
            <w:r>
              <w:rPr>
                <w:sz w:val="16"/>
              </w:rPr>
              <w:t>No</w:t>
            </w:r>
          </w:p>
        </w:tc>
      </w:tr>
      <w:tr>
        <w:trPr>
          <w:cantSplit w:val="true"/>
        </w:trPr>
        <w:tc>
          <w:tcPr>
            <w:tcW w:type="dxa" w:w="504"/>
          </w:tcPr>
          <w:p>
            <w:pPr>
              <w:spacing w:after="0" w:line="240" w:lineRule="auto"/>
              <w:jc w:val="center"/>
            </w:pPr>
            <w:r/>
            <w:r>
              <w:rPr>
                <w:sz w:val="16"/>
              </w:rPr>
              <w:t>C</w:t>
            </w:r>
          </w:p>
        </w:tc>
        <w:tc>
          <w:tcPr>
            <w:tcW w:type="dxa" w:w="3024"/>
          </w:tcPr>
          <w:p>
            <w:pPr>
              <w:spacing w:after="0" w:line="240" w:lineRule="auto"/>
            </w:pPr>
            <w:r/>
            <w:r>
              <w:rPr>
                <w:sz w:val="16"/>
              </w:rPr>
              <w:t>Short-term across the blend change at the 'same nominal elevation': Merrowfield C1-S-6 → Ashgrove C1-S-6 (implied by R8 §4 / F-01)</w:t>
            </w:r>
          </w:p>
        </w:tc>
        <w:tc>
          <w:tcPr>
            <w:tcW w:type="dxa" w:w="2664"/>
          </w:tcPr>
          <w:p>
            <w:pPr>
              <w:spacing w:after="0" w:line="240" w:lineRule="auto"/>
            </w:pPr>
            <w:r/>
            <w:r>
              <w:rPr>
                <w:sz w:val="16"/>
              </w:rPr>
              <w:t>0.334 → 0.303 in; 136 days</w:t>
            </w:r>
          </w:p>
        </w:tc>
        <w:tc>
          <w:tcPr>
            <w:tcW w:type="dxa" w:w="1080"/>
          </w:tcPr>
          <w:p>
            <w:pPr>
              <w:spacing w:after="0" w:line="240" w:lineRule="auto"/>
              <w:jc w:val="center"/>
            </w:pPr>
            <w:r/>
            <w:r>
              <w:rPr>
                <w:sz w:val="16"/>
              </w:rPr>
              <w:t>83</w:t>
            </w:r>
          </w:p>
        </w:tc>
        <w:tc>
          <w:tcPr>
            <w:tcW w:type="dxa" w:w="1440"/>
          </w:tcPr>
          <w:p>
            <w:pPr>
              <w:spacing w:after="0" w:line="240" w:lineRule="auto"/>
            </w:pPr>
            <w:r/>
            <w:r>
              <w:rPr>
                <w:sz w:val="16"/>
              </w:rPr>
              <w:t>10/03/2026</w:t>
            </w:r>
          </w:p>
        </w:tc>
        <w:tc>
          <w:tcPr>
            <w:tcW w:type="dxa" w:w="1080"/>
          </w:tcPr>
          <w:p>
            <w:pPr>
              <w:spacing w:after="0" w:line="240" w:lineRule="auto"/>
              <w:jc w:val="center"/>
            </w:pPr>
            <w:r/>
            <w:r>
              <w:rPr>
                <w:sz w:val="16"/>
              </w:rPr>
              <w:t>No</w:t>
            </w:r>
          </w:p>
        </w:tc>
      </w:tr>
      <w:tr>
        <w:trPr>
          <w:cantSplit w:val="true"/>
        </w:trPr>
        <w:tc>
          <w:tcPr>
            <w:tcW w:type="dxa" w:w="504"/>
          </w:tcPr>
          <w:p>
            <w:pPr>
              <w:spacing w:after="0" w:line="240" w:lineRule="auto"/>
              <w:jc w:val="center"/>
            </w:pPr>
            <w:r/>
            <w:r>
              <w:rPr>
                <w:sz w:val="16"/>
              </w:rPr>
              <w:t>D</w:t>
            </w:r>
          </w:p>
        </w:tc>
        <w:tc>
          <w:tcPr>
            <w:tcW w:type="dxa" w:w="3024"/>
          </w:tcPr>
          <w:p>
            <w:pPr>
              <w:spacing w:after="0" w:line="240" w:lineRule="auto"/>
            </w:pPr>
            <w:r/>
            <w:r>
              <w:rPr>
                <w:sz w:val="16"/>
              </w:rPr>
              <w:t>2021 baseline at 'C1-S-6' → Ashgrove C1-S-6</w:t>
            </w:r>
          </w:p>
        </w:tc>
        <w:tc>
          <w:tcPr>
            <w:tcW w:type="dxa" w:w="2664"/>
          </w:tcPr>
          <w:p>
            <w:pPr>
              <w:spacing w:after="0" w:line="240" w:lineRule="auto"/>
            </w:pPr>
            <w:r/>
            <w:r>
              <w:rPr>
                <w:sz w:val="16"/>
              </w:rPr>
              <w:t>0.349 → 0.303 in; 4.4 yr</w:t>
            </w:r>
          </w:p>
        </w:tc>
        <w:tc>
          <w:tcPr>
            <w:tcW w:type="dxa" w:w="1080"/>
          </w:tcPr>
          <w:p>
            <w:pPr>
              <w:spacing w:after="0" w:line="240" w:lineRule="auto"/>
              <w:jc w:val="center"/>
            </w:pPr>
            <w:r/>
            <w:r>
              <w:rPr>
                <w:sz w:val="16"/>
              </w:rPr>
              <w:t>10.5</w:t>
            </w:r>
          </w:p>
        </w:tc>
        <w:tc>
          <w:tcPr>
            <w:tcW w:type="dxa" w:w="1440"/>
          </w:tcPr>
          <w:p>
            <w:pPr>
              <w:spacing w:after="0" w:line="240" w:lineRule="auto"/>
            </w:pPr>
            <w:r/>
            <w:r>
              <w:rPr>
                <w:sz w:val="16"/>
              </w:rPr>
              <w:t>01/25/2034</w:t>
            </w:r>
          </w:p>
        </w:tc>
        <w:tc>
          <w:tcPr>
            <w:tcW w:type="dxa" w:w="1080"/>
          </w:tcPr>
          <w:p>
            <w:pPr>
              <w:spacing w:after="0" w:line="240" w:lineRule="auto"/>
              <w:jc w:val="center"/>
            </w:pPr>
            <w:r/>
            <w:r>
              <w:rPr>
                <w:sz w:val="16"/>
              </w:rPr>
              <w:t>No</w:t>
            </w:r>
          </w:p>
        </w:tc>
      </w:tr>
      <w:tr>
        <w:trPr>
          <w:cantSplit w:val="true"/>
        </w:trPr>
        <w:tc>
          <w:tcPr>
            <w:tcW w:type="dxa" w:w="504"/>
          </w:tcPr>
          <w:p>
            <w:pPr>
              <w:spacing w:after="0" w:line="240" w:lineRule="auto"/>
              <w:jc w:val="center"/>
            </w:pPr>
            <w:r/>
            <w:r>
              <w:rPr>
                <w:sz w:val="16"/>
              </w:rPr>
              <w:t>E</w:t>
            </w:r>
          </w:p>
        </w:tc>
        <w:tc>
          <w:tcPr>
            <w:tcW w:type="dxa" w:w="3024"/>
          </w:tcPr>
          <w:p>
            <w:pPr>
              <w:spacing w:after="0" w:line="240" w:lineRule="auto"/>
            </w:pPr>
            <w:r/>
            <w:r>
              <w:rPr>
                <w:sz w:val="16"/>
              </w:rPr>
              <w:t>Short-term after the event, at physically matched points (48 and 72 in above weld)</w:t>
            </w:r>
          </w:p>
        </w:tc>
        <w:tc>
          <w:tcPr>
            <w:tcW w:type="dxa" w:w="2664"/>
          </w:tcPr>
          <w:p>
            <w:pPr>
              <w:spacing w:after="0" w:line="240" w:lineRule="auto"/>
            </w:pPr>
            <w:r/>
            <w:r>
              <w:rPr>
                <w:sz w:val="16"/>
              </w:rPr>
              <w:t>Merrowfield 04/2025 → Ashgrove 09/2025; change 0.001 – 0.002 in; 136 days (88 after the event)</w:t>
            </w:r>
          </w:p>
        </w:tc>
        <w:tc>
          <w:tcPr>
            <w:tcW w:type="dxa" w:w="1080"/>
          </w:tcPr>
          <w:p>
            <w:pPr>
              <w:spacing w:after="0" w:line="240" w:lineRule="auto"/>
              <w:jc w:val="center"/>
            </w:pPr>
            <w:r/>
            <w:r>
              <w:rPr>
                <w:sz w:val="16"/>
              </w:rPr>
              <w:t>2.7 – 5.4 (not resolvable)</w:t>
            </w:r>
          </w:p>
        </w:tc>
        <w:tc>
          <w:tcPr>
            <w:tcW w:type="dxa" w:w="1440"/>
          </w:tcPr>
          <w:p>
            <w:pPr>
              <w:spacing w:after="0" w:line="240" w:lineRule="auto"/>
            </w:pPr>
            <w:r/>
            <w:r>
              <w:rPr>
                <w:sz w:val="16"/>
              </w:rPr>
              <w:t>01/2042 – 06/2058</w:t>
            </w:r>
          </w:p>
        </w:tc>
        <w:tc>
          <w:tcPr>
            <w:tcW w:type="dxa" w:w="1080"/>
          </w:tcPr>
          <w:p>
            <w:pPr>
              <w:spacing w:after="0" w:line="240" w:lineRule="auto"/>
              <w:jc w:val="center"/>
            </w:pPr>
            <w:r/>
            <w:r>
              <w:rPr>
                <w:sz w:val="16"/>
              </w:rPr>
              <w:t>No</w:t>
            </w:r>
          </w:p>
        </w:tc>
      </w:tr>
      <w:tr>
        <w:trPr>
          <w:cantSplit w:val="true"/>
        </w:trPr>
        <w:tc>
          <w:tcPr>
            <w:tcW w:type="dxa" w:w="504"/>
            <w:shd w:val="clear" w:color="auto" w:fill="FFF2CC"/>
          </w:tcPr>
          <w:p>
            <w:pPr>
              <w:spacing w:after="0" w:line="240" w:lineRule="auto"/>
              <w:jc w:val="center"/>
            </w:pPr>
            <w:r/>
            <w:r>
              <w:rPr>
                <w:sz w:val="16"/>
              </w:rPr>
              <w:t>F</w:t>
            </w:r>
          </w:p>
        </w:tc>
        <w:tc>
          <w:tcPr>
            <w:tcW w:type="dxa" w:w="3024"/>
            <w:shd w:val="clear" w:color="auto" w:fill="FFF2CC"/>
          </w:tcPr>
          <w:p>
            <w:pPr>
              <w:spacing w:after="0" w:line="240" w:lineRule="auto"/>
            </w:pPr>
            <w:r/>
            <w:r>
              <w:rPr>
                <w:b/>
                <w:sz w:val="16"/>
              </w:rPr>
              <w:t>Short-term, like-for-like, at the lowest matched station</w:t>
            </w:r>
            <w:r>
              <w:rPr>
                <w:sz w:val="16"/>
              </w:rPr>
              <w:t xml:space="preserve"> (18 in above weld): CB 2021 → Merrowfield 2025</w:t>
            </w:r>
          </w:p>
        </w:tc>
        <w:tc>
          <w:tcPr>
            <w:tcW w:type="dxa" w:w="2664"/>
            <w:shd w:val="clear" w:color="auto" w:fill="FFF2CC"/>
          </w:tcPr>
          <w:p>
            <w:pPr>
              <w:spacing w:after="0" w:line="240" w:lineRule="auto"/>
            </w:pPr>
            <w:r/>
            <w:r>
              <w:rPr>
                <w:sz w:val="16"/>
              </w:rPr>
              <w:t>0.349 → 0.334 in (S); 0.015 in in all four quadrants; 4.0 yr</w:t>
            </w:r>
          </w:p>
        </w:tc>
        <w:tc>
          <w:tcPr>
            <w:tcW w:type="dxa" w:w="1080"/>
            <w:shd w:val="clear" w:color="auto" w:fill="FFF2CC"/>
          </w:tcPr>
          <w:p>
            <w:pPr>
              <w:spacing w:after="0" w:line="240" w:lineRule="auto"/>
              <w:jc w:val="center"/>
            </w:pPr>
            <w:r/>
            <w:r>
              <w:rPr>
                <w:b/>
                <w:sz w:val="16"/>
              </w:rPr>
              <w:t>3.75</w:t>
            </w:r>
          </w:p>
        </w:tc>
        <w:tc>
          <w:tcPr>
            <w:tcW w:type="dxa" w:w="1440"/>
            <w:shd w:val="clear" w:color="auto" w:fill="FFF2CC"/>
          </w:tcPr>
          <w:p>
            <w:pPr>
              <w:spacing w:after="0" w:line="240" w:lineRule="auto"/>
            </w:pPr>
            <w:r/>
            <w:r>
              <w:rPr>
                <w:b/>
                <w:sz w:val="16"/>
              </w:rPr>
              <w:t>03/01/2049</w:t>
            </w:r>
          </w:p>
        </w:tc>
        <w:tc>
          <w:tcPr>
            <w:tcW w:type="dxa" w:w="1080"/>
            <w:shd w:val="clear" w:color="auto" w:fill="FFF2CC"/>
          </w:tcPr>
          <w:p>
            <w:pPr>
              <w:spacing w:after="0" w:line="240" w:lineRule="auto"/>
              <w:jc w:val="center"/>
            </w:pPr>
            <w:r/>
            <w:r>
              <w:rPr>
                <w:b/>
                <w:sz w:val="16"/>
              </w:rPr>
              <w:t>Yes</w:t>
            </w:r>
          </w:p>
        </w:tc>
      </w:tr>
      <w:tr>
        <w:trPr>
          <w:cantSplit w:val="true"/>
        </w:trPr>
        <w:tc>
          <w:tcPr>
            <w:tcW w:type="dxa" w:w="504"/>
          </w:tcPr>
          <w:p>
            <w:pPr>
              <w:spacing w:after="0" w:line="240" w:lineRule="auto"/>
              <w:jc w:val="center"/>
            </w:pPr>
            <w:r/>
            <w:r>
              <w:rPr>
                <w:sz w:val="16"/>
              </w:rPr>
              <w:t>G</w:t>
            </w:r>
          </w:p>
        </w:tc>
        <w:tc>
          <w:tcPr>
            <w:tcW w:type="dxa" w:w="3024"/>
          </w:tcPr>
          <w:p>
            <w:pPr>
              <w:spacing w:after="0" w:line="240" w:lineRule="auto"/>
            </w:pPr>
            <w:r/>
            <w:r>
              <w:rPr>
                <w:sz w:val="16"/>
              </w:rPr>
              <w:t>Rate F applied to Merrowfield's 0.334 in, disregarding the Ashgrove 6 in readings</w:t>
            </w:r>
          </w:p>
        </w:tc>
        <w:tc>
          <w:tcPr>
            <w:tcW w:type="dxa" w:w="2664"/>
          </w:tcPr>
          <w:p>
            <w:pPr>
              <w:spacing w:after="0" w:line="240" w:lineRule="auto"/>
            </w:pPr>
            <w:r/>
            <w:r>
              <w:rPr>
                <w:sz w:val="16"/>
              </w:rPr>
              <w:t>As F</w:t>
            </w:r>
          </w:p>
        </w:tc>
        <w:tc>
          <w:tcPr>
            <w:tcW w:type="dxa" w:w="1080"/>
          </w:tcPr>
          <w:p>
            <w:pPr>
              <w:spacing w:after="0" w:line="240" w:lineRule="auto"/>
              <w:jc w:val="center"/>
            </w:pPr>
            <w:r/>
            <w:r>
              <w:rPr>
                <w:sz w:val="16"/>
              </w:rPr>
              <w:t>3.75</w:t>
            </w:r>
          </w:p>
        </w:tc>
        <w:tc>
          <w:tcPr>
            <w:tcW w:type="dxa" w:w="1440"/>
          </w:tcPr>
          <w:p>
            <w:pPr>
              <w:spacing w:after="0" w:line="240" w:lineRule="auto"/>
            </w:pPr>
            <w:r/>
            <w:r>
              <w:rPr>
                <w:sz w:val="16"/>
              </w:rPr>
              <w:t>01/20/2057</w:t>
            </w:r>
          </w:p>
        </w:tc>
        <w:tc>
          <w:tcPr>
            <w:tcW w:type="dxa" w:w="1080"/>
          </w:tcPr>
          <w:p>
            <w:pPr>
              <w:spacing w:after="0" w:line="240" w:lineRule="auto"/>
              <w:jc w:val="center"/>
            </w:pPr>
            <w:r/>
            <w:r>
              <w:rPr>
                <w:sz w:val="16"/>
              </w:rPr>
              <w:t>No</w:t>
            </w:r>
          </w:p>
        </w:tc>
      </w:tr>
    </w:tbl>
    <w:p>
      <w:pPr>
        <w:spacing w:after="40"/>
      </w:pPr>
    </w:p>
    <w:p>
      <w:pPr>
        <w:pStyle w:val="Heading2"/>
      </w:pPr>
      <w:r>
        <w:t>7.1 Why basis F is adopted</w:t>
      </w:r>
    </w:p>
    <w:p>
      <w:pPr>
        <w:pStyle w:val="ListBullet"/>
        <w:spacing w:after="40"/>
      </w:pPr>
      <w:r>
        <w:rPr>
          <w:b/>
        </w:rPr>
        <w:t>Like for like.</w:t>
      </w:r>
      <w:r>
        <w:t xml:space="preserve"> The two readings share a grid point, a datum and a physical location.</w:t>
      </w:r>
    </w:p>
    <w:p>
      <w:pPr>
        <w:pStyle w:val="ListBullet"/>
        <w:spacing w:after="40"/>
      </w:pPr>
      <w:r>
        <w:rPr>
          <w:b/>
        </w:rPr>
        <w:t>The interval resolves the rate.</w:t>
      </w:r>
      <w:r>
        <w:t xml:space="preserve"> A loss of 0.015 in over 4.0 years is several times the ±0.002 in reading tolerance, and the loss is identical in all four quadrants.</w:t>
      </w:r>
    </w:p>
    <w:p>
      <w:pPr>
        <w:pStyle w:val="ListBullet"/>
        <w:spacing w:after="40"/>
      </w:pPr>
      <w:r>
        <w:rPr>
          <w:b/>
        </w:rPr>
        <w:t>It is the nearest matched station</w:t>
      </w:r>
      <w:r>
        <w:t xml:space="preserve"> to the governing point, 12 in above it.</w:t>
      </w:r>
    </w:p>
    <w:p>
      <w:pPr>
        <w:pStyle w:val="ListBullet"/>
        <w:spacing w:after="40"/>
      </w:pPr>
      <w:r>
        <w:rPr>
          <w:b/>
        </w:rPr>
        <w:t>It is a lower bound at the governing point.</w:t>
      </w:r>
      <w:r>
        <w:t xml:space="preserve"> Measured rates rise towards the weld (Table 7.2). A straight-line fit through the south-quadrant profile gives about 3.9 mpy at 6 in; this is carried as a sensitivity rather than adopted, because it is an extrapolation.</w:t>
      </w:r>
    </w:p>
    <w:p>
      <w:pPr>
        <w:pStyle w:val="ListBullet"/>
        <w:spacing w:after="40"/>
      </w:pPr>
      <w:r>
        <w:rPr>
          <w:b/>
        </w:rPr>
        <w:t>It is consistent with the post-event data.</w:t>
      </w:r>
      <w:r>
        <w:t xml:space="preserve"> At the matched points, 136 days at this rate profile would remove 0.0008 – 0.0011 in; 0.001 – 0.002 in was observed. There is no sign of a step change after the 06/16/2025 blend change (R16), although the interval is too short to rule one out.</w:t>
      </w:r>
    </w:p>
    <w:p>
      <w:pPr>
        <w:pStyle w:val="ListBullet"/>
        <w:spacing w:after="40"/>
      </w:pPr>
      <w:r>
        <w:rPr>
          <w:b/>
        </w:rPr>
        <w:t>It matches the site's own convention.</w:t>
      </w:r>
      <w:r>
        <w:t xml:space="preserve"> Workbook R9 (Cover A18) says the long-term rate is to be taken 'from the earliest held UT baseline at that grid where one does [exist]'. For T-02-003 that baseline is CB-UT-2021-019, which gives 3.75 mpy on the matched grid. The workbook instead used construction nominal.</w:t>
      </w:r>
    </w:p>
    <w:p>
      <w:r>
        <w:t xml:space="preserve">For the record under TC-MECH-PROC-0007 §4 (R17), the basis is: </w:t>
      </w:r>
      <w:r>
        <w:rPr>
          <w:b/>
        </w:rPr>
        <w:t>short-term (pre-event), service interval 04/2021 – 04/2025, Merrowfield grid C1-x-6 (18 in above the bottom-of-shell weld)</w:t>
      </w:r>
      <w:r>
        <w:t>.</w:t>
      </w:r>
    </w:p>
    <w:tbl>
      <w:tblPr>
        <w:tblStyle w:val="TableGrid"/>
        <w:tblW w:type="dxa" w:w="9648"/>
        <w:jc w:val="center"/>
        <w:tblLayout w:type="fixed"/>
        <w:tblLook w:firstColumn="1" w:firstRow="1" w:lastColumn="0" w:lastRow="0" w:noHBand="0" w:noVBand="1" w:val="04A0"/>
        <w:tblCellMar>
          <w:top w:w="30" w:type="dxa"/>
          <w:left w:w="70" w:type="dxa"/>
          <w:bottom w:w="30" w:type="dxa"/>
          <w:right w:w="70" w:type="dxa"/>
        </w:tblCellMar>
        <w:tblLayout w:type="fixed"/>
      </w:tblPr>
      <w:tblGrid>
        <w:gridCol w:w="1872"/>
        <w:gridCol w:w="1728"/>
        <w:gridCol w:w="1512"/>
        <w:gridCol w:w="1512"/>
        <w:gridCol w:w="1512"/>
        <w:gridCol w:w="1512"/>
      </w:tblGrid>
      <w:tr>
        <w:trPr>
          <w:tblHeader w:val="true"/>
          <w:cantSplit w:val="true"/>
        </w:trPr>
        <w:tc>
          <w:tcPr>
            <w:tcW w:type="dxa" w:w="1872"/>
            <w:shd w:val="clear" w:color="auto" w:fill="D5DEEA"/>
            <w:vAlign w:val="center"/>
          </w:tcPr>
          <w:p>
            <w:pPr>
              <w:spacing w:after="0"/>
            </w:pPr>
            <w:r/>
            <w:r>
              <w:rPr>
                <w:b/>
                <w:sz w:val="17"/>
              </w:rPr>
              <w:t>Elevation above weld (in)</w:t>
            </w:r>
          </w:p>
        </w:tc>
        <w:tc>
          <w:tcPr>
            <w:tcW w:type="dxa" w:w="1728"/>
            <w:shd w:val="clear" w:color="auto" w:fill="D5DEEA"/>
            <w:vAlign w:val="center"/>
          </w:tcPr>
          <w:p>
            <w:pPr>
              <w:spacing w:after="0"/>
            </w:pPr>
            <w:r/>
            <w:r>
              <w:rPr>
                <w:b/>
                <w:sz w:val="17"/>
              </w:rPr>
              <w:t>Merrowfield grid</w:t>
            </w:r>
          </w:p>
        </w:tc>
        <w:tc>
          <w:tcPr>
            <w:tcW w:type="dxa" w:w="1512"/>
            <w:shd w:val="clear" w:color="auto" w:fill="D5DEEA"/>
            <w:vAlign w:val="center"/>
          </w:tcPr>
          <w:p>
            <w:pPr>
              <w:spacing w:after="0"/>
            </w:pPr>
            <w:r/>
            <w:r>
              <w:rPr>
                <w:b/>
                <w:sz w:val="17"/>
              </w:rPr>
              <w:t>N (mpy)</w:t>
            </w:r>
          </w:p>
        </w:tc>
        <w:tc>
          <w:tcPr>
            <w:tcW w:type="dxa" w:w="1512"/>
            <w:shd w:val="clear" w:color="auto" w:fill="D5DEEA"/>
            <w:vAlign w:val="center"/>
          </w:tcPr>
          <w:p>
            <w:pPr>
              <w:spacing w:after="0"/>
            </w:pPr>
            <w:r/>
            <w:r>
              <w:rPr>
                <w:b/>
                <w:sz w:val="17"/>
              </w:rPr>
              <w:t>E (mpy)</w:t>
            </w:r>
          </w:p>
        </w:tc>
        <w:tc>
          <w:tcPr>
            <w:tcW w:type="dxa" w:w="1512"/>
            <w:shd w:val="clear" w:color="auto" w:fill="D5DEEA"/>
            <w:vAlign w:val="center"/>
          </w:tcPr>
          <w:p>
            <w:pPr>
              <w:spacing w:after="0"/>
            </w:pPr>
            <w:r/>
            <w:r>
              <w:rPr>
                <w:b/>
                <w:sz w:val="17"/>
              </w:rPr>
              <w:t>S (mpy)</w:t>
            </w:r>
          </w:p>
        </w:tc>
        <w:tc>
          <w:tcPr>
            <w:tcW w:type="dxa" w:w="1512"/>
            <w:shd w:val="clear" w:color="auto" w:fill="D5DEEA"/>
            <w:vAlign w:val="center"/>
          </w:tcPr>
          <w:p>
            <w:pPr>
              <w:spacing w:after="0"/>
            </w:pPr>
            <w:r/>
            <w:r>
              <w:rPr>
                <w:b/>
                <w:sz w:val="17"/>
              </w:rPr>
              <w:t>W (mpy)</w:t>
            </w:r>
          </w:p>
        </w:tc>
      </w:tr>
      <w:tr>
        <w:trPr>
          <w:cantSplit w:val="true"/>
        </w:trPr>
        <w:tc>
          <w:tcPr>
            <w:tcW w:type="dxa" w:w="1872"/>
            <w:shd w:val="clear" w:color="auto" w:fill="FFF2CC"/>
          </w:tcPr>
          <w:p>
            <w:pPr>
              <w:spacing w:after="0" w:line="240" w:lineRule="auto"/>
              <w:jc w:val="center"/>
            </w:pPr>
            <w:r/>
            <w:r>
              <w:rPr>
                <w:sz w:val="17"/>
              </w:rPr>
              <w:t>18</w:t>
            </w:r>
          </w:p>
        </w:tc>
        <w:tc>
          <w:tcPr>
            <w:tcW w:type="dxa" w:w="1728"/>
            <w:shd w:val="clear" w:color="auto" w:fill="FFF2CC"/>
          </w:tcPr>
          <w:p>
            <w:pPr>
              <w:spacing w:after="0" w:line="240" w:lineRule="auto"/>
            </w:pPr>
            <w:r/>
            <w:r>
              <w:rPr>
                <w:sz w:val="17"/>
              </w:rPr>
              <w:t>C1-x-6</w:t>
            </w:r>
          </w:p>
        </w:tc>
        <w:tc>
          <w:tcPr>
            <w:tcW w:type="dxa" w:w="1512"/>
            <w:shd w:val="clear" w:color="auto" w:fill="FFF2CC"/>
          </w:tcPr>
          <w:p>
            <w:pPr>
              <w:spacing w:after="0" w:line="240" w:lineRule="auto"/>
              <w:jc w:val="center"/>
            </w:pPr>
            <w:r/>
            <w:r>
              <w:rPr>
                <w:sz w:val="17"/>
              </w:rPr>
              <w:t>3.75</w:t>
            </w:r>
          </w:p>
        </w:tc>
        <w:tc>
          <w:tcPr>
            <w:tcW w:type="dxa" w:w="1512"/>
            <w:shd w:val="clear" w:color="auto" w:fill="FFF2CC"/>
          </w:tcPr>
          <w:p>
            <w:pPr>
              <w:spacing w:after="0" w:line="240" w:lineRule="auto"/>
              <w:jc w:val="center"/>
            </w:pPr>
            <w:r/>
            <w:r>
              <w:rPr>
                <w:sz w:val="17"/>
              </w:rPr>
              <w:t>3.75</w:t>
            </w:r>
          </w:p>
        </w:tc>
        <w:tc>
          <w:tcPr>
            <w:tcW w:type="dxa" w:w="1512"/>
            <w:shd w:val="clear" w:color="auto" w:fill="FFF2CC"/>
          </w:tcPr>
          <w:p>
            <w:pPr>
              <w:spacing w:after="0" w:line="240" w:lineRule="auto"/>
              <w:jc w:val="center"/>
            </w:pPr>
            <w:r/>
            <w:r>
              <w:rPr>
                <w:sz w:val="17"/>
              </w:rPr>
              <w:t>3.75</w:t>
            </w:r>
          </w:p>
        </w:tc>
        <w:tc>
          <w:tcPr>
            <w:tcW w:type="dxa" w:w="1512"/>
            <w:shd w:val="clear" w:color="auto" w:fill="FFF2CC"/>
          </w:tcPr>
          <w:p>
            <w:pPr>
              <w:spacing w:after="0" w:line="240" w:lineRule="auto"/>
              <w:jc w:val="center"/>
            </w:pPr>
            <w:r/>
            <w:r>
              <w:rPr>
                <w:sz w:val="17"/>
              </w:rPr>
              <w:t>3.75</w:t>
            </w:r>
          </w:p>
        </w:tc>
      </w:tr>
      <w:tr>
        <w:trPr>
          <w:cantSplit w:val="true"/>
        </w:trPr>
        <w:tc>
          <w:tcPr>
            <w:tcW w:type="dxa" w:w="1872"/>
          </w:tcPr>
          <w:p>
            <w:pPr>
              <w:spacing w:after="0" w:line="240" w:lineRule="auto"/>
              <w:jc w:val="center"/>
            </w:pPr>
            <w:r/>
            <w:r>
              <w:rPr>
                <w:sz w:val="17"/>
              </w:rPr>
              <w:t>30</w:t>
            </w:r>
          </w:p>
        </w:tc>
        <w:tc>
          <w:tcPr>
            <w:tcW w:type="dxa" w:w="1728"/>
          </w:tcPr>
          <w:p>
            <w:pPr>
              <w:spacing w:after="0" w:line="240" w:lineRule="auto"/>
            </w:pPr>
            <w:r/>
            <w:r>
              <w:rPr>
                <w:sz w:val="17"/>
              </w:rPr>
              <w:t>C1-x-18</w:t>
            </w:r>
          </w:p>
        </w:tc>
        <w:tc>
          <w:tcPr>
            <w:tcW w:type="dxa" w:w="1512"/>
          </w:tcPr>
          <w:p>
            <w:pPr>
              <w:spacing w:after="0" w:line="240" w:lineRule="auto"/>
              <w:jc w:val="center"/>
            </w:pPr>
            <w:r/>
            <w:r>
              <w:rPr>
                <w:sz w:val="17"/>
              </w:rPr>
              <w:t>3.25</w:t>
            </w:r>
          </w:p>
        </w:tc>
        <w:tc>
          <w:tcPr>
            <w:tcW w:type="dxa" w:w="1512"/>
          </w:tcPr>
          <w:p>
            <w:pPr>
              <w:spacing w:after="0" w:line="240" w:lineRule="auto"/>
              <w:jc w:val="center"/>
            </w:pPr>
            <w:r/>
            <w:r>
              <w:rPr>
                <w:sz w:val="17"/>
              </w:rPr>
              <w:t>3.25</w:t>
            </w:r>
          </w:p>
        </w:tc>
        <w:tc>
          <w:tcPr>
            <w:tcW w:type="dxa" w:w="1512"/>
          </w:tcPr>
          <w:p>
            <w:pPr>
              <w:spacing w:after="0" w:line="240" w:lineRule="auto"/>
              <w:jc w:val="center"/>
            </w:pPr>
            <w:r/>
            <w:r>
              <w:rPr>
                <w:sz w:val="17"/>
              </w:rPr>
              <w:t>3.25</w:t>
            </w:r>
          </w:p>
        </w:tc>
        <w:tc>
          <w:tcPr>
            <w:tcW w:type="dxa" w:w="1512"/>
          </w:tcPr>
          <w:p>
            <w:pPr>
              <w:spacing w:after="0" w:line="240" w:lineRule="auto"/>
              <w:jc w:val="center"/>
            </w:pPr>
            <w:r/>
            <w:r>
              <w:rPr>
                <w:sz w:val="17"/>
              </w:rPr>
              <w:t>3.25</w:t>
            </w:r>
          </w:p>
        </w:tc>
      </w:tr>
      <w:tr>
        <w:trPr>
          <w:cantSplit w:val="true"/>
        </w:trPr>
        <w:tc>
          <w:tcPr>
            <w:tcW w:type="dxa" w:w="1872"/>
          </w:tcPr>
          <w:p>
            <w:pPr>
              <w:spacing w:after="0" w:line="240" w:lineRule="auto"/>
              <w:jc w:val="center"/>
            </w:pPr>
            <w:r/>
            <w:r>
              <w:rPr>
                <w:sz w:val="17"/>
              </w:rPr>
              <w:t>48</w:t>
            </w:r>
          </w:p>
        </w:tc>
        <w:tc>
          <w:tcPr>
            <w:tcW w:type="dxa" w:w="1728"/>
          </w:tcPr>
          <w:p>
            <w:pPr>
              <w:spacing w:after="0" w:line="240" w:lineRule="auto"/>
            </w:pPr>
            <w:r/>
            <w:r>
              <w:rPr>
                <w:sz w:val="17"/>
              </w:rPr>
              <w:t>C1-x-36</w:t>
            </w:r>
          </w:p>
        </w:tc>
        <w:tc>
          <w:tcPr>
            <w:tcW w:type="dxa" w:w="1512"/>
          </w:tcPr>
          <w:p>
            <w:pPr>
              <w:spacing w:after="0" w:line="240" w:lineRule="auto"/>
              <w:jc w:val="center"/>
            </w:pPr>
            <w:r/>
            <w:r>
              <w:rPr>
                <w:sz w:val="17"/>
              </w:rPr>
              <w:t>2.75</w:t>
            </w:r>
          </w:p>
        </w:tc>
        <w:tc>
          <w:tcPr>
            <w:tcW w:type="dxa" w:w="1512"/>
          </w:tcPr>
          <w:p>
            <w:pPr>
              <w:spacing w:after="0" w:line="240" w:lineRule="auto"/>
              <w:jc w:val="center"/>
            </w:pPr>
            <w:r/>
            <w:r>
              <w:rPr>
                <w:sz w:val="17"/>
              </w:rPr>
              <w:t>2.75</w:t>
            </w:r>
          </w:p>
        </w:tc>
        <w:tc>
          <w:tcPr>
            <w:tcW w:type="dxa" w:w="1512"/>
          </w:tcPr>
          <w:p>
            <w:pPr>
              <w:spacing w:after="0" w:line="240" w:lineRule="auto"/>
              <w:jc w:val="center"/>
            </w:pPr>
            <w:r/>
            <w:r>
              <w:rPr>
                <w:sz w:val="17"/>
              </w:rPr>
              <w:t>3.00</w:t>
            </w:r>
          </w:p>
        </w:tc>
        <w:tc>
          <w:tcPr>
            <w:tcW w:type="dxa" w:w="1512"/>
          </w:tcPr>
          <w:p>
            <w:pPr>
              <w:spacing w:after="0" w:line="240" w:lineRule="auto"/>
              <w:jc w:val="center"/>
            </w:pPr>
            <w:r/>
            <w:r>
              <w:rPr>
                <w:sz w:val="17"/>
              </w:rPr>
              <w:t>2.75</w:t>
            </w:r>
          </w:p>
        </w:tc>
      </w:tr>
      <w:tr>
        <w:trPr>
          <w:cantSplit w:val="true"/>
        </w:trPr>
        <w:tc>
          <w:tcPr>
            <w:tcW w:type="dxa" w:w="1872"/>
          </w:tcPr>
          <w:p>
            <w:pPr>
              <w:spacing w:after="0" w:line="240" w:lineRule="auto"/>
              <w:jc w:val="center"/>
            </w:pPr>
            <w:r/>
            <w:r>
              <w:rPr>
                <w:sz w:val="17"/>
              </w:rPr>
              <w:t>72</w:t>
            </w:r>
          </w:p>
        </w:tc>
        <w:tc>
          <w:tcPr>
            <w:tcW w:type="dxa" w:w="1728"/>
          </w:tcPr>
          <w:p>
            <w:pPr>
              <w:spacing w:after="0" w:line="240" w:lineRule="auto"/>
            </w:pPr>
            <w:r/>
            <w:r>
              <w:rPr>
                <w:sz w:val="17"/>
              </w:rPr>
              <w:t>C1-x-60</w:t>
            </w:r>
          </w:p>
        </w:tc>
        <w:tc>
          <w:tcPr>
            <w:tcW w:type="dxa" w:w="1512"/>
          </w:tcPr>
          <w:p>
            <w:pPr>
              <w:spacing w:after="0" w:line="240" w:lineRule="auto"/>
              <w:jc w:val="center"/>
            </w:pPr>
            <w:r/>
            <w:r>
              <w:rPr>
                <w:sz w:val="17"/>
              </w:rPr>
              <w:t>2.25</w:t>
            </w:r>
          </w:p>
        </w:tc>
        <w:tc>
          <w:tcPr>
            <w:tcW w:type="dxa" w:w="1512"/>
          </w:tcPr>
          <w:p>
            <w:pPr>
              <w:spacing w:after="0" w:line="240" w:lineRule="auto"/>
              <w:jc w:val="center"/>
            </w:pPr>
            <w:r/>
            <w:r>
              <w:rPr>
                <w:sz w:val="17"/>
              </w:rPr>
              <w:t>2.25</w:t>
            </w:r>
          </w:p>
        </w:tc>
        <w:tc>
          <w:tcPr>
            <w:tcW w:type="dxa" w:w="1512"/>
          </w:tcPr>
          <w:p>
            <w:pPr>
              <w:spacing w:after="0" w:line="240" w:lineRule="auto"/>
              <w:jc w:val="center"/>
            </w:pPr>
            <w:r/>
            <w:r>
              <w:rPr>
                <w:sz w:val="17"/>
              </w:rPr>
              <w:t>2.50</w:t>
            </w:r>
          </w:p>
        </w:tc>
        <w:tc>
          <w:tcPr>
            <w:tcW w:type="dxa" w:w="1512"/>
          </w:tcPr>
          <w:p>
            <w:pPr>
              <w:spacing w:after="0" w:line="240" w:lineRule="auto"/>
              <w:jc w:val="center"/>
            </w:pPr>
            <w:r/>
            <w:r>
              <w:rPr>
                <w:sz w:val="17"/>
              </w:rPr>
              <w:t>2.25</w:t>
            </w:r>
          </w:p>
        </w:tc>
      </w:tr>
    </w:tbl>
    <w:p>
      <w:pPr>
        <w:spacing w:after="40"/>
      </w:pPr>
    </w:p>
    <w:p>
      <w:pPr>
        <w:spacing w:after="120"/>
      </w:pPr>
      <w:r>
        <w:rPr>
          <w:i/>
          <w:sz w:val="17"/>
        </w:rPr>
        <w:t>Table 7.2 — 2021 → 2025 like-for-like rates on course 1: loss in inches ÷ 4.0 years (R2). The rate rises steadily towards the weld.</w:t>
      </w:r>
    </w:p>
    <w:p>
      <w:pPr>
        <w:pStyle w:val="Heading2"/>
      </w:pPr>
      <w:r>
        <w:t>7.2 Why the other bases are not adopted</w:t>
      </w:r>
    </w:p>
    <w:p>
      <w:pPr>
        <w:pStyle w:val="ListBullet"/>
        <w:spacing w:after="40"/>
      </w:pPr>
      <w:r>
        <w:rPr>
          <w:b/>
        </w:rPr>
        <w:t>A (1.9 mpy, carried).</w:t>
      </w:r>
      <w:r>
        <w:t xml:space="preserve"> This is a 38-year average that assumes the shell started at the 0.375 in nominal. (i) It is half the rate measured like for like over the last four years 12 in above the same point. At that point the long-term figure is 1.1 mpy against a current 3.75 mpy. Loss has accelerated, so the long-term average understates the current rate. (ii) The start thickness is not known. The 2021 readings at 72 in above the weld exceed nominal, and the 'fabricator MTR set' the FFS cites is not in the construction pack (R13 §1: MTRs 'not reproduced in this pack'). An as-built thickness above nominal makes the true long-term rate higher than 1.9 mpy. (iii) The site convention calls for the earliest held UT baseline (Section 7.1).</w:t>
      </w:r>
    </w:p>
    <w:p>
      <w:pPr>
        <w:pStyle w:val="ListBullet"/>
        <w:spacing w:after="40"/>
      </w:pPr>
      <w:r>
        <w:rPr>
          <w:b/>
        </w:rPr>
        <w:t>B (1.1 mpy).</w:t>
      </w:r>
      <w:r>
        <w:t xml:space="preserve"> It has the same defects as A, and the location does not govern.</w:t>
      </w:r>
    </w:p>
    <w:p>
      <w:pPr>
        <w:pStyle w:val="ListBullet"/>
        <w:spacing w:after="40"/>
      </w:pPr>
      <w:r>
        <w:rPr>
          <w:b/>
        </w:rPr>
        <w:t>C (83 mpy, t-min by 10/2026).</w:t>
      </w:r>
      <w:r>
        <w:t xml:space="preserve"> It compares two points 12 in apart (Section 3), and the matched points, which change by 0.002 in or less, contradict it.</w:t>
      </w:r>
    </w:p>
    <w:p>
      <w:pPr>
        <w:pStyle w:val="ListBullet"/>
        <w:spacing w:after="40"/>
      </w:pPr>
      <w:r>
        <w:rPr>
          <w:b/>
        </w:rPr>
        <w:t>D (10.5 mpy).</w:t>
      </w:r>
      <w:r>
        <w:t xml:space="preserve"> It makes the same datum error, pairing a 2021 reading 18 in above the weld with a 2025 reading 6 in above it.</w:t>
      </w:r>
    </w:p>
    <w:p>
      <w:pPr>
        <w:pStyle w:val="ListBullet"/>
        <w:spacing w:after="40"/>
      </w:pPr>
      <w:r>
        <w:rPr>
          <w:b/>
        </w:rPr>
        <w:t>E (2.7 – 5.4 mpy).</w:t>
      </w:r>
      <w:r>
        <w:t xml:space="preserve"> These points are physically matched and do span the event, but they cannot set a rate. The interval is 136 days, only 88 of them after the event. The change of 0.002 in or less is inside the combined tolerance (±0.002 in Merrowfield plus ±0.003 in Ashgrove, i.e. ±0.005 in, or about ±13 mpy over 0.37 yr). The Ashgrove readings fall in the voided calibration period. The points are not at the governing elevation. Basis E is used only as a check that no large step occurred.</w:t>
      </w:r>
    </w:p>
    <w:p>
      <w:pPr>
        <w:pStyle w:val="ListBullet"/>
        <w:spacing w:after="40"/>
      </w:pPr>
      <w:r>
        <w:rPr>
          <w:b/>
        </w:rPr>
        <w:t>G (t-min by 01/2057).</w:t>
      </w:r>
      <w:r>
        <w:t xml:space="preserve"> Non-conservative. It ignores the only measurement in the lowest 18 in of the shell, and the calibration error found would make the true wall thinner, not thicker.</w:t>
      </w:r>
    </w:p>
    <w:p>
      <w:pPr>
        <w:pStyle w:val="Heading1"/>
      </w:pPr>
      <w:r>
        <w:t>8. Calculation</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2232"/>
        <w:gridCol w:w="5688"/>
        <w:gridCol w:w="1872"/>
      </w:tblGrid>
      <w:tr>
        <w:trPr>
          <w:tblHeader w:val="true"/>
          <w:cantSplit w:val="true"/>
        </w:trPr>
        <w:tc>
          <w:tcPr>
            <w:tcW w:type="dxa" w:w="2232"/>
            <w:shd w:val="clear" w:color="auto" w:fill="D5DEEA"/>
            <w:vAlign w:val="center"/>
          </w:tcPr>
          <w:p>
            <w:pPr>
              <w:spacing w:after="0"/>
            </w:pPr>
            <w:r/>
            <w:r>
              <w:rPr>
                <w:b/>
                <w:sz w:val="17"/>
              </w:rPr>
              <w:t>Step</w:t>
            </w:r>
          </w:p>
        </w:tc>
        <w:tc>
          <w:tcPr>
            <w:tcW w:type="dxa" w:w="5688"/>
            <w:shd w:val="clear" w:color="auto" w:fill="D5DEEA"/>
            <w:vAlign w:val="center"/>
          </w:tcPr>
          <w:p>
            <w:pPr>
              <w:spacing w:after="0"/>
            </w:pPr>
            <w:r/>
            <w:r>
              <w:rPr>
                <w:b/>
                <w:sz w:val="17"/>
              </w:rPr>
              <w:t>Working</w:t>
            </w:r>
          </w:p>
        </w:tc>
        <w:tc>
          <w:tcPr>
            <w:tcW w:type="dxa" w:w="1872"/>
            <w:shd w:val="clear" w:color="auto" w:fill="D5DEEA"/>
            <w:vAlign w:val="center"/>
          </w:tcPr>
          <w:p>
            <w:pPr>
              <w:spacing w:after="0"/>
            </w:pPr>
            <w:r/>
            <w:r>
              <w:rPr>
                <w:b/>
                <w:sz w:val="17"/>
              </w:rPr>
              <w:t>Result</w:t>
            </w:r>
          </w:p>
        </w:tc>
      </w:tr>
      <w:tr>
        <w:trPr>
          <w:cantSplit w:val="true"/>
        </w:trPr>
        <w:tc>
          <w:tcPr>
            <w:tcW w:type="dxa" w:w="2232"/>
          </w:tcPr>
          <w:p>
            <w:pPr>
              <w:spacing w:after="0" w:line="240" w:lineRule="auto"/>
            </w:pPr>
            <w:r/>
            <w:r>
              <w:rPr>
                <w:b/>
                <w:sz w:val="17"/>
              </w:rPr>
              <w:t>1  Rate (basis F)</w:t>
            </w:r>
          </w:p>
        </w:tc>
        <w:tc>
          <w:tcPr>
            <w:tcW w:type="dxa" w:w="5688"/>
          </w:tcPr>
          <w:p>
            <w:pPr>
              <w:spacing w:after="0" w:line="240" w:lineRule="auto"/>
            </w:pPr>
            <w:r/>
            <w:r>
              <w:rPr>
                <w:sz w:val="17"/>
              </w:rPr>
              <w:t>S: 0.349 − 0.334 = 0.015 in. N: 0.352 − 0.337; E: 0.350 − 0.335; W: 0.351 − 0.336 — all 0.015 in.</w:t>
            </w:r>
          </w:p>
          <w:p>
            <w:pPr>
              <w:spacing w:after="0" w:line="240" w:lineRule="auto"/>
            </w:pPr>
            <w:r>
              <w:rPr>
                <w:sz w:val="17"/>
              </w:rPr>
              <w:t>Interval 04/2021 → 04/28/2025 = 4.0 yr.</w:t>
            </w:r>
          </w:p>
          <w:p>
            <w:pPr>
              <w:spacing w:after="0" w:line="240" w:lineRule="auto"/>
            </w:pPr>
            <w:r>
              <w:rPr>
                <w:sz w:val="17"/>
              </w:rPr>
              <w:t>0.015 in ÷ 4.0 yr = 0.00375 in/yr</w:t>
            </w:r>
          </w:p>
        </w:tc>
        <w:tc>
          <w:tcPr>
            <w:tcW w:type="dxa" w:w="1872"/>
          </w:tcPr>
          <w:p>
            <w:pPr>
              <w:spacing w:after="0" w:line="240" w:lineRule="auto"/>
            </w:pPr>
            <w:r/>
            <w:r>
              <w:rPr>
                <w:b/>
                <w:sz w:val="17"/>
              </w:rPr>
              <w:t>3.75 mpy</w:t>
            </w:r>
          </w:p>
        </w:tc>
      </w:tr>
      <w:tr>
        <w:trPr>
          <w:cantSplit w:val="true"/>
        </w:trPr>
        <w:tc>
          <w:tcPr>
            <w:tcW w:type="dxa" w:w="2232"/>
          </w:tcPr>
          <w:p>
            <w:pPr>
              <w:spacing w:after="0" w:line="240" w:lineRule="auto"/>
            </w:pPr>
            <w:r/>
            <w:r>
              <w:rPr>
                <w:b/>
                <w:sz w:val="17"/>
              </w:rPr>
              <w:t>2  Wall above t-min at last reading</w:t>
            </w:r>
          </w:p>
        </w:tc>
        <w:tc>
          <w:tcPr>
            <w:tcW w:type="dxa" w:w="5688"/>
          </w:tcPr>
          <w:p>
            <w:pPr>
              <w:spacing w:after="0" w:line="240" w:lineRule="auto"/>
            </w:pPr>
            <w:r/>
            <w:r>
              <w:rPr>
                <w:sz w:val="17"/>
              </w:rPr>
              <w:t>0.303 in (Ashgrove C1-S-6, 09/12/2025) − 0.215 in</w:t>
            </w:r>
          </w:p>
        </w:tc>
        <w:tc>
          <w:tcPr>
            <w:tcW w:type="dxa" w:w="1872"/>
          </w:tcPr>
          <w:p>
            <w:pPr>
              <w:spacing w:after="0" w:line="240" w:lineRule="auto"/>
            </w:pPr>
            <w:r/>
            <w:r>
              <w:rPr>
                <w:b/>
                <w:sz w:val="17"/>
              </w:rPr>
              <w:t>0.088 in</w:t>
            </w:r>
          </w:p>
        </w:tc>
      </w:tr>
      <w:tr>
        <w:trPr>
          <w:cantSplit w:val="true"/>
        </w:trPr>
        <w:tc>
          <w:tcPr>
            <w:tcW w:type="dxa" w:w="2232"/>
          </w:tcPr>
          <w:p>
            <w:pPr>
              <w:spacing w:after="0" w:line="240" w:lineRule="auto"/>
            </w:pPr>
            <w:r/>
            <w:r>
              <w:rPr>
                <w:b/>
                <w:sz w:val="17"/>
              </w:rPr>
              <w:t>3  Bring forward to 06/15/2026</w:t>
            </w:r>
          </w:p>
        </w:tc>
        <w:tc>
          <w:tcPr>
            <w:tcW w:type="dxa" w:w="5688"/>
          </w:tcPr>
          <w:p>
            <w:pPr>
              <w:spacing w:after="0" w:line="240" w:lineRule="auto"/>
            </w:pPr>
            <w:r/>
            <w:r>
              <w:rPr>
                <w:sz w:val="17"/>
              </w:rPr>
              <w:t>09/12/2025 → 06/15/2026 = 276 days = 0.756 yr</w:t>
            </w:r>
          </w:p>
          <w:p>
            <w:pPr>
              <w:spacing w:after="0" w:line="240" w:lineRule="auto"/>
            </w:pPr>
            <w:r>
              <w:rPr>
                <w:sz w:val="17"/>
              </w:rPr>
              <w:t>Loss = 0.756 × 0.00375 = 0.0028 in</w:t>
            </w:r>
          </w:p>
          <w:p>
            <w:pPr>
              <w:spacing w:after="0" w:line="240" w:lineRule="auto"/>
            </w:pPr>
            <w:r>
              <w:rPr>
                <w:sz w:val="17"/>
              </w:rPr>
              <w:t>Thickness = 0.303 − 0.0028 = 0.3002 in</w:t>
            </w:r>
          </w:p>
          <w:p>
            <w:pPr>
              <w:spacing w:after="0" w:line="240" w:lineRule="auto"/>
            </w:pPr>
            <w:r>
              <w:rPr>
                <w:sz w:val="17"/>
              </w:rPr>
              <w:t>Wall above t-min = 0.3002 − 0.215</w:t>
            </w:r>
          </w:p>
        </w:tc>
        <w:tc>
          <w:tcPr>
            <w:tcW w:type="dxa" w:w="1872"/>
          </w:tcPr>
          <w:p>
            <w:pPr>
              <w:spacing w:after="0" w:line="240" w:lineRule="auto"/>
            </w:pPr>
            <w:r/>
            <w:r>
              <w:rPr>
                <w:b/>
                <w:sz w:val="17"/>
              </w:rPr>
              <w:t>0.0852 in</w:t>
            </w:r>
          </w:p>
        </w:tc>
      </w:tr>
      <w:tr>
        <w:trPr>
          <w:cantSplit w:val="true"/>
        </w:trPr>
        <w:tc>
          <w:tcPr>
            <w:tcW w:type="dxa" w:w="2232"/>
          </w:tcPr>
          <w:p>
            <w:pPr>
              <w:spacing w:after="0" w:line="240" w:lineRule="auto"/>
            </w:pPr>
            <w:r/>
            <w:r>
              <w:rPr>
                <w:b/>
                <w:sz w:val="17"/>
              </w:rPr>
              <w:t>4  Remaining life as at 06/15/2026</w:t>
            </w:r>
          </w:p>
        </w:tc>
        <w:tc>
          <w:tcPr>
            <w:tcW w:type="dxa" w:w="5688"/>
          </w:tcPr>
          <w:p>
            <w:pPr>
              <w:spacing w:after="0" w:line="240" w:lineRule="auto"/>
            </w:pPr>
            <w:r/>
            <w:r>
              <w:rPr>
                <w:sz w:val="17"/>
              </w:rPr>
              <w:t>0.0852 in ÷ 0.00375 in/yr</w:t>
            </w:r>
          </w:p>
        </w:tc>
        <w:tc>
          <w:tcPr>
            <w:tcW w:type="dxa" w:w="1872"/>
          </w:tcPr>
          <w:p>
            <w:pPr>
              <w:spacing w:after="0" w:line="240" w:lineRule="auto"/>
            </w:pPr>
            <w:r/>
            <w:r>
              <w:rPr>
                <w:b/>
                <w:sz w:val="17"/>
              </w:rPr>
              <w:t>22.7 yr</w:t>
            </w:r>
          </w:p>
        </w:tc>
      </w:tr>
      <w:tr>
        <w:trPr>
          <w:cantSplit w:val="true"/>
        </w:trPr>
        <w:tc>
          <w:tcPr>
            <w:tcW w:type="dxa" w:w="2232"/>
          </w:tcPr>
          <w:p>
            <w:pPr>
              <w:spacing w:after="0" w:line="240" w:lineRule="auto"/>
            </w:pPr>
            <w:r/>
            <w:r>
              <w:rPr>
                <w:b/>
                <w:sz w:val="17"/>
              </w:rPr>
              <w:t>5  Date t-min is reached</w:t>
            </w:r>
          </w:p>
        </w:tc>
        <w:tc>
          <w:tcPr>
            <w:tcW w:type="dxa" w:w="5688"/>
          </w:tcPr>
          <w:p>
            <w:pPr>
              <w:spacing w:after="0" w:line="240" w:lineRule="auto"/>
            </w:pPr>
            <w:r/>
            <w:r>
              <w:rPr>
                <w:sz w:val="17"/>
              </w:rPr>
              <w:t>06/15/2026 + 22.71 yr (8295 days)</w:t>
            </w:r>
          </w:p>
          <w:p>
            <w:pPr>
              <w:spacing w:after="0" w:line="240" w:lineRule="auto"/>
            </w:pPr>
            <w:r>
              <w:rPr>
                <w:sz w:val="17"/>
              </w:rPr>
              <w:t>Check: 09/12/2025 + (0.088 ÷ 0.00375 = 23.47 yr) = 03/01/2049</w:t>
            </w:r>
          </w:p>
        </w:tc>
        <w:tc>
          <w:tcPr>
            <w:tcW w:type="dxa" w:w="1872"/>
          </w:tcPr>
          <w:p>
            <w:pPr>
              <w:spacing w:after="0" w:line="240" w:lineRule="auto"/>
            </w:pPr>
            <w:r/>
            <w:r>
              <w:rPr>
                <w:b/>
                <w:sz w:val="17"/>
              </w:rPr>
              <w:t>03/01/2049</w:t>
            </w:r>
          </w:p>
        </w:tc>
      </w:tr>
      <w:tr>
        <w:trPr>
          <w:cantSplit w:val="true"/>
        </w:trPr>
        <w:tc>
          <w:tcPr>
            <w:tcW w:type="dxa" w:w="2232"/>
          </w:tcPr>
          <w:p>
            <w:pPr>
              <w:spacing w:after="0" w:line="240" w:lineRule="auto"/>
            </w:pPr>
            <w:r/>
            <w:r>
              <w:rPr>
                <w:b/>
                <w:sz w:val="17"/>
              </w:rPr>
              <w:t>6  Compare with carried basis</w:t>
            </w:r>
          </w:p>
        </w:tc>
        <w:tc>
          <w:tcPr>
            <w:tcW w:type="dxa" w:w="5688"/>
          </w:tcPr>
          <w:p>
            <w:pPr>
              <w:spacing w:after="0" w:line="240" w:lineRule="auto"/>
            </w:pPr>
            <w:r/>
            <w:r>
              <w:rPr>
                <w:sz w:val="17"/>
              </w:rPr>
              <w:t>1.9 mpy: 0.088 ÷ 0.0019 = 46.3 yr from 09/12/2025 → 12/31/2071; 45.5 yr as at 06/15/2026</w:t>
            </w:r>
          </w:p>
        </w:tc>
        <w:tc>
          <w:tcPr>
            <w:tcW w:type="dxa" w:w="1872"/>
          </w:tcPr>
          <w:p>
            <w:pPr>
              <w:spacing w:after="0" w:line="240" w:lineRule="auto"/>
            </w:pPr>
            <w:r/>
            <w:r>
              <w:rPr>
                <w:sz w:val="17"/>
              </w:rPr>
              <w:t>Overstated by 22.8 yr</w:t>
            </w:r>
          </w:p>
        </w:tc>
      </w:tr>
      <w:tr>
        <w:trPr>
          <w:cantSplit w:val="true"/>
        </w:trPr>
        <w:tc>
          <w:tcPr>
            <w:tcW w:type="dxa" w:w="2232"/>
          </w:tcPr>
          <w:p>
            <w:pPr>
              <w:spacing w:after="0" w:line="240" w:lineRule="auto"/>
            </w:pPr>
            <w:r/>
            <w:r>
              <w:rPr>
                <w:b/>
                <w:sz w:val="17"/>
              </w:rPr>
              <w:t>7  API 653 UT interval check</w:t>
            </w:r>
          </w:p>
        </w:tc>
        <w:tc>
          <w:tcPr>
            <w:tcW w:type="dxa" w:w="5688"/>
          </w:tcPr>
          <w:p>
            <w:pPr>
              <w:spacing w:after="0" w:line="240" w:lineRule="auto"/>
            </w:pPr>
            <w:r/>
            <w:r>
              <w:rPr>
                <w:sz w:val="17"/>
              </w:rPr>
              <w:t>Rate known: interval ≤ smaller of RCA/2N and 15 yr. RCA = 85 mils; N = 3.75 mpy → 85 ÷ 7.5</w:t>
            </w:r>
          </w:p>
        </w:tc>
        <w:tc>
          <w:tcPr>
            <w:tcW w:type="dxa" w:w="1872"/>
          </w:tcPr>
          <w:p>
            <w:pPr>
              <w:spacing w:after="0" w:line="240" w:lineRule="auto"/>
            </w:pPr>
            <w:r/>
            <w:r>
              <w:rPr>
                <w:sz w:val="17"/>
              </w:rPr>
              <w:t>11.4 yr (&gt; 5 yr plan interval)</w:t>
            </w:r>
          </w:p>
        </w:tc>
      </w:tr>
    </w:tbl>
    <w:p>
      <w:pPr>
        <w:spacing w:after="40"/>
      </w:pPr>
    </w:p>
    <w:p>
      <w:r>
        <w:rPr>
          <w:sz w:val="17"/>
        </w:rPr>
        <w:t>Years are taken as 365.25 days. Day counts are in Appendix C.</w:t>
      </w:r>
    </w:p>
    <w:p>
      <w:pPr>
        <w:pStyle w:val="Heading1"/>
      </w:pPr>
      <w:r>
        <w:t>9. Minimum required thickness and sensitivity</w:t>
      </w:r>
    </w:p>
    <w:p>
      <w:pPr>
        <w:pStyle w:val="Heading2"/>
      </w:pPr>
      <w:r>
        <w:t>9.1 t-min</w:t>
      </w:r>
    </w:p>
    <w:p>
      <w:r>
        <w:t>0.215 in is the value carried in R7 (§2, §3), R8 (§4) and R9. R7 §2 attributes it to an 'API 653 §4.3 calculation in §3 of this assessment', but §3 contains no calculation. The check below uses API 653 §4.3.3.1, t-min = 2.6 (H − 1) D G / (S E):</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1152"/>
        <w:gridCol w:w="6192"/>
        <w:gridCol w:w="2448"/>
      </w:tblGrid>
      <w:tr>
        <w:trPr>
          <w:tblHeader w:val="true"/>
          <w:cantSplit w:val="true"/>
        </w:trPr>
        <w:tc>
          <w:tcPr>
            <w:tcW w:type="dxa" w:w="1152"/>
            <w:shd w:val="clear" w:color="auto" w:fill="D5DEEA"/>
            <w:vAlign w:val="center"/>
          </w:tcPr>
          <w:p>
            <w:pPr>
              <w:spacing w:after="0"/>
            </w:pPr>
            <w:r/>
            <w:r>
              <w:rPr>
                <w:b/>
                <w:sz w:val="17"/>
              </w:rPr>
              <w:t>Input</w:t>
            </w:r>
          </w:p>
        </w:tc>
        <w:tc>
          <w:tcPr>
            <w:tcW w:type="dxa" w:w="6192"/>
            <w:shd w:val="clear" w:color="auto" w:fill="D5DEEA"/>
            <w:vAlign w:val="center"/>
          </w:tcPr>
          <w:p>
            <w:pPr>
              <w:spacing w:after="0"/>
            </w:pPr>
            <w:r/>
            <w:r>
              <w:rPr>
                <w:b/>
                <w:sz w:val="17"/>
              </w:rPr>
              <w:t>Value</w:t>
            </w:r>
          </w:p>
        </w:tc>
        <w:tc>
          <w:tcPr>
            <w:tcW w:type="dxa" w:w="2448"/>
            <w:shd w:val="clear" w:color="auto" w:fill="D5DEEA"/>
            <w:vAlign w:val="center"/>
          </w:tcPr>
          <w:p>
            <w:pPr>
              <w:spacing w:after="0"/>
            </w:pPr>
            <w:r/>
            <w:r>
              <w:rPr>
                <w:b/>
                <w:sz w:val="17"/>
              </w:rPr>
              <w:t>Source</w:t>
            </w:r>
          </w:p>
        </w:tc>
      </w:tr>
      <w:tr>
        <w:trPr>
          <w:cantSplit w:val="true"/>
        </w:trPr>
        <w:tc>
          <w:tcPr>
            <w:tcW w:type="dxa" w:w="1152"/>
          </w:tcPr>
          <w:p>
            <w:pPr>
              <w:spacing w:after="0" w:line="240" w:lineRule="auto"/>
            </w:pPr>
            <w:r/>
            <w:r>
              <w:rPr>
                <w:b/>
                <w:sz w:val="17"/>
              </w:rPr>
              <w:t>D</w:t>
            </w:r>
          </w:p>
        </w:tc>
        <w:tc>
          <w:tcPr>
            <w:tcW w:type="dxa" w:w="6192"/>
          </w:tcPr>
          <w:p>
            <w:pPr>
              <w:spacing w:after="0" w:line="240" w:lineRule="auto"/>
            </w:pPr>
            <w:r/>
            <w:r>
              <w:rPr>
                <w:sz w:val="17"/>
              </w:rPr>
              <w:t>55.8 ft (17 m; nameplate 56 ft)</w:t>
            </w:r>
          </w:p>
        </w:tc>
        <w:tc>
          <w:tcPr>
            <w:tcW w:type="dxa" w:w="2448"/>
          </w:tcPr>
          <w:p>
            <w:pPr>
              <w:spacing w:after="0" w:line="240" w:lineRule="auto"/>
            </w:pPr>
            <w:r/>
            <w:r>
              <w:rPr>
                <w:sz w:val="17"/>
              </w:rPr>
              <w:t>R13 §7.1; R14</w:t>
            </w:r>
          </w:p>
        </w:tc>
      </w:tr>
      <w:tr>
        <w:trPr>
          <w:cantSplit w:val="true"/>
        </w:trPr>
        <w:tc>
          <w:tcPr>
            <w:tcW w:type="dxa" w:w="1152"/>
          </w:tcPr>
          <w:p>
            <w:pPr>
              <w:spacing w:after="0" w:line="240" w:lineRule="auto"/>
            </w:pPr>
            <w:r/>
            <w:r>
              <w:rPr>
                <w:b/>
                <w:sz w:val="17"/>
              </w:rPr>
              <w:t>H</w:t>
            </w:r>
          </w:p>
        </w:tc>
        <w:tc>
          <w:tcPr>
            <w:tcW w:type="dxa" w:w="6192"/>
          </w:tcPr>
          <w:p>
            <w:pPr>
              <w:spacing w:after="0" w:line="240" w:lineRule="auto"/>
            </w:pPr>
            <w:r/>
            <w:r>
              <w:rPr>
                <w:sz w:val="17"/>
              </w:rPr>
              <w:t>40 ft, full shell height. Conservative: maximum fill is 34 ft</w:t>
            </w:r>
          </w:p>
        </w:tc>
        <w:tc>
          <w:tcPr>
            <w:tcW w:type="dxa" w:w="2448"/>
          </w:tcPr>
          <w:p>
            <w:pPr>
              <w:spacing w:after="0" w:line="240" w:lineRule="auto"/>
            </w:pPr>
            <w:r/>
            <w:r>
              <w:rPr>
                <w:sz w:val="17"/>
              </w:rPr>
              <w:t>R13 §7.1; R12 §2</w:t>
            </w:r>
          </w:p>
        </w:tc>
      </w:tr>
      <w:tr>
        <w:trPr>
          <w:cantSplit w:val="true"/>
        </w:trPr>
        <w:tc>
          <w:tcPr>
            <w:tcW w:type="dxa" w:w="1152"/>
          </w:tcPr>
          <w:p>
            <w:pPr>
              <w:spacing w:after="0" w:line="240" w:lineRule="auto"/>
            </w:pPr>
            <w:r/>
            <w:r>
              <w:rPr>
                <w:b/>
                <w:sz w:val="17"/>
              </w:rPr>
              <w:t>G</w:t>
            </w:r>
          </w:p>
        </w:tc>
        <w:tc>
          <w:tcPr>
            <w:tcW w:type="dxa" w:w="6192"/>
          </w:tcPr>
          <w:p>
            <w:pPr>
              <w:spacing w:after="0" w:line="240" w:lineRule="auto"/>
            </w:pPr>
            <w:r/>
            <w:r>
              <w:rPr>
                <w:sz w:val="17"/>
              </w:rPr>
              <w:t>0.79 current product (design nameplate 0.78)</w:t>
            </w:r>
          </w:p>
        </w:tc>
        <w:tc>
          <w:tcPr>
            <w:tcW w:type="dxa" w:w="2448"/>
          </w:tcPr>
          <w:p>
            <w:pPr>
              <w:spacing w:after="0" w:line="240" w:lineRule="auto"/>
            </w:pPr>
            <w:r/>
            <w:r>
              <w:rPr>
                <w:sz w:val="17"/>
              </w:rPr>
              <w:t>R12 §1; R13 §7.1</w:t>
            </w:r>
          </w:p>
        </w:tc>
      </w:tr>
      <w:tr>
        <w:trPr>
          <w:cantSplit w:val="true"/>
        </w:trPr>
        <w:tc>
          <w:tcPr>
            <w:tcW w:type="dxa" w:w="1152"/>
          </w:tcPr>
          <w:p>
            <w:pPr>
              <w:spacing w:after="0" w:line="240" w:lineRule="auto"/>
            </w:pPr>
            <w:r/>
            <w:r>
              <w:rPr>
                <w:b/>
                <w:sz w:val="17"/>
              </w:rPr>
              <w:t>S</w:t>
            </w:r>
          </w:p>
        </w:tc>
        <w:tc>
          <w:tcPr>
            <w:tcW w:type="dxa" w:w="6192"/>
          </w:tcPr>
          <w:p>
            <w:pPr>
              <w:spacing w:after="0" w:line="240" w:lineRule="auto"/>
            </w:pPr>
            <w:r/>
            <w:r>
              <w:rPr>
                <w:sz w:val="17"/>
              </w:rPr>
              <w:t>23,600 psi — API 653 allowable for the bottom two courses, A283 Gr C or unknown steel (lesser of 0.80Y and 0.429T; Y = 30,000, T = 55,000 psi). The T-02-003 plate grade is not stated in R13; sister tank T-02-001 is A283 Gr C on courses 1–3.</w:t>
            </w:r>
          </w:p>
        </w:tc>
        <w:tc>
          <w:tcPr>
            <w:tcW w:type="dxa" w:w="2448"/>
          </w:tcPr>
          <w:p>
            <w:pPr>
              <w:spacing w:after="0" w:line="240" w:lineRule="auto"/>
            </w:pPr>
            <w:r/>
            <w:r>
              <w:rPr>
                <w:sz w:val="17"/>
              </w:rPr>
              <w:t>API 653 Table 4.1; R13 §5.2, §7.2</w:t>
            </w:r>
          </w:p>
        </w:tc>
      </w:tr>
      <w:tr>
        <w:trPr>
          <w:cantSplit w:val="true"/>
        </w:trPr>
        <w:tc>
          <w:tcPr>
            <w:tcW w:type="dxa" w:w="1152"/>
          </w:tcPr>
          <w:p>
            <w:pPr>
              <w:spacing w:after="0" w:line="240" w:lineRule="auto"/>
            </w:pPr>
            <w:r/>
            <w:r>
              <w:rPr>
                <w:b/>
                <w:sz w:val="17"/>
              </w:rPr>
              <w:t>E = 1.00</w:t>
            </w:r>
          </w:p>
        </w:tc>
        <w:tc>
          <w:tcPr>
            <w:tcW w:type="dxa" w:w="6192"/>
          </w:tcPr>
          <w:p>
            <w:pPr>
              <w:spacing w:after="0" w:line="240" w:lineRule="auto"/>
            </w:pPr>
            <w:r/>
            <w:r>
              <w:rPr>
                <w:sz w:val="17"/>
              </w:rPr>
              <w:t xml:space="preserve">API 650 7th Ed. basic standard (radiographed per R13 §7.2). API 653 also permits E = 1.0 for corroded plate at least 1 in or 2t (whichever is greater) from welds. → </w:t>
            </w:r>
            <w:r>
              <w:rPr>
                <w:b/>
                <w:sz w:val="17"/>
              </w:rPr>
              <w:t>t-min = 0.189 in</w:t>
            </w:r>
          </w:p>
        </w:tc>
        <w:tc>
          <w:tcPr>
            <w:tcW w:type="dxa" w:w="2448"/>
          </w:tcPr>
          <w:p>
            <w:pPr>
              <w:spacing w:after="0" w:line="240" w:lineRule="auto"/>
            </w:pPr>
            <w:r/>
            <w:r>
              <w:rPr>
                <w:sz w:val="17"/>
              </w:rPr>
              <w:t>API 653 Table 4.2, §4.3.3.1</w:t>
            </w:r>
          </w:p>
        </w:tc>
      </w:tr>
      <w:tr>
        <w:trPr>
          <w:cantSplit w:val="true"/>
        </w:trPr>
        <w:tc>
          <w:tcPr>
            <w:tcW w:type="dxa" w:w="1152"/>
          </w:tcPr>
          <w:p>
            <w:pPr>
              <w:spacing w:after="0" w:line="240" w:lineRule="auto"/>
            </w:pPr>
            <w:r/>
            <w:r>
              <w:rPr>
                <w:b/>
                <w:sz w:val="17"/>
              </w:rPr>
              <w:t>E = 0.85</w:t>
            </w:r>
          </w:p>
        </w:tc>
        <w:tc>
          <w:tcPr>
            <w:tcW w:type="dxa" w:w="6192"/>
          </w:tcPr>
          <w:p>
            <w:pPr>
              <w:spacing w:after="0" w:line="240" w:lineRule="auto"/>
            </w:pPr>
            <w:r/>
            <w:r>
              <w:rPr>
                <w:sz w:val="17"/>
              </w:rPr>
              <w:t xml:space="preserve">API 650 7th Ed. Appendix A, spot RT → </w:t>
            </w:r>
            <w:r>
              <w:rPr>
                <w:b/>
                <w:sz w:val="17"/>
              </w:rPr>
              <w:t>t-min = 0.223 in</w:t>
            </w:r>
          </w:p>
        </w:tc>
        <w:tc>
          <w:tcPr>
            <w:tcW w:type="dxa" w:w="2448"/>
          </w:tcPr>
          <w:p>
            <w:pPr>
              <w:spacing w:after="0" w:line="240" w:lineRule="auto"/>
            </w:pPr>
            <w:r/>
            <w:r>
              <w:rPr>
                <w:sz w:val="17"/>
              </w:rPr>
              <w:t>API 653 Table 4.2</w:t>
            </w:r>
          </w:p>
        </w:tc>
      </w:tr>
    </w:tbl>
    <w:p>
      <w:pPr>
        <w:spacing w:after="40"/>
      </w:pPr>
    </w:p>
    <w:p>
      <w:r>
        <w:t>The record value, 0.215 in, lies between these two results. It is adopted here because the question is the rate, but the re-issued FFS must show how it was derived. Using H = 34 ft would lower t-min to 0.160 – 0.189 in.</w:t>
      </w:r>
    </w:p>
    <w:p>
      <w:pPr>
        <w:pStyle w:val="Heading2"/>
      </w:pPr>
      <w:r>
        <w:t>9.2 Sensitivity of the date</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3024"/>
        <w:gridCol w:w="1152"/>
        <w:gridCol w:w="864"/>
        <w:gridCol w:w="864"/>
        <w:gridCol w:w="1512"/>
        <w:gridCol w:w="1152"/>
        <w:gridCol w:w="1224"/>
      </w:tblGrid>
      <w:tr>
        <w:trPr>
          <w:tblHeader w:val="true"/>
          <w:cantSplit w:val="true"/>
        </w:trPr>
        <w:tc>
          <w:tcPr>
            <w:tcW w:type="dxa" w:w="3024"/>
            <w:shd w:val="clear" w:color="auto" w:fill="D5DEEA"/>
            <w:vAlign w:val="center"/>
          </w:tcPr>
          <w:p>
            <w:pPr>
              <w:spacing w:after="0"/>
            </w:pPr>
            <w:r/>
            <w:r>
              <w:rPr>
                <w:b/>
                <w:sz w:val="16"/>
              </w:rPr>
              <w:t>Case</w:t>
            </w:r>
          </w:p>
        </w:tc>
        <w:tc>
          <w:tcPr>
            <w:tcW w:type="dxa" w:w="1152"/>
            <w:shd w:val="clear" w:color="auto" w:fill="D5DEEA"/>
            <w:vAlign w:val="center"/>
          </w:tcPr>
          <w:p>
            <w:pPr>
              <w:spacing w:after="0"/>
            </w:pPr>
            <w:r/>
            <w:r>
              <w:rPr>
                <w:b/>
                <w:sz w:val="16"/>
              </w:rPr>
              <w:t>Thickness (in)</w:t>
            </w:r>
          </w:p>
        </w:tc>
        <w:tc>
          <w:tcPr>
            <w:tcW w:type="dxa" w:w="864"/>
            <w:shd w:val="clear" w:color="auto" w:fill="D5DEEA"/>
            <w:vAlign w:val="center"/>
          </w:tcPr>
          <w:p>
            <w:pPr>
              <w:spacing w:after="0"/>
            </w:pPr>
            <w:r/>
            <w:r>
              <w:rPr>
                <w:b/>
                <w:sz w:val="16"/>
              </w:rPr>
              <w:t>Rate (mpy)</w:t>
            </w:r>
          </w:p>
        </w:tc>
        <w:tc>
          <w:tcPr>
            <w:tcW w:type="dxa" w:w="864"/>
            <w:shd w:val="clear" w:color="auto" w:fill="D5DEEA"/>
            <w:vAlign w:val="center"/>
          </w:tcPr>
          <w:p>
            <w:pPr>
              <w:spacing w:after="0"/>
            </w:pPr>
            <w:r/>
            <w:r>
              <w:rPr>
                <w:b/>
                <w:sz w:val="16"/>
              </w:rPr>
              <w:t>t-min (in)</w:t>
            </w:r>
          </w:p>
        </w:tc>
        <w:tc>
          <w:tcPr>
            <w:tcW w:type="dxa" w:w="1512"/>
            <w:shd w:val="clear" w:color="auto" w:fill="D5DEEA"/>
            <w:vAlign w:val="center"/>
          </w:tcPr>
          <w:p>
            <w:pPr>
              <w:spacing w:after="0"/>
            </w:pPr>
            <w:r/>
            <w:r>
              <w:rPr>
                <w:b/>
                <w:sz w:val="16"/>
              </w:rPr>
              <w:t>Wall above t-min at 06/15/2026 (in)</w:t>
            </w:r>
          </w:p>
        </w:tc>
        <w:tc>
          <w:tcPr>
            <w:tcW w:type="dxa" w:w="1152"/>
            <w:shd w:val="clear" w:color="auto" w:fill="D5DEEA"/>
            <w:vAlign w:val="center"/>
          </w:tcPr>
          <w:p>
            <w:pPr>
              <w:spacing w:after="0"/>
            </w:pPr>
            <w:r/>
            <w:r>
              <w:rPr>
                <w:b/>
                <w:sz w:val="16"/>
              </w:rPr>
              <w:t>Life at 06/15/2026 (yr)</w:t>
            </w:r>
          </w:p>
        </w:tc>
        <w:tc>
          <w:tcPr>
            <w:tcW w:type="dxa" w:w="1224"/>
            <w:shd w:val="clear" w:color="auto" w:fill="D5DEEA"/>
            <w:vAlign w:val="center"/>
          </w:tcPr>
          <w:p>
            <w:pPr>
              <w:spacing w:after="0"/>
            </w:pPr>
            <w:r/>
            <w:r>
              <w:rPr>
                <w:b/>
                <w:sz w:val="16"/>
              </w:rPr>
              <w:t>Date t-min reached</w:t>
            </w:r>
          </w:p>
        </w:tc>
      </w:tr>
      <w:tr>
        <w:trPr>
          <w:cantSplit w:val="true"/>
        </w:trPr>
        <w:tc>
          <w:tcPr>
            <w:tcW w:type="dxa" w:w="3024"/>
            <w:shd w:val="clear" w:color="auto" w:fill="FFF2CC"/>
          </w:tcPr>
          <w:p>
            <w:pPr>
              <w:spacing w:after="0" w:line="240" w:lineRule="auto"/>
            </w:pPr>
            <w:r/>
            <w:r>
              <w:rPr>
                <w:sz w:val="16"/>
              </w:rPr>
              <w:t>Adopted basis</w:t>
            </w:r>
          </w:p>
        </w:tc>
        <w:tc>
          <w:tcPr>
            <w:tcW w:type="dxa" w:w="1152"/>
            <w:shd w:val="clear" w:color="auto" w:fill="FFF2CC"/>
          </w:tcPr>
          <w:p>
            <w:pPr>
              <w:spacing w:after="0" w:line="240" w:lineRule="auto"/>
              <w:jc w:val="center"/>
            </w:pPr>
            <w:r/>
            <w:r>
              <w:rPr>
                <w:sz w:val="16"/>
              </w:rPr>
              <w:t>0.303</w:t>
            </w:r>
          </w:p>
        </w:tc>
        <w:tc>
          <w:tcPr>
            <w:tcW w:type="dxa" w:w="864"/>
            <w:shd w:val="clear" w:color="auto" w:fill="FFF2CC"/>
          </w:tcPr>
          <w:p>
            <w:pPr>
              <w:spacing w:after="0" w:line="240" w:lineRule="auto"/>
              <w:jc w:val="center"/>
            </w:pPr>
            <w:r/>
            <w:r>
              <w:rPr>
                <w:sz w:val="16"/>
              </w:rPr>
              <w:t>3.75</w:t>
            </w:r>
          </w:p>
        </w:tc>
        <w:tc>
          <w:tcPr>
            <w:tcW w:type="dxa" w:w="864"/>
            <w:shd w:val="clear" w:color="auto" w:fill="FFF2CC"/>
          </w:tcPr>
          <w:p>
            <w:pPr>
              <w:spacing w:after="0" w:line="240" w:lineRule="auto"/>
              <w:jc w:val="center"/>
            </w:pPr>
            <w:r/>
            <w:r>
              <w:rPr>
                <w:sz w:val="16"/>
              </w:rPr>
              <w:t>0.215</w:t>
            </w:r>
          </w:p>
        </w:tc>
        <w:tc>
          <w:tcPr>
            <w:tcW w:type="dxa" w:w="1512"/>
            <w:shd w:val="clear" w:color="auto" w:fill="FFF2CC"/>
          </w:tcPr>
          <w:p>
            <w:pPr>
              <w:spacing w:after="0" w:line="240" w:lineRule="auto"/>
              <w:jc w:val="center"/>
            </w:pPr>
            <w:r/>
            <w:r>
              <w:rPr>
                <w:sz w:val="16"/>
              </w:rPr>
              <w:t>0.0852</w:t>
            </w:r>
          </w:p>
        </w:tc>
        <w:tc>
          <w:tcPr>
            <w:tcW w:type="dxa" w:w="1152"/>
            <w:shd w:val="clear" w:color="auto" w:fill="FFF2CC"/>
          </w:tcPr>
          <w:p>
            <w:pPr>
              <w:spacing w:after="0" w:line="240" w:lineRule="auto"/>
              <w:jc w:val="center"/>
            </w:pPr>
            <w:r/>
            <w:r>
              <w:rPr>
                <w:sz w:val="16"/>
              </w:rPr>
              <w:t>22.7</w:t>
            </w:r>
          </w:p>
        </w:tc>
        <w:tc>
          <w:tcPr>
            <w:tcW w:type="dxa" w:w="1224"/>
            <w:shd w:val="clear" w:color="auto" w:fill="FFF2CC"/>
          </w:tcPr>
          <w:p>
            <w:pPr>
              <w:spacing w:after="0" w:line="240" w:lineRule="auto"/>
              <w:jc w:val="center"/>
            </w:pPr>
            <w:r/>
            <w:r>
              <w:rPr>
                <w:sz w:val="16"/>
              </w:rPr>
              <w:t>03/01/2049</w:t>
            </w:r>
          </w:p>
        </w:tc>
      </w:tr>
      <w:tr>
        <w:trPr>
          <w:cantSplit w:val="true"/>
        </w:trPr>
        <w:tc>
          <w:tcPr>
            <w:tcW w:type="dxa" w:w="3024"/>
          </w:tcPr>
          <w:p>
            <w:pPr>
              <w:spacing w:after="0" w:line="240" w:lineRule="auto"/>
            </w:pPr>
            <w:r/>
            <w:r>
              <w:rPr>
                <w:sz w:val="16"/>
              </w:rPr>
              <w:t>Rate rounded to site one-decimal convention</w:t>
            </w:r>
          </w:p>
        </w:tc>
        <w:tc>
          <w:tcPr>
            <w:tcW w:type="dxa" w:w="1152"/>
          </w:tcPr>
          <w:p>
            <w:pPr>
              <w:spacing w:after="0" w:line="240" w:lineRule="auto"/>
              <w:jc w:val="center"/>
            </w:pPr>
            <w:r/>
            <w:r>
              <w:rPr>
                <w:sz w:val="16"/>
              </w:rPr>
              <w:t>0.303</w:t>
            </w:r>
          </w:p>
        </w:tc>
        <w:tc>
          <w:tcPr>
            <w:tcW w:type="dxa" w:w="864"/>
          </w:tcPr>
          <w:p>
            <w:pPr>
              <w:spacing w:after="0" w:line="240" w:lineRule="auto"/>
              <w:jc w:val="center"/>
            </w:pPr>
            <w:r/>
            <w:r>
              <w:rPr>
                <w:sz w:val="16"/>
              </w:rPr>
              <w:t>3.80</w:t>
            </w:r>
          </w:p>
        </w:tc>
        <w:tc>
          <w:tcPr>
            <w:tcW w:type="dxa" w:w="864"/>
          </w:tcPr>
          <w:p>
            <w:pPr>
              <w:spacing w:after="0" w:line="240" w:lineRule="auto"/>
              <w:jc w:val="center"/>
            </w:pPr>
            <w:r/>
            <w:r>
              <w:rPr>
                <w:sz w:val="16"/>
              </w:rPr>
              <w:t>0.215</w:t>
            </w:r>
          </w:p>
        </w:tc>
        <w:tc>
          <w:tcPr>
            <w:tcW w:type="dxa" w:w="1512"/>
          </w:tcPr>
          <w:p>
            <w:pPr>
              <w:spacing w:after="0" w:line="240" w:lineRule="auto"/>
              <w:jc w:val="center"/>
            </w:pPr>
            <w:r/>
            <w:r>
              <w:rPr>
                <w:sz w:val="16"/>
              </w:rPr>
              <w:t>0.0851</w:t>
            </w:r>
          </w:p>
        </w:tc>
        <w:tc>
          <w:tcPr>
            <w:tcW w:type="dxa" w:w="1152"/>
          </w:tcPr>
          <w:p>
            <w:pPr>
              <w:spacing w:after="0" w:line="240" w:lineRule="auto"/>
              <w:jc w:val="center"/>
            </w:pPr>
            <w:r/>
            <w:r>
              <w:rPr>
                <w:sz w:val="16"/>
              </w:rPr>
              <w:t>22.4</w:t>
            </w:r>
          </w:p>
        </w:tc>
        <w:tc>
          <w:tcPr>
            <w:tcW w:type="dxa" w:w="1224"/>
          </w:tcPr>
          <w:p>
            <w:pPr>
              <w:spacing w:after="0" w:line="240" w:lineRule="auto"/>
              <w:jc w:val="center"/>
            </w:pPr>
            <w:r/>
            <w:r>
              <w:rPr>
                <w:sz w:val="16"/>
              </w:rPr>
              <w:t>11/08/2048</w:t>
            </w:r>
          </w:p>
        </w:tc>
      </w:tr>
      <w:tr>
        <w:trPr>
          <w:cantSplit w:val="true"/>
        </w:trPr>
        <w:tc>
          <w:tcPr>
            <w:tcW w:type="dxa" w:w="3024"/>
          </w:tcPr>
          <w:p>
            <w:pPr>
              <w:spacing w:after="0" w:line="240" w:lineRule="auto"/>
            </w:pPr>
            <w:r/>
            <w:r>
              <w:rPr>
                <w:sz w:val="16"/>
              </w:rPr>
              <w:t>Rate extrapolated to 6 in (linear fit, S quadrant)</w:t>
            </w:r>
          </w:p>
        </w:tc>
        <w:tc>
          <w:tcPr>
            <w:tcW w:type="dxa" w:w="1152"/>
          </w:tcPr>
          <w:p>
            <w:pPr>
              <w:spacing w:after="0" w:line="240" w:lineRule="auto"/>
              <w:jc w:val="center"/>
            </w:pPr>
            <w:r/>
            <w:r>
              <w:rPr>
                <w:sz w:val="16"/>
              </w:rPr>
              <w:t>0.303</w:t>
            </w:r>
          </w:p>
        </w:tc>
        <w:tc>
          <w:tcPr>
            <w:tcW w:type="dxa" w:w="864"/>
          </w:tcPr>
          <w:p>
            <w:pPr>
              <w:spacing w:after="0" w:line="240" w:lineRule="auto"/>
              <w:jc w:val="center"/>
            </w:pPr>
            <w:r/>
            <w:r>
              <w:rPr>
                <w:sz w:val="16"/>
              </w:rPr>
              <w:t>3.90</w:t>
            </w:r>
          </w:p>
        </w:tc>
        <w:tc>
          <w:tcPr>
            <w:tcW w:type="dxa" w:w="864"/>
          </w:tcPr>
          <w:p>
            <w:pPr>
              <w:spacing w:after="0" w:line="240" w:lineRule="auto"/>
              <w:jc w:val="center"/>
            </w:pPr>
            <w:r/>
            <w:r>
              <w:rPr>
                <w:sz w:val="16"/>
              </w:rPr>
              <w:t>0.215</w:t>
            </w:r>
          </w:p>
        </w:tc>
        <w:tc>
          <w:tcPr>
            <w:tcW w:type="dxa" w:w="1512"/>
          </w:tcPr>
          <w:p>
            <w:pPr>
              <w:spacing w:after="0" w:line="240" w:lineRule="auto"/>
              <w:jc w:val="center"/>
            </w:pPr>
            <w:r/>
            <w:r>
              <w:rPr>
                <w:sz w:val="16"/>
              </w:rPr>
              <w:t>0.0851</w:t>
            </w:r>
          </w:p>
        </w:tc>
        <w:tc>
          <w:tcPr>
            <w:tcW w:type="dxa" w:w="1152"/>
          </w:tcPr>
          <w:p>
            <w:pPr>
              <w:spacing w:after="0" w:line="240" w:lineRule="auto"/>
              <w:jc w:val="center"/>
            </w:pPr>
            <w:r/>
            <w:r>
              <w:rPr>
                <w:sz w:val="16"/>
              </w:rPr>
              <w:t>21.8</w:t>
            </w:r>
          </w:p>
        </w:tc>
        <w:tc>
          <w:tcPr>
            <w:tcW w:type="dxa" w:w="1224"/>
          </w:tcPr>
          <w:p>
            <w:pPr>
              <w:spacing w:after="0" w:line="240" w:lineRule="auto"/>
              <w:jc w:val="center"/>
            </w:pPr>
            <w:r/>
            <w:r>
              <w:rPr>
                <w:sz w:val="16"/>
              </w:rPr>
              <w:t>04/05/2048</w:t>
            </w:r>
          </w:p>
        </w:tc>
      </w:tr>
      <w:tr>
        <w:trPr>
          <w:cantSplit w:val="true"/>
        </w:trPr>
        <w:tc>
          <w:tcPr>
            <w:tcW w:type="dxa" w:w="3024"/>
          </w:tcPr>
          <w:p>
            <w:pPr>
              <w:spacing w:after="0" w:line="240" w:lineRule="auto"/>
            </w:pPr>
            <w:r/>
            <w:r>
              <w:rPr>
                <w:sz w:val="16"/>
              </w:rPr>
              <w:t>Rate extrapolated on local 18–30 in gradient</w:t>
            </w:r>
          </w:p>
        </w:tc>
        <w:tc>
          <w:tcPr>
            <w:tcW w:type="dxa" w:w="1152"/>
          </w:tcPr>
          <w:p>
            <w:pPr>
              <w:spacing w:after="0" w:line="240" w:lineRule="auto"/>
              <w:jc w:val="center"/>
            </w:pPr>
            <w:r/>
            <w:r>
              <w:rPr>
                <w:sz w:val="16"/>
              </w:rPr>
              <w:t>0.303</w:t>
            </w:r>
          </w:p>
        </w:tc>
        <w:tc>
          <w:tcPr>
            <w:tcW w:type="dxa" w:w="864"/>
          </w:tcPr>
          <w:p>
            <w:pPr>
              <w:spacing w:after="0" w:line="240" w:lineRule="auto"/>
              <w:jc w:val="center"/>
            </w:pPr>
            <w:r/>
            <w:r>
              <w:rPr>
                <w:sz w:val="16"/>
              </w:rPr>
              <w:t>4.25</w:t>
            </w:r>
          </w:p>
        </w:tc>
        <w:tc>
          <w:tcPr>
            <w:tcW w:type="dxa" w:w="864"/>
          </w:tcPr>
          <w:p>
            <w:pPr>
              <w:spacing w:after="0" w:line="240" w:lineRule="auto"/>
              <w:jc w:val="center"/>
            </w:pPr>
            <w:r/>
            <w:r>
              <w:rPr>
                <w:sz w:val="16"/>
              </w:rPr>
              <w:t>0.215</w:t>
            </w:r>
          </w:p>
        </w:tc>
        <w:tc>
          <w:tcPr>
            <w:tcW w:type="dxa" w:w="1512"/>
          </w:tcPr>
          <w:p>
            <w:pPr>
              <w:spacing w:after="0" w:line="240" w:lineRule="auto"/>
              <w:jc w:val="center"/>
            </w:pPr>
            <w:r/>
            <w:r>
              <w:rPr>
                <w:sz w:val="16"/>
              </w:rPr>
              <w:t>0.0848</w:t>
            </w:r>
          </w:p>
        </w:tc>
        <w:tc>
          <w:tcPr>
            <w:tcW w:type="dxa" w:w="1152"/>
          </w:tcPr>
          <w:p>
            <w:pPr>
              <w:spacing w:after="0" w:line="240" w:lineRule="auto"/>
              <w:jc w:val="center"/>
            </w:pPr>
            <w:r/>
            <w:r>
              <w:rPr>
                <w:sz w:val="16"/>
              </w:rPr>
              <w:t>20.0</w:t>
            </w:r>
          </w:p>
        </w:tc>
        <w:tc>
          <w:tcPr>
            <w:tcW w:type="dxa" w:w="1224"/>
          </w:tcPr>
          <w:p>
            <w:pPr>
              <w:spacing w:after="0" w:line="240" w:lineRule="auto"/>
              <w:jc w:val="center"/>
            </w:pPr>
            <w:r/>
            <w:r>
              <w:rPr>
                <w:sz w:val="16"/>
              </w:rPr>
              <w:t>05/27/2046</w:t>
            </w:r>
          </w:p>
        </w:tc>
      </w:tr>
      <w:tr>
        <w:trPr>
          <w:cantSplit w:val="true"/>
        </w:trPr>
        <w:tc>
          <w:tcPr>
            <w:tcW w:type="dxa" w:w="3024"/>
          </w:tcPr>
          <w:p>
            <w:pPr>
              <w:spacing w:after="0" w:line="240" w:lineRule="auto"/>
            </w:pPr>
            <w:r/>
            <w:r>
              <w:rPr>
                <w:sz w:val="16"/>
              </w:rPr>
              <w:t>Governing reading less full calibration drift</w:t>
            </w:r>
          </w:p>
        </w:tc>
        <w:tc>
          <w:tcPr>
            <w:tcW w:type="dxa" w:w="1152"/>
          </w:tcPr>
          <w:p>
            <w:pPr>
              <w:spacing w:after="0" w:line="240" w:lineRule="auto"/>
              <w:jc w:val="center"/>
            </w:pPr>
            <w:r/>
            <w:r>
              <w:rPr>
                <w:sz w:val="16"/>
              </w:rPr>
              <w:t>0.297</w:t>
            </w:r>
          </w:p>
        </w:tc>
        <w:tc>
          <w:tcPr>
            <w:tcW w:type="dxa" w:w="864"/>
          </w:tcPr>
          <w:p>
            <w:pPr>
              <w:spacing w:after="0" w:line="240" w:lineRule="auto"/>
              <w:jc w:val="center"/>
            </w:pPr>
            <w:r/>
            <w:r>
              <w:rPr>
                <w:sz w:val="16"/>
              </w:rPr>
              <w:t>3.75</w:t>
            </w:r>
          </w:p>
        </w:tc>
        <w:tc>
          <w:tcPr>
            <w:tcW w:type="dxa" w:w="864"/>
          </w:tcPr>
          <w:p>
            <w:pPr>
              <w:spacing w:after="0" w:line="240" w:lineRule="auto"/>
              <w:jc w:val="center"/>
            </w:pPr>
            <w:r/>
            <w:r>
              <w:rPr>
                <w:sz w:val="16"/>
              </w:rPr>
              <w:t>0.215</w:t>
            </w:r>
          </w:p>
        </w:tc>
        <w:tc>
          <w:tcPr>
            <w:tcW w:type="dxa" w:w="1512"/>
          </w:tcPr>
          <w:p>
            <w:pPr>
              <w:spacing w:after="0" w:line="240" w:lineRule="auto"/>
              <w:jc w:val="center"/>
            </w:pPr>
            <w:r/>
            <w:r>
              <w:rPr>
                <w:sz w:val="16"/>
              </w:rPr>
              <w:t>0.0792</w:t>
            </w:r>
          </w:p>
        </w:tc>
        <w:tc>
          <w:tcPr>
            <w:tcW w:type="dxa" w:w="1152"/>
          </w:tcPr>
          <w:p>
            <w:pPr>
              <w:spacing w:after="0" w:line="240" w:lineRule="auto"/>
              <w:jc w:val="center"/>
            </w:pPr>
            <w:r/>
            <w:r>
              <w:rPr>
                <w:sz w:val="16"/>
              </w:rPr>
              <w:t>21.1</w:t>
            </w:r>
          </w:p>
        </w:tc>
        <w:tc>
          <w:tcPr>
            <w:tcW w:type="dxa" w:w="1224"/>
          </w:tcPr>
          <w:p>
            <w:pPr>
              <w:spacing w:after="0" w:line="240" w:lineRule="auto"/>
              <w:jc w:val="center"/>
            </w:pPr>
            <w:r/>
            <w:r>
              <w:rPr>
                <w:sz w:val="16"/>
              </w:rPr>
              <w:t>07/25/2047</w:t>
            </w:r>
          </w:p>
        </w:tc>
      </w:tr>
      <w:tr>
        <w:trPr>
          <w:cantSplit w:val="true"/>
        </w:trPr>
        <w:tc>
          <w:tcPr>
            <w:tcW w:type="dxa" w:w="3024"/>
          </w:tcPr>
          <w:p>
            <w:pPr>
              <w:spacing w:after="0" w:line="240" w:lineRule="auto"/>
            </w:pPr>
            <w:r/>
            <w:r>
              <w:rPr>
                <w:sz w:val="16"/>
              </w:rPr>
              <w:t>t-min with E = 0.85</w:t>
            </w:r>
          </w:p>
        </w:tc>
        <w:tc>
          <w:tcPr>
            <w:tcW w:type="dxa" w:w="1152"/>
          </w:tcPr>
          <w:p>
            <w:pPr>
              <w:spacing w:after="0" w:line="240" w:lineRule="auto"/>
              <w:jc w:val="center"/>
            </w:pPr>
            <w:r/>
            <w:r>
              <w:rPr>
                <w:sz w:val="16"/>
              </w:rPr>
              <w:t>0.303</w:t>
            </w:r>
          </w:p>
        </w:tc>
        <w:tc>
          <w:tcPr>
            <w:tcW w:type="dxa" w:w="864"/>
          </w:tcPr>
          <w:p>
            <w:pPr>
              <w:spacing w:after="0" w:line="240" w:lineRule="auto"/>
              <w:jc w:val="center"/>
            </w:pPr>
            <w:r/>
            <w:r>
              <w:rPr>
                <w:sz w:val="16"/>
              </w:rPr>
              <w:t>3.75</w:t>
            </w:r>
          </w:p>
        </w:tc>
        <w:tc>
          <w:tcPr>
            <w:tcW w:type="dxa" w:w="864"/>
          </w:tcPr>
          <w:p>
            <w:pPr>
              <w:spacing w:after="0" w:line="240" w:lineRule="auto"/>
              <w:jc w:val="center"/>
            </w:pPr>
            <w:r/>
            <w:r>
              <w:rPr>
                <w:sz w:val="16"/>
              </w:rPr>
              <w:t>0.223</w:t>
            </w:r>
          </w:p>
        </w:tc>
        <w:tc>
          <w:tcPr>
            <w:tcW w:type="dxa" w:w="1512"/>
          </w:tcPr>
          <w:p>
            <w:pPr>
              <w:spacing w:after="0" w:line="240" w:lineRule="auto"/>
              <w:jc w:val="center"/>
            </w:pPr>
            <w:r/>
            <w:r>
              <w:rPr>
                <w:sz w:val="16"/>
              </w:rPr>
              <w:t>0.0772</w:t>
            </w:r>
          </w:p>
        </w:tc>
        <w:tc>
          <w:tcPr>
            <w:tcW w:type="dxa" w:w="1152"/>
          </w:tcPr>
          <w:p>
            <w:pPr>
              <w:spacing w:after="0" w:line="240" w:lineRule="auto"/>
              <w:jc w:val="center"/>
            </w:pPr>
            <w:r/>
            <w:r>
              <w:rPr>
                <w:sz w:val="16"/>
              </w:rPr>
              <w:t>20.6</w:t>
            </w:r>
          </w:p>
        </w:tc>
        <w:tc>
          <w:tcPr>
            <w:tcW w:type="dxa" w:w="1224"/>
          </w:tcPr>
          <w:p>
            <w:pPr>
              <w:spacing w:after="0" w:line="240" w:lineRule="auto"/>
              <w:jc w:val="center"/>
            </w:pPr>
            <w:r/>
            <w:r>
              <w:rPr>
                <w:sz w:val="16"/>
              </w:rPr>
              <w:t>01/12/2047</w:t>
            </w:r>
          </w:p>
        </w:tc>
      </w:tr>
      <w:tr>
        <w:trPr>
          <w:cantSplit w:val="true"/>
        </w:trPr>
        <w:tc>
          <w:tcPr>
            <w:tcW w:type="dxa" w:w="3024"/>
          </w:tcPr>
          <w:p>
            <w:pPr>
              <w:spacing w:after="0" w:line="240" w:lineRule="auto"/>
            </w:pPr>
            <w:r/>
            <w:r>
              <w:rPr>
                <w:sz w:val="16"/>
              </w:rPr>
              <w:t>t-min with E = 1.00</w:t>
            </w:r>
          </w:p>
        </w:tc>
        <w:tc>
          <w:tcPr>
            <w:tcW w:type="dxa" w:w="1152"/>
          </w:tcPr>
          <w:p>
            <w:pPr>
              <w:spacing w:after="0" w:line="240" w:lineRule="auto"/>
              <w:jc w:val="center"/>
            </w:pPr>
            <w:r/>
            <w:r>
              <w:rPr>
                <w:sz w:val="16"/>
              </w:rPr>
              <w:t>0.303</w:t>
            </w:r>
          </w:p>
        </w:tc>
        <w:tc>
          <w:tcPr>
            <w:tcW w:type="dxa" w:w="864"/>
          </w:tcPr>
          <w:p>
            <w:pPr>
              <w:spacing w:after="0" w:line="240" w:lineRule="auto"/>
              <w:jc w:val="center"/>
            </w:pPr>
            <w:r/>
            <w:r>
              <w:rPr>
                <w:sz w:val="16"/>
              </w:rPr>
              <w:t>3.75</w:t>
            </w:r>
          </w:p>
        </w:tc>
        <w:tc>
          <w:tcPr>
            <w:tcW w:type="dxa" w:w="864"/>
          </w:tcPr>
          <w:p>
            <w:pPr>
              <w:spacing w:after="0" w:line="240" w:lineRule="auto"/>
              <w:jc w:val="center"/>
            </w:pPr>
            <w:r/>
            <w:r>
              <w:rPr>
                <w:sz w:val="16"/>
              </w:rPr>
              <w:t>0.189</w:t>
            </w:r>
          </w:p>
        </w:tc>
        <w:tc>
          <w:tcPr>
            <w:tcW w:type="dxa" w:w="1512"/>
          </w:tcPr>
          <w:p>
            <w:pPr>
              <w:spacing w:after="0" w:line="240" w:lineRule="auto"/>
              <w:jc w:val="center"/>
            </w:pPr>
            <w:r/>
            <w:r>
              <w:rPr>
                <w:sz w:val="16"/>
              </w:rPr>
              <w:t>0.1112</w:t>
            </w:r>
          </w:p>
        </w:tc>
        <w:tc>
          <w:tcPr>
            <w:tcW w:type="dxa" w:w="1152"/>
          </w:tcPr>
          <w:p>
            <w:pPr>
              <w:spacing w:after="0" w:line="240" w:lineRule="auto"/>
              <w:jc w:val="center"/>
            </w:pPr>
            <w:r/>
            <w:r>
              <w:rPr>
                <w:sz w:val="16"/>
              </w:rPr>
              <w:t>29.6</w:t>
            </w:r>
          </w:p>
        </w:tc>
        <w:tc>
          <w:tcPr>
            <w:tcW w:type="dxa" w:w="1224"/>
          </w:tcPr>
          <w:p>
            <w:pPr>
              <w:spacing w:after="0" w:line="240" w:lineRule="auto"/>
              <w:jc w:val="center"/>
            </w:pPr>
            <w:r/>
            <w:r>
              <w:rPr>
                <w:sz w:val="16"/>
              </w:rPr>
              <w:t>02/05/2056</w:t>
            </w:r>
          </w:p>
        </w:tc>
      </w:tr>
      <w:tr>
        <w:trPr>
          <w:cantSplit w:val="true"/>
        </w:trPr>
        <w:tc>
          <w:tcPr>
            <w:tcW w:type="dxa" w:w="3024"/>
          </w:tcPr>
          <w:p>
            <w:pPr>
              <w:spacing w:after="0" w:line="240" w:lineRule="auto"/>
            </w:pPr>
            <w:r/>
            <w:r>
              <w:rPr>
                <w:sz w:val="16"/>
              </w:rPr>
              <w:t>Combined adverse (0.297 in / 3.9 mpy / 0.223 in)</w:t>
            </w:r>
          </w:p>
        </w:tc>
        <w:tc>
          <w:tcPr>
            <w:tcW w:type="dxa" w:w="1152"/>
          </w:tcPr>
          <w:p>
            <w:pPr>
              <w:spacing w:after="0" w:line="240" w:lineRule="auto"/>
              <w:jc w:val="center"/>
            </w:pPr>
            <w:r/>
            <w:r>
              <w:rPr>
                <w:sz w:val="16"/>
              </w:rPr>
              <w:t>0.297</w:t>
            </w:r>
          </w:p>
        </w:tc>
        <w:tc>
          <w:tcPr>
            <w:tcW w:type="dxa" w:w="864"/>
          </w:tcPr>
          <w:p>
            <w:pPr>
              <w:spacing w:after="0" w:line="240" w:lineRule="auto"/>
              <w:jc w:val="center"/>
            </w:pPr>
            <w:r/>
            <w:r>
              <w:rPr>
                <w:sz w:val="16"/>
              </w:rPr>
              <w:t>3.90</w:t>
            </w:r>
          </w:p>
        </w:tc>
        <w:tc>
          <w:tcPr>
            <w:tcW w:type="dxa" w:w="864"/>
          </w:tcPr>
          <w:p>
            <w:pPr>
              <w:spacing w:after="0" w:line="240" w:lineRule="auto"/>
              <w:jc w:val="center"/>
            </w:pPr>
            <w:r/>
            <w:r>
              <w:rPr>
                <w:sz w:val="16"/>
              </w:rPr>
              <w:t>0.223</w:t>
            </w:r>
          </w:p>
        </w:tc>
        <w:tc>
          <w:tcPr>
            <w:tcW w:type="dxa" w:w="1512"/>
          </w:tcPr>
          <w:p>
            <w:pPr>
              <w:spacing w:after="0" w:line="240" w:lineRule="auto"/>
              <w:jc w:val="center"/>
            </w:pPr>
            <w:r/>
            <w:r>
              <w:rPr>
                <w:sz w:val="16"/>
              </w:rPr>
              <w:t>0.0711</w:t>
            </w:r>
          </w:p>
        </w:tc>
        <w:tc>
          <w:tcPr>
            <w:tcW w:type="dxa" w:w="1152"/>
          </w:tcPr>
          <w:p>
            <w:pPr>
              <w:spacing w:after="0" w:line="240" w:lineRule="auto"/>
              <w:jc w:val="center"/>
            </w:pPr>
            <w:r/>
            <w:r>
              <w:rPr>
                <w:sz w:val="16"/>
              </w:rPr>
              <w:t>18.2</w:t>
            </w:r>
          </w:p>
        </w:tc>
        <w:tc>
          <w:tcPr>
            <w:tcW w:type="dxa" w:w="1224"/>
          </w:tcPr>
          <w:p>
            <w:pPr>
              <w:spacing w:after="0" w:line="240" w:lineRule="auto"/>
              <w:jc w:val="center"/>
            </w:pPr>
            <w:r/>
            <w:r>
              <w:rPr>
                <w:sz w:val="16"/>
              </w:rPr>
              <w:t>09/02/2044</w:t>
            </w:r>
          </w:p>
        </w:tc>
      </w:tr>
    </w:tbl>
    <w:p>
      <w:pPr>
        <w:spacing w:after="40"/>
      </w:pPr>
    </w:p>
    <w:p>
      <w:r>
        <w:t>Credible adverse combinations bring the date forward to 2044 – 2048; 03/2049 is the best-supported figure. In every case the life is well beyond the 5-year inspection interval, and no case supports the carried end-2071 date.</w:t>
      </w:r>
    </w:p>
    <w:p>
      <w:pPr>
        <w:pStyle w:val="Heading1"/>
      </w:pPr>
      <w:r>
        <w:t>10. Consequences and recommended actions</w:t>
      </w:r>
    </w:p>
    <w:p>
      <w:pPr>
        <w:pStyle w:val="ListBullet"/>
        <w:spacing w:after="40"/>
      </w:pPr>
      <w:r>
        <w:t xml:space="preserve">The remaining life carried for T-02-003 (46.3 yr: R9 Summary row 11; R7 §3 'well in excess') is overstated by about a factor of two. The corrected basis is </w:t>
      </w:r>
      <w:r>
        <w:rPr>
          <w:b/>
        </w:rPr>
        <w:t>3.75 mpy, 22.7 years as at 06/15/2026, t-min reached about 03/2049</w:t>
      </w:r>
      <w:r>
        <w:t>.</w:t>
      </w:r>
    </w:p>
    <w:p>
      <w:pPr>
        <w:pStyle w:val="ListBullet"/>
        <w:spacing w:after="40"/>
      </w:pPr>
      <w:r>
        <w:t>The shell is still above t-min (about 0.300 in against 0.215 in), and the corrected life still exceeds the planned 5-year external and UT intervals, so the rate correction raises no immediate fitness concern. However, the FFS on file does not state a defensible rate basis, and T-02-003 carries Action Required = Y for the 08/10/2026 FFS deadline (R10). R11 §2 also sets the internal interval on the 'remaining life carried in FFS', so that reference must be updated.</w:t>
      </w:r>
    </w:p>
    <w:p>
      <w:pPr>
        <w:pStyle w:val="ListBullet"/>
        <w:spacing w:after="40"/>
      </w:pPr>
      <w:r>
        <w:t>Finding F-01 (R8) should be closed as a datum artefact rather than carried forward as an unexplained step.</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360"/>
        <w:gridCol w:w="3960"/>
        <w:gridCol w:w="2376"/>
        <w:gridCol w:w="1655"/>
        <w:gridCol w:w="1440"/>
      </w:tblGrid>
      <w:tr>
        <w:trPr>
          <w:tblHeader w:val="true"/>
          <w:cantSplit w:val="true"/>
        </w:trPr>
        <w:tc>
          <w:tcPr>
            <w:tcW w:type="dxa" w:w="360"/>
            <w:shd w:val="clear" w:color="auto" w:fill="D5DEEA"/>
            <w:vAlign w:val="center"/>
          </w:tcPr>
          <w:p>
            <w:pPr>
              <w:spacing w:after="0"/>
            </w:pPr>
            <w:r/>
            <w:r>
              <w:rPr>
                <w:b/>
                <w:sz w:val="16"/>
              </w:rPr>
              <w:t>#</w:t>
            </w:r>
          </w:p>
        </w:tc>
        <w:tc>
          <w:tcPr>
            <w:tcW w:type="dxa" w:w="3960"/>
            <w:shd w:val="clear" w:color="auto" w:fill="D5DEEA"/>
            <w:vAlign w:val="center"/>
          </w:tcPr>
          <w:p>
            <w:pPr>
              <w:spacing w:after="0"/>
            </w:pPr>
            <w:r/>
            <w:r>
              <w:rPr>
                <w:b/>
                <w:sz w:val="16"/>
              </w:rPr>
              <w:t>Action</w:t>
            </w:r>
          </w:p>
        </w:tc>
        <w:tc>
          <w:tcPr>
            <w:tcW w:type="dxa" w:w="2376"/>
            <w:shd w:val="clear" w:color="auto" w:fill="D5DEEA"/>
            <w:vAlign w:val="center"/>
          </w:tcPr>
          <w:p>
            <w:pPr>
              <w:spacing w:after="0"/>
            </w:pPr>
            <w:r/>
            <w:r>
              <w:rPr>
                <w:b/>
                <w:sz w:val="16"/>
              </w:rPr>
              <w:t>Purpose</w:t>
            </w:r>
          </w:p>
        </w:tc>
        <w:tc>
          <w:tcPr>
            <w:tcW w:type="dxa" w:w="1656"/>
            <w:shd w:val="clear" w:color="auto" w:fill="D5DEEA"/>
            <w:vAlign w:val="center"/>
          </w:tcPr>
          <w:p>
            <w:pPr>
              <w:spacing w:after="0"/>
            </w:pPr>
            <w:r/>
            <w:r>
              <w:rPr>
                <w:b/>
                <w:sz w:val="16"/>
              </w:rPr>
              <w:t>Suggested owner</w:t>
            </w:r>
          </w:p>
        </w:tc>
        <w:tc>
          <w:tcPr>
            <w:tcW w:type="dxa" w:w="1440"/>
            <w:shd w:val="clear" w:color="auto" w:fill="D5DEEA"/>
            <w:vAlign w:val="center"/>
          </w:tcPr>
          <w:p>
            <w:pPr>
              <w:spacing w:after="0"/>
            </w:pPr>
            <w:r/>
            <w:r>
              <w:rPr>
                <w:b/>
                <w:sz w:val="16"/>
              </w:rPr>
              <w:t>By</w:t>
            </w:r>
          </w:p>
        </w:tc>
      </w:tr>
      <w:tr>
        <w:trPr>
          <w:cantSplit w:val="true"/>
        </w:trPr>
        <w:tc>
          <w:tcPr>
            <w:tcW w:type="dxa" w:w="360"/>
          </w:tcPr>
          <w:p>
            <w:pPr>
              <w:spacing w:after="0" w:line="240" w:lineRule="auto"/>
            </w:pPr>
            <w:r/>
            <w:r>
              <w:rPr>
                <w:sz w:val="16"/>
              </w:rPr>
              <w:t>1</w:t>
            </w:r>
          </w:p>
        </w:tc>
        <w:tc>
          <w:tcPr>
            <w:tcW w:type="dxa" w:w="3960"/>
          </w:tcPr>
          <w:p>
            <w:pPr>
              <w:spacing w:after="0" w:line="240" w:lineRule="auto"/>
            </w:pPr>
            <w:r/>
            <w:r>
              <w:rPr>
                <w:sz w:val="16"/>
              </w:rPr>
              <w:t>Calibrated external re-survey of course 1 in service. Stations at 6, 18, 30, 48 and 72 in above the weld (= −6, 6, 18, 36 and 60 in above the ringwall) at all 8 octants, bare metal, one stated datum, each reading time-stamped against the calibration log. Confirm in the field the 12 in dimension between the weld line and the top of the ringwall (R3 §4.2) and photograph both datums; both procedures require datum photographs (R3 §6.2, R4 §5.6), and neither is on file</w:t>
            </w:r>
          </w:p>
        </w:tc>
        <w:tc>
          <w:tcPr>
            <w:tcW w:type="dxa" w:w="2376"/>
          </w:tcPr>
          <w:p>
            <w:pPr>
              <w:spacing w:after="0" w:line="240" w:lineRule="auto"/>
            </w:pPr>
            <w:r/>
            <w:r>
              <w:rPr>
                <w:sz w:val="16"/>
              </w:rPr>
              <w:t>Validate 0.303 in; find the 8-octant minimum at 6 in; first like-for-like rate after the event (about 13 months after 06/16/2025); start a rate history at 6 in</w:t>
            </w:r>
          </w:p>
        </w:tc>
        <w:tc>
          <w:tcPr>
            <w:tcW w:type="dxa" w:w="1656"/>
          </w:tcPr>
          <w:p>
            <w:pPr>
              <w:spacing w:after="0" w:line="240" w:lineRule="auto"/>
            </w:pPr>
            <w:r/>
            <w:r>
              <w:rPr>
                <w:sz w:val="16"/>
              </w:rPr>
              <w:t>MI Engineer (J. Merchant)</w:t>
            </w:r>
          </w:p>
        </w:tc>
        <w:tc>
          <w:tcPr>
            <w:tcW w:type="dxa" w:w="1440"/>
          </w:tcPr>
          <w:p>
            <w:pPr>
              <w:spacing w:after="0" w:line="240" w:lineRule="auto"/>
            </w:pPr>
            <w:r/>
            <w:r>
              <w:rPr>
                <w:sz w:val="16"/>
              </w:rPr>
              <w:t>Before 08/10/2026</w:t>
            </w:r>
          </w:p>
        </w:tc>
      </w:tr>
      <w:tr>
        <w:trPr>
          <w:cantSplit w:val="true"/>
        </w:trPr>
        <w:tc>
          <w:tcPr>
            <w:tcW w:type="dxa" w:w="360"/>
          </w:tcPr>
          <w:p>
            <w:pPr>
              <w:spacing w:after="0" w:line="240" w:lineRule="auto"/>
            </w:pPr>
            <w:r/>
            <w:r>
              <w:rPr>
                <w:sz w:val="16"/>
              </w:rPr>
              <w:t>2</w:t>
            </w:r>
          </w:p>
        </w:tc>
        <w:tc>
          <w:tcPr>
            <w:tcW w:type="dxa" w:w="3960"/>
          </w:tcPr>
          <w:p>
            <w:pPr>
              <w:spacing w:after="0" w:line="240" w:lineRule="auto"/>
            </w:pPr>
            <w:r/>
            <w:r>
              <w:rPr>
                <w:sz w:val="16"/>
              </w:rPr>
              <w:t>Query Ashgrove on: re-shoot status of readings voided at 09/12 17:45; calibration record for s/n AG-1147; D. Ferris's certification; identity of reviewer 'M. Okafor'; T-02-003 datum photograph and job instruction (R3 §4.2, §6.2); annotated datum transposition table (R3 §4.4)</w:t>
            </w:r>
          </w:p>
        </w:tc>
        <w:tc>
          <w:tcPr>
            <w:tcW w:type="dxa" w:w="2376"/>
          </w:tcPr>
          <w:p>
            <w:pPr>
              <w:spacing w:after="0" w:line="240" w:lineRule="auto"/>
            </w:pPr>
            <w:r/>
            <w:r>
              <w:rPr>
                <w:sz w:val="16"/>
              </w:rPr>
              <w:t>Close the Section 6 issues</w:t>
            </w:r>
          </w:p>
        </w:tc>
        <w:tc>
          <w:tcPr>
            <w:tcW w:type="dxa" w:w="1656"/>
          </w:tcPr>
          <w:p>
            <w:pPr>
              <w:spacing w:after="0" w:line="240" w:lineRule="auto"/>
            </w:pPr>
            <w:r/>
            <w:r>
              <w:rPr>
                <w:sz w:val="16"/>
              </w:rPr>
              <w:t>MI Engineer / Project Engineer</w:t>
            </w:r>
          </w:p>
        </w:tc>
        <w:tc>
          <w:tcPr>
            <w:tcW w:type="dxa" w:w="1440"/>
          </w:tcPr>
          <w:p>
            <w:pPr>
              <w:spacing w:after="0" w:line="240" w:lineRule="auto"/>
            </w:pPr>
            <w:r/>
            <w:r>
              <w:rPr>
                <w:sz w:val="16"/>
              </w:rPr>
              <w:t>07/2026</w:t>
            </w:r>
          </w:p>
        </w:tc>
      </w:tr>
      <w:tr>
        <w:trPr>
          <w:cantSplit w:val="true"/>
        </w:trPr>
        <w:tc>
          <w:tcPr>
            <w:tcW w:type="dxa" w:w="360"/>
          </w:tcPr>
          <w:p>
            <w:pPr>
              <w:spacing w:after="0" w:line="240" w:lineRule="auto"/>
            </w:pPr>
            <w:r/>
            <w:r>
              <w:rPr>
                <w:sz w:val="16"/>
              </w:rPr>
              <w:t>3</w:t>
            </w:r>
          </w:p>
        </w:tc>
        <w:tc>
          <w:tcPr>
            <w:tcW w:type="dxa" w:w="3960"/>
          </w:tcPr>
          <w:p>
            <w:pPr>
              <w:spacing w:after="0" w:line="240" w:lineRule="auto"/>
            </w:pPr>
            <w:r/>
            <w:r>
              <w:rPr>
                <w:sz w:val="16"/>
              </w:rPr>
              <w:t>Retrieve the original CB-UT-2021-019 report and confirm its grid and datum</w:t>
            </w:r>
          </w:p>
        </w:tc>
        <w:tc>
          <w:tcPr>
            <w:tcW w:type="dxa" w:w="2376"/>
          </w:tcPr>
          <w:p>
            <w:pPr>
              <w:spacing w:after="0" w:line="240" w:lineRule="auto"/>
            </w:pPr>
            <w:r/>
            <w:r>
              <w:rPr>
                <w:sz w:val="16"/>
              </w:rPr>
              <w:t>Confirm the basis of the 3.75 mpy rate</w:t>
            </w:r>
          </w:p>
        </w:tc>
        <w:tc>
          <w:tcPr>
            <w:tcW w:type="dxa" w:w="1656"/>
          </w:tcPr>
          <w:p>
            <w:pPr>
              <w:spacing w:after="0" w:line="240" w:lineRule="auto"/>
            </w:pPr>
            <w:r/>
            <w:r>
              <w:rPr>
                <w:sz w:val="16"/>
              </w:rPr>
              <w:t>Eng. Administrator / MI Engineer</w:t>
            </w:r>
          </w:p>
        </w:tc>
        <w:tc>
          <w:tcPr>
            <w:tcW w:type="dxa" w:w="1440"/>
          </w:tcPr>
          <w:p>
            <w:pPr>
              <w:spacing w:after="0" w:line="240" w:lineRule="auto"/>
            </w:pPr>
            <w:r/>
            <w:r>
              <w:rPr>
                <w:sz w:val="16"/>
              </w:rPr>
              <w:t>07/2026</w:t>
            </w:r>
          </w:p>
        </w:tc>
      </w:tr>
      <w:tr>
        <w:trPr>
          <w:cantSplit w:val="true"/>
        </w:trPr>
        <w:tc>
          <w:tcPr>
            <w:tcW w:type="dxa" w:w="360"/>
          </w:tcPr>
          <w:p>
            <w:pPr>
              <w:spacing w:after="0" w:line="240" w:lineRule="auto"/>
            </w:pPr>
            <w:r/>
            <w:r>
              <w:rPr>
                <w:sz w:val="16"/>
              </w:rPr>
              <w:t>4</w:t>
            </w:r>
          </w:p>
        </w:tc>
        <w:tc>
          <w:tcPr>
            <w:tcW w:type="dxa" w:w="3960"/>
          </w:tcPr>
          <w:p>
            <w:pPr>
              <w:spacing w:after="0" w:line="240" w:lineRule="auto"/>
            </w:pPr>
            <w:r/>
            <w:r>
              <w:rPr>
                <w:sz w:val="16"/>
              </w:rPr>
              <w:t>Re-issue FFS TC-MECH-FFS-0059 stating: the rate basis and interval; the governing location with its datum; the t-min derivation; the current wind basis (70 m/s, TC-CIV-WIND-0045, replacing the superseded 45 m/s). Reconcile with tracker entry TC-MECH-FFS-0121</w:t>
            </w:r>
          </w:p>
        </w:tc>
        <w:tc>
          <w:tcPr>
            <w:tcW w:type="dxa" w:w="2376"/>
          </w:tcPr>
          <w:p>
            <w:pPr>
              <w:spacing w:after="0" w:line="240" w:lineRule="auto"/>
            </w:pPr>
            <w:r/>
            <w:r>
              <w:rPr>
                <w:sz w:val="16"/>
              </w:rPr>
              <w:t>Meet TC-MECH-PROC-0007 §4</w:t>
            </w:r>
          </w:p>
        </w:tc>
        <w:tc>
          <w:tcPr>
            <w:tcW w:type="dxa" w:w="1656"/>
          </w:tcPr>
          <w:p>
            <w:pPr>
              <w:spacing w:after="0" w:line="240" w:lineRule="auto"/>
            </w:pPr>
            <w:r/>
            <w:r>
              <w:rPr>
                <w:sz w:val="16"/>
              </w:rPr>
              <w:t>MI Engineer; certify S. David</w:t>
            </w:r>
          </w:p>
        </w:tc>
        <w:tc>
          <w:tcPr>
            <w:tcW w:type="dxa" w:w="1440"/>
          </w:tcPr>
          <w:p>
            <w:pPr>
              <w:spacing w:after="0" w:line="240" w:lineRule="auto"/>
            </w:pPr>
            <w:r/>
            <w:r>
              <w:rPr>
                <w:sz w:val="16"/>
              </w:rPr>
              <w:t>Before 08/10/2026</w:t>
            </w:r>
          </w:p>
        </w:tc>
      </w:tr>
      <w:tr>
        <w:trPr>
          <w:cantSplit w:val="true"/>
        </w:trPr>
        <w:tc>
          <w:tcPr>
            <w:tcW w:type="dxa" w:w="360"/>
          </w:tcPr>
          <w:p>
            <w:pPr>
              <w:spacing w:after="0" w:line="240" w:lineRule="auto"/>
            </w:pPr>
            <w:r/>
            <w:r>
              <w:rPr>
                <w:sz w:val="16"/>
              </w:rPr>
              <w:t>5</w:t>
            </w:r>
          </w:p>
        </w:tc>
        <w:tc>
          <w:tcPr>
            <w:tcW w:type="dxa" w:w="3960"/>
          </w:tcPr>
          <w:p>
            <w:pPr>
              <w:spacing w:after="0" w:line="240" w:lineRule="auto"/>
            </w:pPr>
            <w:r/>
            <w:r>
              <w:rPr>
                <w:sz w:val="16"/>
              </w:rPr>
              <w:t>Correct workbook TC-MECH-CALC-0075 (T-02-003 sheet; Summary row 11) and add a datum column to every sheet</w:t>
            </w:r>
          </w:p>
        </w:tc>
        <w:tc>
          <w:tcPr>
            <w:tcW w:type="dxa" w:w="2376"/>
          </w:tcPr>
          <w:p>
            <w:pPr>
              <w:spacing w:after="0" w:line="240" w:lineRule="auto"/>
            </w:pPr>
            <w:r/>
            <w:r>
              <w:rPr>
                <w:sz w:val="16"/>
              </w:rPr>
              <w:t>Remove 1.9 mpy / 46.3 yr</w:t>
            </w:r>
          </w:p>
        </w:tc>
        <w:tc>
          <w:tcPr>
            <w:tcW w:type="dxa" w:w="1656"/>
          </w:tcPr>
          <w:p>
            <w:pPr>
              <w:spacing w:after="0" w:line="240" w:lineRule="auto"/>
            </w:pPr>
            <w:r/>
            <w:r>
              <w:rPr>
                <w:sz w:val="16"/>
              </w:rPr>
              <w:t>MI Engineer; check J. Peters</w:t>
            </w:r>
          </w:p>
        </w:tc>
        <w:tc>
          <w:tcPr>
            <w:tcW w:type="dxa" w:w="1440"/>
          </w:tcPr>
          <w:p>
            <w:pPr>
              <w:spacing w:after="0" w:line="240" w:lineRule="auto"/>
            </w:pPr>
            <w:r/>
            <w:r>
              <w:rPr>
                <w:sz w:val="16"/>
              </w:rPr>
              <w:t>With action 4</w:t>
            </w:r>
          </w:p>
        </w:tc>
      </w:tr>
      <w:tr>
        <w:trPr>
          <w:cantSplit w:val="true"/>
        </w:trPr>
        <w:tc>
          <w:tcPr>
            <w:tcW w:type="dxa" w:w="360"/>
          </w:tcPr>
          <w:p>
            <w:pPr>
              <w:spacing w:after="0" w:line="240" w:lineRule="auto"/>
            </w:pPr>
            <w:r/>
            <w:r>
              <w:rPr>
                <w:sz w:val="16"/>
              </w:rPr>
              <w:t>6</w:t>
            </w:r>
          </w:p>
        </w:tc>
        <w:tc>
          <w:tcPr>
            <w:tcW w:type="dxa" w:w="3960"/>
          </w:tcPr>
          <w:p>
            <w:pPr>
              <w:spacing w:after="0" w:line="240" w:lineRule="auto"/>
            </w:pPr>
            <w:r/>
            <w:r>
              <w:rPr>
                <w:sz w:val="16"/>
              </w:rPr>
              <w:t>Re-issue inspection report TC-MECH-INSP-0163 under a current certificate. It was signed 01/14/2026, during the API 653 lapse of 11/30/2025 – 02/20/2026 (R19; R18 §3). Correct F-01 and the UT method description</w:t>
            </w:r>
          </w:p>
        </w:tc>
        <w:tc>
          <w:tcPr>
            <w:tcW w:type="dxa" w:w="2376"/>
          </w:tcPr>
          <w:p>
            <w:pPr>
              <w:spacing w:after="0" w:line="240" w:lineRule="auto"/>
            </w:pPr>
            <w:r/>
            <w:r>
              <w:rPr>
                <w:sz w:val="16"/>
              </w:rPr>
              <w:t>Certified evidence</w:t>
            </w:r>
          </w:p>
        </w:tc>
        <w:tc>
          <w:tcPr>
            <w:tcW w:type="dxa" w:w="1656"/>
          </w:tcPr>
          <w:p>
            <w:pPr>
              <w:spacing w:after="0" w:line="240" w:lineRule="auto"/>
            </w:pPr>
            <w:r/>
            <w:r>
              <w:rPr>
                <w:sz w:val="16"/>
              </w:rPr>
              <w:t>S. David</w:t>
            </w:r>
          </w:p>
        </w:tc>
        <w:tc>
          <w:tcPr>
            <w:tcW w:type="dxa" w:w="1440"/>
          </w:tcPr>
          <w:p>
            <w:pPr>
              <w:spacing w:after="0" w:line="240" w:lineRule="auto"/>
            </w:pPr>
            <w:r/>
            <w:r>
              <w:rPr>
                <w:sz w:val="16"/>
              </w:rPr>
              <w:t>Before 08/10/2026</w:t>
            </w:r>
          </w:p>
        </w:tc>
      </w:tr>
      <w:tr>
        <w:trPr>
          <w:cantSplit w:val="true"/>
        </w:trPr>
        <w:tc>
          <w:tcPr>
            <w:tcW w:type="dxa" w:w="360"/>
          </w:tcPr>
          <w:p>
            <w:pPr>
              <w:spacing w:after="0" w:line="240" w:lineRule="auto"/>
            </w:pPr>
            <w:r/>
            <w:r>
              <w:rPr>
                <w:sz w:val="16"/>
              </w:rPr>
              <w:t>7</w:t>
            </w:r>
          </w:p>
        </w:tc>
        <w:tc>
          <w:tcPr>
            <w:tcW w:type="dxa" w:w="3960"/>
          </w:tcPr>
          <w:p>
            <w:pPr>
              <w:spacing w:after="0" w:line="240" w:lineRule="auto"/>
            </w:pPr>
            <w:r/>
            <w:r>
              <w:rPr>
                <w:sz w:val="16"/>
              </w:rPr>
              <w:t>Fill in the blank 'Grid density and datum convention' bullets in R11: one site datum (or mandatory transposition), and the owner's grid to be re-read by any contractor</w:t>
            </w:r>
          </w:p>
        </w:tc>
        <w:tc>
          <w:tcPr>
            <w:tcW w:type="dxa" w:w="2376"/>
          </w:tcPr>
          <w:p>
            <w:pPr>
              <w:spacing w:after="0" w:line="240" w:lineRule="auto"/>
            </w:pPr>
            <w:r/>
            <w:r>
              <w:rPr>
                <w:sz w:val="16"/>
              </w:rPr>
              <w:t>Prevent recurrence</w:t>
            </w:r>
          </w:p>
        </w:tc>
        <w:tc>
          <w:tcPr>
            <w:tcW w:type="dxa" w:w="1656"/>
          </w:tcPr>
          <w:p>
            <w:pPr>
              <w:spacing w:after="0" w:line="240" w:lineRule="auto"/>
            </w:pPr>
            <w:r/>
            <w:r>
              <w:rPr>
                <w:sz w:val="16"/>
              </w:rPr>
              <w:t>MI Engineer</w:t>
            </w:r>
          </w:p>
        </w:tc>
        <w:tc>
          <w:tcPr>
            <w:tcW w:type="dxa" w:w="1440"/>
          </w:tcPr>
          <w:p>
            <w:pPr>
              <w:spacing w:after="0" w:line="240" w:lineRule="auto"/>
            </w:pPr>
            <w:r/>
            <w:r>
              <w:rPr>
                <w:sz w:val="16"/>
              </w:rPr>
              <w:t>Plan Rev B</w:t>
            </w:r>
          </w:p>
        </w:tc>
      </w:tr>
      <w:tr>
        <w:trPr>
          <w:cantSplit w:val="true"/>
        </w:trPr>
        <w:tc>
          <w:tcPr>
            <w:tcW w:type="dxa" w:w="360"/>
          </w:tcPr>
          <w:p>
            <w:pPr>
              <w:spacing w:after="0" w:line="240" w:lineRule="auto"/>
            </w:pPr>
            <w:r/>
            <w:r>
              <w:rPr>
                <w:sz w:val="16"/>
              </w:rPr>
              <w:t>8</w:t>
            </w:r>
          </w:p>
        </w:tc>
        <w:tc>
          <w:tcPr>
            <w:tcW w:type="dxa" w:w="3960"/>
          </w:tcPr>
          <w:p>
            <w:pPr>
              <w:spacing w:after="0" w:line="240" w:lineRule="auto"/>
            </w:pPr>
            <w:r/>
            <w:r>
              <w:rPr>
                <w:sz w:val="16"/>
              </w:rPr>
              <w:t>Complete the category reassessment for PCN-2025-039 (R18 §5.2). Resolve the conflicting vapour-space descriptions: PCN 'N2 blanket 15 mbar', PDS 'not fitted', MOC-2023-031 VRU tie-in</w:t>
            </w:r>
          </w:p>
        </w:tc>
        <w:tc>
          <w:tcPr>
            <w:tcW w:type="dxa" w:w="2376"/>
          </w:tcPr>
          <w:p>
            <w:pPr>
              <w:spacing w:after="0" w:line="240" w:lineRule="auto"/>
            </w:pPr>
            <w:r/>
            <w:r>
              <w:rPr>
                <w:sz w:val="16"/>
              </w:rPr>
              <w:t>Basis for corrosivity after the event</w:t>
            </w:r>
          </w:p>
        </w:tc>
        <w:tc>
          <w:tcPr>
            <w:tcW w:type="dxa" w:w="1656"/>
          </w:tcPr>
          <w:p>
            <w:pPr>
              <w:spacing w:after="0" w:line="240" w:lineRule="auto"/>
            </w:pPr>
            <w:r/>
            <w:r>
              <w:rPr>
                <w:sz w:val="16"/>
              </w:rPr>
              <w:t>Process Engineer / MI Engineer</w:t>
            </w:r>
          </w:p>
        </w:tc>
        <w:tc>
          <w:tcPr>
            <w:tcW w:type="dxa" w:w="1440"/>
          </w:tcPr>
          <w:p>
            <w:pPr>
              <w:spacing w:after="0" w:line="240" w:lineRule="auto"/>
            </w:pPr>
            <w:r/>
            <w:r>
              <w:rPr>
                <w:sz w:val="16"/>
              </w:rPr>
              <w:t>07/2026</w:t>
            </w:r>
          </w:p>
        </w:tc>
      </w:tr>
    </w:tbl>
    <w:p>
      <w:pPr>
        <w:spacing w:after="40"/>
      </w:pPr>
    </w:p>
    <w:p>
      <w:pPr>
        <w:pStyle w:val="Heading1"/>
      </w:pPr>
      <w:r>
        <w:t>11. Other record observations (do not change the result)</w:t>
      </w:r>
    </w:p>
    <w:p>
      <w:pPr>
        <w:pStyle w:val="ListBullet"/>
        <w:spacing w:after="40"/>
      </w:pPr>
      <w:r>
        <w:rPr>
          <w:sz w:val="18"/>
        </w:rPr>
        <w:t>R7 §2 cites the construction pack's 'fabricator MTR set' for the 0.375 in thickness, but the pack does not contain MTRs (R13 §1). The 0.375 in nominal is supported by R14, which notes it is a design-drawing value, not a measured one.</w:t>
      </w:r>
    </w:p>
    <w:p>
      <w:pPr>
        <w:pStyle w:val="ListBullet"/>
        <w:spacing w:after="40"/>
      </w:pPr>
      <w:r>
        <w:rPr>
          <w:sz w:val="18"/>
        </w:rPr>
        <w:t>R7 §4 uses 45 m/s from the 2023 wind study, superseded from 01/2026 by 70 m/s (TC-CIV-WIND-0045). The FFS tracker (R20) lists 'TC-MECH-FFS-0121, signed 01/20/2026, 70 m/s' for T-02-003. That is not the FFS on file, and the date falls within the certificate lapse.</w:t>
      </w:r>
    </w:p>
    <w:p>
      <w:pPr>
        <w:pStyle w:val="ListBullet"/>
        <w:spacing w:after="40"/>
      </w:pPr>
      <w:r>
        <w:rPr>
          <w:sz w:val="18"/>
        </w:rPr>
        <w:t>R8 §3 describes a Panametrics V112-RM single-element 0.25 in transducer with averaged readings, whereas R1 and R3 record an Olympus D790 dual-element probe and the minimum of three readings. R8's inspector (K. Berensen) is not on R1's personnel list.</w:t>
      </w:r>
    </w:p>
    <w:p>
      <w:pPr>
        <w:pStyle w:val="ListBullet"/>
        <w:spacing w:after="40"/>
      </w:pPr>
      <w:r>
        <w:rPr>
          <w:sz w:val="18"/>
        </w:rPr>
        <w:t>R8 F-05 says the process data sheet does not reflect PCN-2025-039, but R12 (Rev 2, 06/24/2025) does.</w:t>
      </w:r>
    </w:p>
    <w:p>
      <w:pPr>
        <w:pStyle w:val="ListBullet"/>
        <w:spacing w:after="40"/>
      </w:pPr>
      <w:r>
        <w:rPr>
          <w:sz w:val="18"/>
        </w:rPr>
        <w:t>The Ashgrove calibration log ends 09/15/2025 (R5), yet R9 records Ashgrove readings on 09/16 (T-03-002) and 09/17 (T-03-003), and R6 is dated 09/17.</w:t>
      </w:r>
    </w:p>
    <w:p>
      <w:pPr>
        <w:pStyle w:val="ListBullet"/>
        <w:spacing w:after="40"/>
      </w:pPr>
      <w:r>
        <w:rPr>
          <w:sz w:val="18"/>
        </w:rPr>
        <w:t>Course 5 readings on 09/12/2025 were taken from the ladder cage without proper access, and the site fitter declined to accept them (R20, fitter note '12/9'). Course 5 does not govern.</w:t>
      </w:r>
    </w:p>
    <w:p>
      <w:pPr>
        <w:pStyle w:val="ListBullet"/>
        <w:spacing w:after="40"/>
      </w:pPr>
      <w:r>
        <w:rPr>
          <w:sz w:val="18"/>
        </w:rPr>
        <w:t>Last internal inspection: R11 gives 2018 (Cordell Bayou legacy), while R10 gives 11/02/2019.</w:t>
      </w:r>
    </w:p>
    <w:p>
      <w:pPr>
        <w:pStyle w:val="ListBullet"/>
        <w:spacing w:after="40"/>
      </w:pPr>
      <w:r>
        <w:rPr>
          <w:sz w:val="18"/>
        </w:rPr>
        <w:t>R9 gives t-min of 0.171 / 0.127 in for courses 2 / 3, against 0.170 / 0.140 in R8.</w:t>
      </w:r>
    </w:p>
    <w:p>
      <w:pPr>
        <w:pStyle w:val="Heading1"/>
      </w:pPr>
      <w:r>
        <w:t>Appendix A — Course 1 readings on a common datum, all quadrants</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648"/>
        <w:gridCol w:w="864"/>
        <w:gridCol w:w="1152"/>
        <w:gridCol w:w="1080"/>
        <w:gridCol w:w="864"/>
        <w:gridCol w:w="1152"/>
        <w:gridCol w:w="1080"/>
        <w:gridCol w:w="864"/>
        <w:gridCol w:w="864"/>
        <w:gridCol w:w="1224"/>
      </w:tblGrid>
      <w:tr>
        <w:trPr>
          <w:tblHeader w:val="true"/>
          <w:cantSplit w:val="true"/>
        </w:trPr>
        <w:tc>
          <w:tcPr>
            <w:tcW w:type="dxa" w:w="648"/>
            <w:shd w:val="clear" w:color="auto" w:fill="D5DEEA"/>
            <w:vAlign w:val="center"/>
          </w:tcPr>
          <w:p>
            <w:pPr>
              <w:spacing w:after="0"/>
            </w:pPr>
            <w:r/>
            <w:r>
              <w:rPr>
                <w:b/>
                <w:sz w:val="15"/>
              </w:rPr>
              <w:t>Quad.</w:t>
            </w:r>
          </w:p>
        </w:tc>
        <w:tc>
          <w:tcPr>
            <w:tcW w:type="dxa" w:w="864"/>
            <w:shd w:val="clear" w:color="auto" w:fill="D5DEEA"/>
            <w:vAlign w:val="center"/>
          </w:tcPr>
          <w:p>
            <w:pPr>
              <w:spacing w:after="0"/>
            </w:pPr>
            <w:r/>
            <w:r>
              <w:rPr>
                <w:b/>
                <w:sz w:val="15"/>
              </w:rPr>
              <w:t>Elev. above weld (in)</w:t>
            </w:r>
          </w:p>
        </w:tc>
        <w:tc>
          <w:tcPr>
            <w:tcW w:type="dxa" w:w="1152"/>
            <w:shd w:val="clear" w:color="auto" w:fill="D5DEEA"/>
            <w:vAlign w:val="center"/>
          </w:tcPr>
          <w:p>
            <w:pPr>
              <w:spacing w:after="0"/>
            </w:pPr>
            <w:r/>
            <w:r>
              <w:rPr>
                <w:b/>
                <w:sz w:val="15"/>
              </w:rPr>
              <w:t>MF grid</w:t>
            </w:r>
          </w:p>
        </w:tc>
        <w:tc>
          <w:tcPr>
            <w:tcW w:type="dxa" w:w="1080"/>
            <w:shd w:val="clear" w:color="auto" w:fill="D5DEEA"/>
            <w:vAlign w:val="center"/>
          </w:tcPr>
          <w:p>
            <w:pPr>
              <w:spacing w:after="0"/>
            </w:pPr>
            <w:r/>
            <w:r>
              <w:rPr>
                <w:b/>
                <w:sz w:val="15"/>
              </w:rPr>
              <w:t>AG grid</w:t>
            </w:r>
          </w:p>
        </w:tc>
        <w:tc>
          <w:tcPr>
            <w:tcW w:type="dxa" w:w="864"/>
            <w:shd w:val="clear" w:color="auto" w:fill="D5DEEA"/>
            <w:vAlign w:val="center"/>
          </w:tcPr>
          <w:p>
            <w:pPr>
              <w:spacing w:after="0"/>
            </w:pPr>
            <w:r/>
            <w:r>
              <w:rPr>
                <w:b/>
                <w:sz w:val="15"/>
              </w:rPr>
              <w:t>CB 04/2021 (in)</w:t>
            </w:r>
          </w:p>
        </w:tc>
        <w:tc>
          <w:tcPr>
            <w:tcW w:type="dxa" w:w="1152"/>
            <w:shd w:val="clear" w:color="auto" w:fill="D5DEEA"/>
            <w:vAlign w:val="center"/>
          </w:tcPr>
          <w:p>
            <w:pPr>
              <w:spacing w:after="0"/>
            </w:pPr>
            <w:r/>
            <w:r>
              <w:rPr>
                <w:b/>
                <w:sz w:val="15"/>
              </w:rPr>
              <w:t>MF 04/28/2025 (in)</w:t>
            </w:r>
          </w:p>
        </w:tc>
        <w:tc>
          <w:tcPr>
            <w:tcW w:type="dxa" w:w="1080"/>
            <w:shd w:val="clear" w:color="auto" w:fill="D5DEEA"/>
            <w:vAlign w:val="center"/>
          </w:tcPr>
          <w:p>
            <w:pPr>
              <w:spacing w:after="0"/>
            </w:pPr>
            <w:r/>
            <w:r>
              <w:rPr>
                <w:b/>
                <w:sz w:val="15"/>
              </w:rPr>
              <w:t>AG 09/12/2025 (in)</w:t>
            </w:r>
          </w:p>
        </w:tc>
        <w:tc>
          <w:tcPr>
            <w:tcW w:type="dxa" w:w="864"/>
            <w:shd w:val="clear" w:color="auto" w:fill="D5DEEA"/>
            <w:vAlign w:val="center"/>
          </w:tcPr>
          <w:p>
            <w:pPr>
              <w:spacing w:after="0"/>
            </w:pPr>
            <w:r/>
            <w:r>
              <w:rPr>
                <w:b/>
                <w:sz w:val="15"/>
              </w:rPr>
              <w:t>Loss 21→25 (in)</w:t>
            </w:r>
          </w:p>
        </w:tc>
        <w:tc>
          <w:tcPr>
            <w:tcW w:type="dxa" w:w="864"/>
            <w:shd w:val="clear" w:color="auto" w:fill="D5DEEA"/>
            <w:vAlign w:val="center"/>
          </w:tcPr>
          <w:p>
            <w:pPr>
              <w:spacing w:after="0"/>
            </w:pPr>
            <w:r/>
            <w:r>
              <w:rPr>
                <w:b/>
                <w:sz w:val="15"/>
              </w:rPr>
              <w:t>Rate 21→25 (mpy)</w:t>
            </w:r>
          </w:p>
        </w:tc>
        <w:tc>
          <w:tcPr>
            <w:tcW w:type="dxa" w:w="1224"/>
            <w:shd w:val="clear" w:color="auto" w:fill="D5DEEA"/>
            <w:vAlign w:val="center"/>
          </w:tcPr>
          <w:p>
            <w:pPr>
              <w:spacing w:after="0"/>
            </w:pPr>
            <w:r/>
            <w:r>
              <w:rPr>
                <w:b/>
                <w:sz w:val="15"/>
              </w:rPr>
              <w:t>Change MF→AG (in)</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6</w:t>
            </w:r>
          </w:p>
        </w:tc>
        <w:tc>
          <w:tcPr>
            <w:tcW w:type="dxa" w:w="1152"/>
          </w:tcPr>
          <w:p>
            <w:pPr>
              <w:spacing w:after="0" w:line="240" w:lineRule="auto"/>
            </w:pPr>
            <w:r/>
            <w:r>
              <w:rPr>
                <w:sz w:val="15"/>
              </w:rPr>
              <w:t>—</w:t>
            </w:r>
          </w:p>
        </w:tc>
        <w:tc>
          <w:tcPr>
            <w:tcW w:type="dxa" w:w="1080"/>
          </w:tcPr>
          <w:p>
            <w:pPr>
              <w:spacing w:after="0" w:line="240" w:lineRule="auto"/>
            </w:pPr>
            <w:r/>
            <w:r>
              <w:rPr>
                <w:sz w:val="15"/>
              </w:rPr>
              <w:t>C1-N-6</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0.306</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18</w:t>
            </w:r>
          </w:p>
        </w:tc>
        <w:tc>
          <w:tcPr>
            <w:tcW w:type="dxa" w:w="1152"/>
          </w:tcPr>
          <w:p>
            <w:pPr>
              <w:spacing w:after="0" w:line="240" w:lineRule="auto"/>
            </w:pPr>
            <w:r/>
            <w:r>
              <w:rPr>
                <w:sz w:val="15"/>
              </w:rPr>
              <w:t>C1-N-6</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0.352</w:t>
            </w:r>
          </w:p>
        </w:tc>
        <w:tc>
          <w:tcPr>
            <w:tcW w:type="dxa" w:w="1152"/>
          </w:tcPr>
          <w:p>
            <w:pPr>
              <w:spacing w:after="0" w:line="240" w:lineRule="auto"/>
              <w:jc w:val="center"/>
            </w:pPr>
            <w:r/>
            <w:r>
              <w:rPr>
                <w:sz w:val="15"/>
              </w:rPr>
              <w:t>0.337</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0.015</w:t>
            </w:r>
          </w:p>
        </w:tc>
        <w:tc>
          <w:tcPr>
            <w:tcW w:type="dxa" w:w="864"/>
          </w:tcPr>
          <w:p>
            <w:pPr>
              <w:spacing w:after="0" w:line="240" w:lineRule="auto"/>
              <w:jc w:val="center"/>
            </w:pPr>
            <w:r/>
            <w:r>
              <w:rPr>
                <w:sz w:val="15"/>
              </w:rPr>
              <w:t>3.75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24</w:t>
            </w:r>
          </w:p>
        </w:tc>
        <w:tc>
          <w:tcPr>
            <w:tcW w:type="dxa" w:w="1152"/>
          </w:tcPr>
          <w:p>
            <w:pPr>
              <w:spacing w:after="0" w:line="240" w:lineRule="auto"/>
            </w:pPr>
            <w:r/>
            <w:r>
              <w:rPr>
                <w:sz w:val="15"/>
              </w:rPr>
              <w:t>—</w:t>
            </w:r>
          </w:p>
        </w:tc>
        <w:tc>
          <w:tcPr>
            <w:tcW w:type="dxa" w:w="1080"/>
          </w:tcPr>
          <w:p>
            <w:pPr>
              <w:spacing w:after="0" w:line="240" w:lineRule="auto"/>
            </w:pPr>
            <w:r/>
            <w:r>
              <w:rPr>
                <w:sz w:val="15"/>
              </w:rPr>
              <w:t>C1-N-24</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0.343</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30</w:t>
            </w:r>
          </w:p>
        </w:tc>
        <w:tc>
          <w:tcPr>
            <w:tcW w:type="dxa" w:w="1152"/>
          </w:tcPr>
          <w:p>
            <w:pPr>
              <w:spacing w:after="0" w:line="240" w:lineRule="auto"/>
            </w:pPr>
            <w:r/>
            <w:r>
              <w:rPr>
                <w:sz w:val="15"/>
              </w:rPr>
              <w:t>C1-N-18</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0.363</w:t>
            </w:r>
          </w:p>
        </w:tc>
        <w:tc>
          <w:tcPr>
            <w:tcW w:type="dxa" w:w="1152"/>
          </w:tcPr>
          <w:p>
            <w:pPr>
              <w:spacing w:after="0" w:line="240" w:lineRule="auto"/>
              <w:jc w:val="center"/>
            </w:pPr>
            <w:r/>
            <w:r>
              <w:rPr>
                <w:sz w:val="15"/>
              </w:rPr>
              <w:t>0.350</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0.013</w:t>
            </w:r>
          </w:p>
        </w:tc>
        <w:tc>
          <w:tcPr>
            <w:tcW w:type="dxa" w:w="864"/>
          </w:tcPr>
          <w:p>
            <w:pPr>
              <w:spacing w:after="0" w:line="240" w:lineRule="auto"/>
              <w:jc w:val="center"/>
            </w:pPr>
            <w:r/>
            <w:r>
              <w:rPr>
                <w:sz w:val="15"/>
              </w:rPr>
              <w:t>3.25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48</w:t>
            </w:r>
          </w:p>
        </w:tc>
        <w:tc>
          <w:tcPr>
            <w:tcW w:type="dxa" w:w="1152"/>
          </w:tcPr>
          <w:p>
            <w:pPr>
              <w:spacing w:after="0" w:line="240" w:lineRule="auto"/>
            </w:pPr>
            <w:r/>
            <w:r>
              <w:rPr>
                <w:sz w:val="15"/>
              </w:rPr>
              <w:t>C1-N-36</w:t>
            </w:r>
          </w:p>
        </w:tc>
        <w:tc>
          <w:tcPr>
            <w:tcW w:type="dxa" w:w="1080"/>
          </w:tcPr>
          <w:p>
            <w:pPr>
              <w:spacing w:after="0" w:line="240" w:lineRule="auto"/>
            </w:pPr>
            <w:r/>
            <w:r>
              <w:rPr>
                <w:sz w:val="15"/>
              </w:rPr>
              <w:t>C1-N-48</w:t>
            </w:r>
          </w:p>
        </w:tc>
        <w:tc>
          <w:tcPr>
            <w:tcW w:type="dxa" w:w="864"/>
          </w:tcPr>
          <w:p>
            <w:pPr>
              <w:spacing w:after="0" w:line="240" w:lineRule="auto"/>
              <w:jc w:val="center"/>
            </w:pPr>
            <w:r/>
            <w:r>
              <w:rPr>
                <w:sz w:val="15"/>
              </w:rPr>
              <w:t>0.372</w:t>
            </w:r>
          </w:p>
        </w:tc>
        <w:tc>
          <w:tcPr>
            <w:tcW w:type="dxa" w:w="1152"/>
          </w:tcPr>
          <w:p>
            <w:pPr>
              <w:spacing w:after="0" w:line="240" w:lineRule="auto"/>
              <w:jc w:val="center"/>
            </w:pPr>
            <w:r/>
            <w:r>
              <w:rPr>
                <w:sz w:val="15"/>
              </w:rPr>
              <w:t>0.361</w:t>
            </w:r>
          </w:p>
        </w:tc>
        <w:tc>
          <w:tcPr>
            <w:tcW w:type="dxa" w:w="1080"/>
          </w:tcPr>
          <w:p>
            <w:pPr>
              <w:spacing w:after="0" w:line="240" w:lineRule="auto"/>
              <w:jc w:val="center"/>
            </w:pPr>
            <w:r/>
            <w:r>
              <w:rPr>
                <w:sz w:val="15"/>
              </w:rPr>
              <w:t>0.359</w:t>
            </w:r>
          </w:p>
        </w:tc>
        <w:tc>
          <w:tcPr>
            <w:tcW w:type="dxa" w:w="864"/>
          </w:tcPr>
          <w:p>
            <w:pPr>
              <w:spacing w:after="0" w:line="240" w:lineRule="auto"/>
              <w:jc w:val="center"/>
            </w:pPr>
            <w:r/>
            <w:r>
              <w:rPr>
                <w:sz w:val="15"/>
              </w:rPr>
              <w:t>0.011</w:t>
            </w:r>
          </w:p>
        </w:tc>
        <w:tc>
          <w:tcPr>
            <w:tcW w:type="dxa" w:w="864"/>
          </w:tcPr>
          <w:p>
            <w:pPr>
              <w:spacing w:after="0" w:line="240" w:lineRule="auto"/>
              <w:jc w:val="center"/>
            </w:pPr>
            <w:r/>
            <w:r>
              <w:rPr>
                <w:sz w:val="15"/>
              </w:rPr>
              <w:t>2.75</w:t>
            </w:r>
          </w:p>
        </w:tc>
        <w:tc>
          <w:tcPr>
            <w:tcW w:type="dxa" w:w="1224"/>
          </w:tcPr>
          <w:p>
            <w:pPr>
              <w:spacing w:after="0" w:line="240" w:lineRule="auto"/>
              <w:jc w:val="center"/>
            </w:pPr>
            <w:r/>
            <w:r>
              <w:rPr>
                <w:sz w:val="15"/>
              </w:rPr>
              <w:t>0.002</w:t>
            </w:r>
          </w:p>
        </w:tc>
      </w:tr>
      <w:tr>
        <w:trPr>
          <w:cantSplit w:val="true"/>
        </w:trPr>
        <w:tc>
          <w:tcPr>
            <w:tcW w:type="dxa" w:w="648"/>
          </w:tcPr>
          <w:p>
            <w:pPr>
              <w:spacing w:after="0" w:line="240" w:lineRule="auto"/>
              <w:jc w:val="center"/>
            </w:pPr>
            <w:r/>
            <w:r>
              <w:rPr>
                <w:sz w:val="15"/>
              </w:rPr>
              <w:t>N</w:t>
            </w:r>
          </w:p>
        </w:tc>
        <w:tc>
          <w:tcPr>
            <w:tcW w:type="dxa" w:w="864"/>
          </w:tcPr>
          <w:p>
            <w:pPr>
              <w:spacing w:after="0" w:line="240" w:lineRule="auto"/>
              <w:jc w:val="center"/>
            </w:pPr>
            <w:r/>
            <w:r>
              <w:rPr>
                <w:sz w:val="15"/>
              </w:rPr>
              <w:t>72</w:t>
            </w:r>
          </w:p>
        </w:tc>
        <w:tc>
          <w:tcPr>
            <w:tcW w:type="dxa" w:w="1152"/>
          </w:tcPr>
          <w:p>
            <w:pPr>
              <w:spacing w:after="0" w:line="240" w:lineRule="auto"/>
            </w:pPr>
            <w:r/>
            <w:r>
              <w:rPr>
                <w:sz w:val="15"/>
              </w:rPr>
              <w:t>C1-N-60</w:t>
            </w:r>
          </w:p>
        </w:tc>
        <w:tc>
          <w:tcPr>
            <w:tcW w:type="dxa" w:w="1080"/>
          </w:tcPr>
          <w:p>
            <w:pPr>
              <w:spacing w:after="0" w:line="240" w:lineRule="auto"/>
            </w:pPr>
            <w:r/>
            <w:r>
              <w:rPr>
                <w:sz w:val="15"/>
              </w:rPr>
              <w:t>C1-N-72</w:t>
            </w:r>
          </w:p>
        </w:tc>
        <w:tc>
          <w:tcPr>
            <w:tcW w:type="dxa" w:w="864"/>
          </w:tcPr>
          <w:p>
            <w:pPr>
              <w:spacing w:after="0" w:line="240" w:lineRule="auto"/>
              <w:jc w:val="center"/>
            </w:pPr>
            <w:r/>
            <w:r>
              <w:rPr>
                <w:sz w:val="15"/>
              </w:rPr>
              <w:t>0.380</w:t>
            </w:r>
          </w:p>
        </w:tc>
        <w:tc>
          <w:tcPr>
            <w:tcW w:type="dxa" w:w="1152"/>
          </w:tcPr>
          <w:p>
            <w:pPr>
              <w:spacing w:after="0" w:line="240" w:lineRule="auto"/>
              <w:jc w:val="center"/>
            </w:pPr>
            <w:r/>
            <w:r>
              <w:rPr>
                <w:sz w:val="15"/>
              </w:rPr>
              <w:t>0.371</w:t>
            </w:r>
          </w:p>
        </w:tc>
        <w:tc>
          <w:tcPr>
            <w:tcW w:type="dxa" w:w="1080"/>
          </w:tcPr>
          <w:p>
            <w:pPr>
              <w:spacing w:after="0" w:line="240" w:lineRule="auto"/>
              <w:jc w:val="center"/>
            </w:pPr>
            <w:r/>
            <w:r>
              <w:rPr>
                <w:sz w:val="15"/>
              </w:rPr>
              <w:t>0.369</w:t>
            </w:r>
          </w:p>
        </w:tc>
        <w:tc>
          <w:tcPr>
            <w:tcW w:type="dxa" w:w="864"/>
          </w:tcPr>
          <w:p>
            <w:pPr>
              <w:spacing w:after="0" w:line="240" w:lineRule="auto"/>
              <w:jc w:val="center"/>
            </w:pPr>
            <w:r/>
            <w:r>
              <w:rPr>
                <w:sz w:val="15"/>
              </w:rPr>
              <w:t>0.009</w:t>
            </w:r>
          </w:p>
        </w:tc>
        <w:tc>
          <w:tcPr>
            <w:tcW w:type="dxa" w:w="864"/>
          </w:tcPr>
          <w:p>
            <w:pPr>
              <w:spacing w:after="0" w:line="240" w:lineRule="auto"/>
              <w:jc w:val="center"/>
            </w:pPr>
            <w:r/>
            <w:r>
              <w:rPr>
                <w:sz w:val="15"/>
              </w:rPr>
              <w:t>2.25</w:t>
            </w:r>
          </w:p>
        </w:tc>
        <w:tc>
          <w:tcPr>
            <w:tcW w:type="dxa" w:w="1224"/>
          </w:tcPr>
          <w:p>
            <w:pPr>
              <w:spacing w:after="0" w:line="240" w:lineRule="auto"/>
              <w:jc w:val="center"/>
            </w:pPr>
            <w:r/>
            <w:r>
              <w:rPr>
                <w:sz w:val="15"/>
              </w:rPr>
              <w:t>0.002</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6</w:t>
            </w:r>
          </w:p>
        </w:tc>
        <w:tc>
          <w:tcPr>
            <w:tcW w:type="dxa" w:w="1152"/>
          </w:tcPr>
          <w:p>
            <w:pPr>
              <w:spacing w:after="0" w:line="240" w:lineRule="auto"/>
            </w:pPr>
            <w:r/>
            <w:r>
              <w:rPr>
                <w:sz w:val="15"/>
              </w:rPr>
              <w:t>—</w:t>
            </w:r>
          </w:p>
        </w:tc>
        <w:tc>
          <w:tcPr>
            <w:tcW w:type="dxa" w:w="1080"/>
          </w:tcPr>
          <w:p>
            <w:pPr>
              <w:spacing w:after="0" w:line="240" w:lineRule="auto"/>
            </w:pPr>
            <w:r/>
            <w:r>
              <w:rPr>
                <w:sz w:val="15"/>
              </w:rPr>
              <w:t>C1-E-6</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0.304</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18</w:t>
            </w:r>
          </w:p>
        </w:tc>
        <w:tc>
          <w:tcPr>
            <w:tcW w:type="dxa" w:w="1152"/>
          </w:tcPr>
          <w:p>
            <w:pPr>
              <w:spacing w:after="0" w:line="240" w:lineRule="auto"/>
            </w:pPr>
            <w:r/>
            <w:r>
              <w:rPr>
                <w:sz w:val="15"/>
              </w:rPr>
              <w:t>C1-E-6</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0.350</w:t>
            </w:r>
          </w:p>
        </w:tc>
        <w:tc>
          <w:tcPr>
            <w:tcW w:type="dxa" w:w="1152"/>
          </w:tcPr>
          <w:p>
            <w:pPr>
              <w:spacing w:after="0" w:line="240" w:lineRule="auto"/>
              <w:jc w:val="center"/>
            </w:pPr>
            <w:r/>
            <w:r>
              <w:rPr>
                <w:sz w:val="15"/>
              </w:rPr>
              <w:t>0.335</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0.015</w:t>
            </w:r>
          </w:p>
        </w:tc>
        <w:tc>
          <w:tcPr>
            <w:tcW w:type="dxa" w:w="864"/>
          </w:tcPr>
          <w:p>
            <w:pPr>
              <w:spacing w:after="0" w:line="240" w:lineRule="auto"/>
              <w:jc w:val="center"/>
            </w:pPr>
            <w:r/>
            <w:r>
              <w:rPr>
                <w:sz w:val="15"/>
              </w:rPr>
              <w:t>3.75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24</w:t>
            </w:r>
          </w:p>
        </w:tc>
        <w:tc>
          <w:tcPr>
            <w:tcW w:type="dxa" w:w="1152"/>
          </w:tcPr>
          <w:p>
            <w:pPr>
              <w:spacing w:after="0" w:line="240" w:lineRule="auto"/>
            </w:pPr>
            <w:r/>
            <w:r>
              <w:rPr>
                <w:sz w:val="15"/>
              </w:rPr>
              <w:t>—</w:t>
            </w:r>
          </w:p>
        </w:tc>
        <w:tc>
          <w:tcPr>
            <w:tcW w:type="dxa" w:w="1080"/>
          </w:tcPr>
          <w:p>
            <w:pPr>
              <w:spacing w:after="0" w:line="240" w:lineRule="auto"/>
            </w:pPr>
            <w:r/>
            <w:r>
              <w:rPr>
                <w:sz w:val="15"/>
              </w:rPr>
              <w:t>C1-E-24</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0.341</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30</w:t>
            </w:r>
          </w:p>
        </w:tc>
        <w:tc>
          <w:tcPr>
            <w:tcW w:type="dxa" w:w="1152"/>
          </w:tcPr>
          <w:p>
            <w:pPr>
              <w:spacing w:after="0" w:line="240" w:lineRule="auto"/>
            </w:pPr>
            <w:r/>
            <w:r>
              <w:rPr>
                <w:sz w:val="15"/>
              </w:rPr>
              <w:t>C1-E-18</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0.361</w:t>
            </w:r>
          </w:p>
        </w:tc>
        <w:tc>
          <w:tcPr>
            <w:tcW w:type="dxa" w:w="1152"/>
          </w:tcPr>
          <w:p>
            <w:pPr>
              <w:spacing w:after="0" w:line="240" w:lineRule="auto"/>
              <w:jc w:val="center"/>
            </w:pPr>
            <w:r/>
            <w:r>
              <w:rPr>
                <w:sz w:val="15"/>
              </w:rPr>
              <w:t>0.348</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0.013</w:t>
            </w:r>
          </w:p>
        </w:tc>
        <w:tc>
          <w:tcPr>
            <w:tcW w:type="dxa" w:w="864"/>
          </w:tcPr>
          <w:p>
            <w:pPr>
              <w:spacing w:after="0" w:line="240" w:lineRule="auto"/>
              <w:jc w:val="center"/>
            </w:pPr>
            <w:r/>
            <w:r>
              <w:rPr>
                <w:sz w:val="15"/>
              </w:rPr>
              <w:t>3.25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48</w:t>
            </w:r>
          </w:p>
        </w:tc>
        <w:tc>
          <w:tcPr>
            <w:tcW w:type="dxa" w:w="1152"/>
          </w:tcPr>
          <w:p>
            <w:pPr>
              <w:spacing w:after="0" w:line="240" w:lineRule="auto"/>
            </w:pPr>
            <w:r/>
            <w:r>
              <w:rPr>
                <w:sz w:val="15"/>
              </w:rPr>
              <w:t>C1-E-36</w:t>
            </w:r>
          </w:p>
        </w:tc>
        <w:tc>
          <w:tcPr>
            <w:tcW w:type="dxa" w:w="1080"/>
          </w:tcPr>
          <w:p>
            <w:pPr>
              <w:spacing w:after="0" w:line="240" w:lineRule="auto"/>
            </w:pPr>
            <w:r/>
            <w:r>
              <w:rPr>
                <w:sz w:val="15"/>
              </w:rPr>
              <w:t>C1-E-48</w:t>
            </w:r>
          </w:p>
        </w:tc>
        <w:tc>
          <w:tcPr>
            <w:tcW w:type="dxa" w:w="864"/>
          </w:tcPr>
          <w:p>
            <w:pPr>
              <w:spacing w:after="0" w:line="240" w:lineRule="auto"/>
              <w:jc w:val="center"/>
            </w:pPr>
            <w:r/>
            <w:r>
              <w:rPr>
                <w:sz w:val="15"/>
              </w:rPr>
              <w:t>0.370</w:t>
            </w:r>
          </w:p>
        </w:tc>
        <w:tc>
          <w:tcPr>
            <w:tcW w:type="dxa" w:w="1152"/>
          </w:tcPr>
          <w:p>
            <w:pPr>
              <w:spacing w:after="0" w:line="240" w:lineRule="auto"/>
              <w:jc w:val="center"/>
            </w:pPr>
            <w:r/>
            <w:r>
              <w:rPr>
                <w:sz w:val="15"/>
              </w:rPr>
              <w:t>0.359</w:t>
            </w:r>
          </w:p>
        </w:tc>
        <w:tc>
          <w:tcPr>
            <w:tcW w:type="dxa" w:w="1080"/>
          </w:tcPr>
          <w:p>
            <w:pPr>
              <w:spacing w:after="0" w:line="240" w:lineRule="auto"/>
              <w:jc w:val="center"/>
            </w:pPr>
            <w:r/>
            <w:r>
              <w:rPr>
                <w:sz w:val="15"/>
              </w:rPr>
              <w:t>0.357</w:t>
            </w:r>
          </w:p>
        </w:tc>
        <w:tc>
          <w:tcPr>
            <w:tcW w:type="dxa" w:w="864"/>
          </w:tcPr>
          <w:p>
            <w:pPr>
              <w:spacing w:after="0" w:line="240" w:lineRule="auto"/>
              <w:jc w:val="center"/>
            </w:pPr>
            <w:r/>
            <w:r>
              <w:rPr>
                <w:sz w:val="15"/>
              </w:rPr>
              <w:t>0.011</w:t>
            </w:r>
          </w:p>
        </w:tc>
        <w:tc>
          <w:tcPr>
            <w:tcW w:type="dxa" w:w="864"/>
          </w:tcPr>
          <w:p>
            <w:pPr>
              <w:spacing w:after="0" w:line="240" w:lineRule="auto"/>
              <w:jc w:val="center"/>
            </w:pPr>
            <w:r/>
            <w:r>
              <w:rPr>
                <w:sz w:val="15"/>
              </w:rPr>
              <w:t>2.75</w:t>
            </w:r>
          </w:p>
        </w:tc>
        <w:tc>
          <w:tcPr>
            <w:tcW w:type="dxa" w:w="1224"/>
          </w:tcPr>
          <w:p>
            <w:pPr>
              <w:spacing w:after="0" w:line="240" w:lineRule="auto"/>
              <w:jc w:val="center"/>
            </w:pPr>
            <w:r/>
            <w:r>
              <w:rPr>
                <w:sz w:val="15"/>
              </w:rPr>
              <w:t>0.002</w:t>
            </w:r>
          </w:p>
        </w:tc>
      </w:tr>
      <w:tr>
        <w:trPr>
          <w:cantSplit w:val="true"/>
        </w:trPr>
        <w:tc>
          <w:tcPr>
            <w:tcW w:type="dxa" w:w="648"/>
          </w:tcPr>
          <w:p>
            <w:pPr>
              <w:spacing w:after="0" w:line="240" w:lineRule="auto"/>
              <w:jc w:val="center"/>
            </w:pPr>
            <w:r/>
            <w:r>
              <w:rPr>
                <w:sz w:val="15"/>
              </w:rPr>
              <w:t>E</w:t>
            </w:r>
          </w:p>
        </w:tc>
        <w:tc>
          <w:tcPr>
            <w:tcW w:type="dxa" w:w="864"/>
          </w:tcPr>
          <w:p>
            <w:pPr>
              <w:spacing w:after="0" w:line="240" w:lineRule="auto"/>
              <w:jc w:val="center"/>
            </w:pPr>
            <w:r/>
            <w:r>
              <w:rPr>
                <w:sz w:val="15"/>
              </w:rPr>
              <w:t>72</w:t>
            </w:r>
          </w:p>
        </w:tc>
        <w:tc>
          <w:tcPr>
            <w:tcW w:type="dxa" w:w="1152"/>
          </w:tcPr>
          <w:p>
            <w:pPr>
              <w:spacing w:after="0" w:line="240" w:lineRule="auto"/>
            </w:pPr>
            <w:r/>
            <w:r>
              <w:rPr>
                <w:sz w:val="15"/>
              </w:rPr>
              <w:t>C1-E-60</w:t>
            </w:r>
          </w:p>
        </w:tc>
        <w:tc>
          <w:tcPr>
            <w:tcW w:type="dxa" w:w="1080"/>
          </w:tcPr>
          <w:p>
            <w:pPr>
              <w:spacing w:after="0" w:line="240" w:lineRule="auto"/>
            </w:pPr>
            <w:r/>
            <w:r>
              <w:rPr>
                <w:sz w:val="15"/>
              </w:rPr>
              <w:t>C1-E-72</w:t>
            </w:r>
          </w:p>
        </w:tc>
        <w:tc>
          <w:tcPr>
            <w:tcW w:type="dxa" w:w="864"/>
          </w:tcPr>
          <w:p>
            <w:pPr>
              <w:spacing w:after="0" w:line="240" w:lineRule="auto"/>
              <w:jc w:val="center"/>
            </w:pPr>
            <w:r/>
            <w:r>
              <w:rPr>
                <w:sz w:val="15"/>
              </w:rPr>
              <w:t>0.378</w:t>
            </w:r>
          </w:p>
        </w:tc>
        <w:tc>
          <w:tcPr>
            <w:tcW w:type="dxa" w:w="1152"/>
          </w:tcPr>
          <w:p>
            <w:pPr>
              <w:spacing w:after="0" w:line="240" w:lineRule="auto"/>
              <w:jc w:val="center"/>
            </w:pPr>
            <w:r/>
            <w:r>
              <w:rPr>
                <w:sz w:val="15"/>
              </w:rPr>
              <w:t>0.369</w:t>
            </w:r>
          </w:p>
        </w:tc>
        <w:tc>
          <w:tcPr>
            <w:tcW w:type="dxa" w:w="1080"/>
          </w:tcPr>
          <w:p>
            <w:pPr>
              <w:spacing w:after="0" w:line="240" w:lineRule="auto"/>
              <w:jc w:val="center"/>
            </w:pPr>
            <w:r/>
            <w:r>
              <w:rPr>
                <w:sz w:val="15"/>
              </w:rPr>
              <w:t>0.367</w:t>
            </w:r>
          </w:p>
        </w:tc>
        <w:tc>
          <w:tcPr>
            <w:tcW w:type="dxa" w:w="864"/>
          </w:tcPr>
          <w:p>
            <w:pPr>
              <w:spacing w:after="0" w:line="240" w:lineRule="auto"/>
              <w:jc w:val="center"/>
            </w:pPr>
            <w:r/>
            <w:r>
              <w:rPr>
                <w:sz w:val="15"/>
              </w:rPr>
              <w:t>0.009</w:t>
            </w:r>
          </w:p>
        </w:tc>
        <w:tc>
          <w:tcPr>
            <w:tcW w:type="dxa" w:w="864"/>
          </w:tcPr>
          <w:p>
            <w:pPr>
              <w:spacing w:after="0" w:line="240" w:lineRule="auto"/>
              <w:jc w:val="center"/>
            </w:pPr>
            <w:r/>
            <w:r>
              <w:rPr>
                <w:sz w:val="15"/>
              </w:rPr>
              <w:t>2.25</w:t>
            </w:r>
          </w:p>
        </w:tc>
        <w:tc>
          <w:tcPr>
            <w:tcW w:type="dxa" w:w="1224"/>
          </w:tcPr>
          <w:p>
            <w:pPr>
              <w:spacing w:after="0" w:line="240" w:lineRule="auto"/>
              <w:jc w:val="center"/>
            </w:pPr>
            <w:r/>
            <w:r>
              <w:rPr>
                <w:sz w:val="15"/>
              </w:rPr>
              <w:t>0.002</w:t>
            </w:r>
          </w:p>
        </w:tc>
      </w:tr>
      <w:tr>
        <w:trPr>
          <w:cantSplit w:val="true"/>
        </w:trPr>
        <w:tc>
          <w:tcPr>
            <w:tcW w:type="dxa" w:w="648"/>
            <w:shd w:val="clear" w:color="auto" w:fill="FFF2CC"/>
          </w:tcPr>
          <w:p>
            <w:pPr>
              <w:spacing w:after="0" w:line="240" w:lineRule="auto"/>
              <w:jc w:val="center"/>
            </w:pPr>
            <w:r/>
            <w:r>
              <w:rPr>
                <w:sz w:val="15"/>
              </w:rPr>
              <w:t>S</w:t>
            </w:r>
          </w:p>
        </w:tc>
        <w:tc>
          <w:tcPr>
            <w:tcW w:type="dxa" w:w="864"/>
            <w:shd w:val="clear" w:color="auto" w:fill="FFF2CC"/>
          </w:tcPr>
          <w:p>
            <w:pPr>
              <w:spacing w:after="0" w:line="240" w:lineRule="auto"/>
              <w:jc w:val="center"/>
            </w:pPr>
            <w:r/>
            <w:r>
              <w:rPr>
                <w:sz w:val="15"/>
              </w:rPr>
              <w:t>6</w:t>
            </w:r>
          </w:p>
        </w:tc>
        <w:tc>
          <w:tcPr>
            <w:tcW w:type="dxa" w:w="1152"/>
            <w:shd w:val="clear" w:color="auto" w:fill="FFF2CC"/>
          </w:tcPr>
          <w:p>
            <w:pPr>
              <w:spacing w:after="0" w:line="240" w:lineRule="auto"/>
            </w:pPr>
            <w:r/>
            <w:r>
              <w:rPr>
                <w:sz w:val="15"/>
              </w:rPr>
              <w:t>—</w:t>
            </w:r>
          </w:p>
        </w:tc>
        <w:tc>
          <w:tcPr>
            <w:tcW w:type="dxa" w:w="1080"/>
            <w:shd w:val="clear" w:color="auto" w:fill="FFF2CC"/>
          </w:tcPr>
          <w:p>
            <w:pPr>
              <w:spacing w:after="0" w:line="240" w:lineRule="auto"/>
            </w:pPr>
            <w:r/>
            <w:r>
              <w:rPr>
                <w:sz w:val="15"/>
              </w:rPr>
              <w:t>C1-S-6</w:t>
            </w:r>
          </w:p>
        </w:tc>
        <w:tc>
          <w:tcPr>
            <w:tcW w:type="dxa" w:w="864"/>
            <w:shd w:val="clear" w:color="auto" w:fill="FFF2CC"/>
          </w:tcPr>
          <w:p>
            <w:pPr>
              <w:spacing w:after="0" w:line="240" w:lineRule="auto"/>
              <w:jc w:val="center"/>
            </w:pPr>
            <w:r/>
            <w:r>
              <w:rPr>
                <w:sz w:val="15"/>
              </w:rPr>
              <w:t>—</w:t>
            </w:r>
          </w:p>
        </w:tc>
        <w:tc>
          <w:tcPr>
            <w:tcW w:type="dxa" w:w="1152"/>
            <w:shd w:val="clear" w:color="auto" w:fill="FFF2CC"/>
          </w:tcPr>
          <w:p>
            <w:pPr>
              <w:spacing w:after="0" w:line="240" w:lineRule="auto"/>
              <w:jc w:val="center"/>
            </w:pPr>
            <w:r/>
            <w:r>
              <w:rPr>
                <w:sz w:val="15"/>
              </w:rPr>
              <w:t>—</w:t>
            </w:r>
          </w:p>
        </w:tc>
        <w:tc>
          <w:tcPr>
            <w:tcW w:type="dxa" w:w="1080"/>
            <w:shd w:val="clear" w:color="auto" w:fill="FFF2CC"/>
          </w:tcPr>
          <w:p>
            <w:pPr>
              <w:spacing w:after="0" w:line="240" w:lineRule="auto"/>
              <w:jc w:val="center"/>
            </w:pPr>
            <w:r/>
            <w:r>
              <w:rPr>
                <w:sz w:val="15"/>
              </w:rPr>
              <w:t>0.303</w:t>
            </w:r>
          </w:p>
        </w:tc>
        <w:tc>
          <w:tcPr>
            <w:tcW w:type="dxa" w:w="864"/>
            <w:shd w:val="clear" w:color="auto" w:fill="FFF2CC"/>
          </w:tcPr>
          <w:p>
            <w:pPr>
              <w:spacing w:after="0" w:line="240" w:lineRule="auto"/>
              <w:jc w:val="center"/>
            </w:pPr>
            <w:r/>
            <w:r>
              <w:rPr>
                <w:sz w:val="15"/>
              </w:rPr>
              <w:t>—</w:t>
            </w:r>
          </w:p>
        </w:tc>
        <w:tc>
          <w:tcPr>
            <w:tcW w:type="dxa" w:w="864"/>
            <w:shd w:val="clear" w:color="auto" w:fill="FFF2CC"/>
          </w:tcPr>
          <w:p>
            <w:pPr>
              <w:spacing w:after="0" w:line="240" w:lineRule="auto"/>
              <w:jc w:val="center"/>
            </w:pPr>
            <w:r/>
            <w:r>
              <w:rPr>
                <w:sz w:val="15"/>
              </w:rPr>
              <w:t>—</w:t>
            </w:r>
          </w:p>
        </w:tc>
        <w:tc>
          <w:tcPr>
            <w:tcW w:type="dxa" w:w="1224"/>
            <w:shd w:val="clear" w:color="auto" w:fill="FFF2CC"/>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S</w:t>
            </w:r>
          </w:p>
        </w:tc>
        <w:tc>
          <w:tcPr>
            <w:tcW w:type="dxa" w:w="864"/>
          </w:tcPr>
          <w:p>
            <w:pPr>
              <w:spacing w:after="0" w:line="240" w:lineRule="auto"/>
              <w:jc w:val="center"/>
            </w:pPr>
            <w:r/>
            <w:r>
              <w:rPr>
                <w:sz w:val="15"/>
              </w:rPr>
              <w:t>18</w:t>
            </w:r>
          </w:p>
        </w:tc>
        <w:tc>
          <w:tcPr>
            <w:tcW w:type="dxa" w:w="1152"/>
          </w:tcPr>
          <w:p>
            <w:pPr>
              <w:spacing w:after="0" w:line="240" w:lineRule="auto"/>
            </w:pPr>
            <w:r/>
            <w:r>
              <w:rPr>
                <w:sz w:val="15"/>
              </w:rPr>
              <w:t>C1-S-6</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0.349</w:t>
            </w:r>
          </w:p>
        </w:tc>
        <w:tc>
          <w:tcPr>
            <w:tcW w:type="dxa" w:w="1152"/>
          </w:tcPr>
          <w:p>
            <w:pPr>
              <w:spacing w:after="0" w:line="240" w:lineRule="auto"/>
              <w:jc w:val="center"/>
            </w:pPr>
            <w:r/>
            <w:r>
              <w:rPr>
                <w:sz w:val="15"/>
              </w:rPr>
              <w:t>0.334</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0.015</w:t>
            </w:r>
          </w:p>
        </w:tc>
        <w:tc>
          <w:tcPr>
            <w:tcW w:type="dxa" w:w="864"/>
          </w:tcPr>
          <w:p>
            <w:pPr>
              <w:spacing w:after="0" w:line="240" w:lineRule="auto"/>
              <w:jc w:val="center"/>
            </w:pPr>
            <w:r/>
            <w:r>
              <w:rPr>
                <w:sz w:val="15"/>
              </w:rPr>
              <w:t>3.75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S</w:t>
            </w:r>
          </w:p>
        </w:tc>
        <w:tc>
          <w:tcPr>
            <w:tcW w:type="dxa" w:w="864"/>
          </w:tcPr>
          <w:p>
            <w:pPr>
              <w:spacing w:after="0" w:line="240" w:lineRule="auto"/>
              <w:jc w:val="center"/>
            </w:pPr>
            <w:r/>
            <w:r>
              <w:rPr>
                <w:sz w:val="15"/>
              </w:rPr>
              <w:t>24</w:t>
            </w:r>
          </w:p>
        </w:tc>
        <w:tc>
          <w:tcPr>
            <w:tcW w:type="dxa" w:w="1152"/>
          </w:tcPr>
          <w:p>
            <w:pPr>
              <w:spacing w:after="0" w:line="240" w:lineRule="auto"/>
            </w:pPr>
            <w:r/>
            <w:r>
              <w:rPr>
                <w:sz w:val="15"/>
              </w:rPr>
              <w:t>—</w:t>
            </w:r>
          </w:p>
        </w:tc>
        <w:tc>
          <w:tcPr>
            <w:tcW w:type="dxa" w:w="1080"/>
          </w:tcPr>
          <w:p>
            <w:pPr>
              <w:spacing w:after="0" w:line="240" w:lineRule="auto"/>
            </w:pPr>
            <w:r/>
            <w:r>
              <w:rPr>
                <w:sz w:val="15"/>
              </w:rPr>
              <w:t>C1-S-24</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0.340</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S</w:t>
            </w:r>
          </w:p>
        </w:tc>
        <w:tc>
          <w:tcPr>
            <w:tcW w:type="dxa" w:w="864"/>
          </w:tcPr>
          <w:p>
            <w:pPr>
              <w:spacing w:after="0" w:line="240" w:lineRule="auto"/>
              <w:jc w:val="center"/>
            </w:pPr>
            <w:r/>
            <w:r>
              <w:rPr>
                <w:sz w:val="15"/>
              </w:rPr>
              <w:t>30</w:t>
            </w:r>
          </w:p>
        </w:tc>
        <w:tc>
          <w:tcPr>
            <w:tcW w:type="dxa" w:w="1152"/>
          </w:tcPr>
          <w:p>
            <w:pPr>
              <w:spacing w:after="0" w:line="240" w:lineRule="auto"/>
            </w:pPr>
            <w:r/>
            <w:r>
              <w:rPr>
                <w:sz w:val="15"/>
              </w:rPr>
              <w:t>C1-S-18</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0.360</w:t>
            </w:r>
          </w:p>
        </w:tc>
        <w:tc>
          <w:tcPr>
            <w:tcW w:type="dxa" w:w="1152"/>
          </w:tcPr>
          <w:p>
            <w:pPr>
              <w:spacing w:after="0" w:line="240" w:lineRule="auto"/>
              <w:jc w:val="center"/>
            </w:pPr>
            <w:r/>
            <w:r>
              <w:rPr>
                <w:sz w:val="15"/>
              </w:rPr>
              <w:t>0.347</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0.013</w:t>
            </w:r>
          </w:p>
        </w:tc>
        <w:tc>
          <w:tcPr>
            <w:tcW w:type="dxa" w:w="864"/>
          </w:tcPr>
          <w:p>
            <w:pPr>
              <w:spacing w:after="0" w:line="240" w:lineRule="auto"/>
              <w:jc w:val="center"/>
            </w:pPr>
            <w:r/>
            <w:r>
              <w:rPr>
                <w:sz w:val="15"/>
              </w:rPr>
              <w:t>3.25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S</w:t>
            </w:r>
          </w:p>
        </w:tc>
        <w:tc>
          <w:tcPr>
            <w:tcW w:type="dxa" w:w="864"/>
          </w:tcPr>
          <w:p>
            <w:pPr>
              <w:spacing w:after="0" w:line="240" w:lineRule="auto"/>
              <w:jc w:val="center"/>
            </w:pPr>
            <w:r/>
            <w:r>
              <w:rPr>
                <w:sz w:val="15"/>
              </w:rPr>
              <w:t>48</w:t>
            </w:r>
          </w:p>
        </w:tc>
        <w:tc>
          <w:tcPr>
            <w:tcW w:type="dxa" w:w="1152"/>
          </w:tcPr>
          <w:p>
            <w:pPr>
              <w:spacing w:after="0" w:line="240" w:lineRule="auto"/>
            </w:pPr>
            <w:r/>
            <w:r>
              <w:rPr>
                <w:sz w:val="15"/>
              </w:rPr>
              <w:t>C1-S-36</w:t>
            </w:r>
          </w:p>
        </w:tc>
        <w:tc>
          <w:tcPr>
            <w:tcW w:type="dxa" w:w="1080"/>
          </w:tcPr>
          <w:p>
            <w:pPr>
              <w:spacing w:after="0" w:line="240" w:lineRule="auto"/>
            </w:pPr>
            <w:r/>
            <w:r>
              <w:rPr>
                <w:sz w:val="15"/>
              </w:rPr>
              <w:t>C1-S-48</w:t>
            </w:r>
          </w:p>
        </w:tc>
        <w:tc>
          <w:tcPr>
            <w:tcW w:type="dxa" w:w="864"/>
          </w:tcPr>
          <w:p>
            <w:pPr>
              <w:spacing w:after="0" w:line="240" w:lineRule="auto"/>
              <w:jc w:val="center"/>
            </w:pPr>
            <w:r/>
            <w:r>
              <w:rPr>
                <w:sz w:val="15"/>
              </w:rPr>
              <w:t>0.369</w:t>
            </w:r>
          </w:p>
        </w:tc>
        <w:tc>
          <w:tcPr>
            <w:tcW w:type="dxa" w:w="1152"/>
          </w:tcPr>
          <w:p>
            <w:pPr>
              <w:spacing w:after="0" w:line="240" w:lineRule="auto"/>
              <w:jc w:val="center"/>
            </w:pPr>
            <w:r/>
            <w:r>
              <w:rPr>
                <w:sz w:val="15"/>
              </w:rPr>
              <w:t>0.357</w:t>
            </w:r>
          </w:p>
        </w:tc>
        <w:tc>
          <w:tcPr>
            <w:tcW w:type="dxa" w:w="1080"/>
          </w:tcPr>
          <w:p>
            <w:pPr>
              <w:spacing w:after="0" w:line="240" w:lineRule="auto"/>
              <w:jc w:val="center"/>
            </w:pPr>
            <w:r/>
            <w:r>
              <w:rPr>
                <w:sz w:val="15"/>
              </w:rPr>
              <w:t>0.356</w:t>
            </w:r>
          </w:p>
        </w:tc>
        <w:tc>
          <w:tcPr>
            <w:tcW w:type="dxa" w:w="864"/>
          </w:tcPr>
          <w:p>
            <w:pPr>
              <w:spacing w:after="0" w:line="240" w:lineRule="auto"/>
              <w:jc w:val="center"/>
            </w:pPr>
            <w:r/>
            <w:r>
              <w:rPr>
                <w:sz w:val="15"/>
              </w:rPr>
              <w:t>0.012</w:t>
            </w:r>
          </w:p>
        </w:tc>
        <w:tc>
          <w:tcPr>
            <w:tcW w:type="dxa" w:w="864"/>
          </w:tcPr>
          <w:p>
            <w:pPr>
              <w:spacing w:after="0" w:line="240" w:lineRule="auto"/>
              <w:jc w:val="center"/>
            </w:pPr>
            <w:r/>
            <w:r>
              <w:rPr>
                <w:sz w:val="15"/>
              </w:rPr>
              <w:t>3.00</w:t>
            </w:r>
          </w:p>
        </w:tc>
        <w:tc>
          <w:tcPr>
            <w:tcW w:type="dxa" w:w="1224"/>
          </w:tcPr>
          <w:p>
            <w:pPr>
              <w:spacing w:after="0" w:line="240" w:lineRule="auto"/>
              <w:jc w:val="center"/>
            </w:pPr>
            <w:r/>
            <w:r>
              <w:rPr>
                <w:sz w:val="15"/>
              </w:rPr>
              <w:t>0.001</w:t>
            </w:r>
          </w:p>
        </w:tc>
      </w:tr>
      <w:tr>
        <w:trPr>
          <w:cantSplit w:val="true"/>
        </w:trPr>
        <w:tc>
          <w:tcPr>
            <w:tcW w:type="dxa" w:w="648"/>
          </w:tcPr>
          <w:p>
            <w:pPr>
              <w:spacing w:after="0" w:line="240" w:lineRule="auto"/>
              <w:jc w:val="center"/>
            </w:pPr>
            <w:r/>
            <w:r>
              <w:rPr>
                <w:sz w:val="15"/>
              </w:rPr>
              <w:t>S</w:t>
            </w:r>
          </w:p>
        </w:tc>
        <w:tc>
          <w:tcPr>
            <w:tcW w:type="dxa" w:w="864"/>
          </w:tcPr>
          <w:p>
            <w:pPr>
              <w:spacing w:after="0" w:line="240" w:lineRule="auto"/>
              <w:jc w:val="center"/>
            </w:pPr>
            <w:r/>
            <w:r>
              <w:rPr>
                <w:sz w:val="15"/>
              </w:rPr>
              <w:t>72</w:t>
            </w:r>
          </w:p>
        </w:tc>
        <w:tc>
          <w:tcPr>
            <w:tcW w:type="dxa" w:w="1152"/>
          </w:tcPr>
          <w:p>
            <w:pPr>
              <w:spacing w:after="0" w:line="240" w:lineRule="auto"/>
            </w:pPr>
            <w:r/>
            <w:r>
              <w:rPr>
                <w:sz w:val="15"/>
              </w:rPr>
              <w:t>C1-S-60</w:t>
            </w:r>
          </w:p>
        </w:tc>
        <w:tc>
          <w:tcPr>
            <w:tcW w:type="dxa" w:w="1080"/>
          </w:tcPr>
          <w:p>
            <w:pPr>
              <w:spacing w:after="0" w:line="240" w:lineRule="auto"/>
            </w:pPr>
            <w:r/>
            <w:r>
              <w:rPr>
                <w:sz w:val="15"/>
              </w:rPr>
              <w:t>C1-S-72</w:t>
            </w:r>
          </w:p>
        </w:tc>
        <w:tc>
          <w:tcPr>
            <w:tcW w:type="dxa" w:w="864"/>
          </w:tcPr>
          <w:p>
            <w:pPr>
              <w:spacing w:after="0" w:line="240" w:lineRule="auto"/>
              <w:jc w:val="center"/>
            </w:pPr>
            <w:r/>
            <w:r>
              <w:rPr>
                <w:sz w:val="15"/>
              </w:rPr>
              <w:t>0.377</w:t>
            </w:r>
          </w:p>
        </w:tc>
        <w:tc>
          <w:tcPr>
            <w:tcW w:type="dxa" w:w="1152"/>
          </w:tcPr>
          <w:p>
            <w:pPr>
              <w:spacing w:after="0" w:line="240" w:lineRule="auto"/>
              <w:jc w:val="center"/>
            </w:pPr>
            <w:r/>
            <w:r>
              <w:rPr>
                <w:sz w:val="15"/>
              </w:rPr>
              <w:t>0.367</w:t>
            </w:r>
          </w:p>
        </w:tc>
        <w:tc>
          <w:tcPr>
            <w:tcW w:type="dxa" w:w="1080"/>
          </w:tcPr>
          <w:p>
            <w:pPr>
              <w:spacing w:after="0" w:line="240" w:lineRule="auto"/>
              <w:jc w:val="center"/>
            </w:pPr>
            <w:r/>
            <w:r>
              <w:rPr>
                <w:sz w:val="15"/>
              </w:rPr>
              <w:t>0.366</w:t>
            </w:r>
          </w:p>
        </w:tc>
        <w:tc>
          <w:tcPr>
            <w:tcW w:type="dxa" w:w="864"/>
          </w:tcPr>
          <w:p>
            <w:pPr>
              <w:spacing w:after="0" w:line="240" w:lineRule="auto"/>
              <w:jc w:val="center"/>
            </w:pPr>
            <w:r/>
            <w:r>
              <w:rPr>
                <w:sz w:val="15"/>
              </w:rPr>
              <w:t>0.010</w:t>
            </w:r>
          </w:p>
        </w:tc>
        <w:tc>
          <w:tcPr>
            <w:tcW w:type="dxa" w:w="864"/>
          </w:tcPr>
          <w:p>
            <w:pPr>
              <w:spacing w:after="0" w:line="240" w:lineRule="auto"/>
              <w:jc w:val="center"/>
            </w:pPr>
            <w:r/>
            <w:r>
              <w:rPr>
                <w:sz w:val="15"/>
              </w:rPr>
              <w:t>2.50</w:t>
            </w:r>
          </w:p>
        </w:tc>
        <w:tc>
          <w:tcPr>
            <w:tcW w:type="dxa" w:w="1224"/>
          </w:tcPr>
          <w:p>
            <w:pPr>
              <w:spacing w:after="0" w:line="240" w:lineRule="auto"/>
              <w:jc w:val="center"/>
            </w:pPr>
            <w:r/>
            <w:r>
              <w:rPr>
                <w:sz w:val="15"/>
              </w:rPr>
              <w:t>0.001</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6</w:t>
            </w:r>
          </w:p>
        </w:tc>
        <w:tc>
          <w:tcPr>
            <w:tcW w:type="dxa" w:w="1152"/>
          </w:tcPr>
          <w:p>
            <w:pPr>
              <w:spacing w:after="0" w:line="240" w:lineRule="auto"/>
            </w:pPr>
            <w:r/>
            <w:r>
              <w:rPr>
                <w:sz w:val="15"/>
              </w:rPr>
              <w:t>—</w:t>
            </w:r>
          </w:p>
        </w:tc>
        <w:tc>
          <w:tcPr>
            <w:tcW w:type="dxa" w:w="1080"/>
          </w:tcPr>
          <w:p>
            <w:pPr>
              <w:spacing w:after="0" w:line="240" w:lineRule="auto"/>
            </w:pPr>
            <w:r/>
            <w:r>
              <w:rPr>
                <w:sz w:val="15"/>
              </w:rPr>
              <w:t>C1-W-6</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0.305</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18</w:t>
            </w:r>
          </w:p>
        </w:tc>
        <w:tc>
          <w:tcPr>
            <w:tcW w:type="dxa" w:w="1152"/>
          </w:tcPr>
          <w:p>
            <w:pPr>
              <w:spacing w:after="0" w:line="240" w:lineRule="auto"/>
            </w:pPr>
            <w:r/>
            <w:r>
              <w:rPr>
                <w:sz w:val="15"/>
              </w:rPr>
              <w:t>C1-W-6</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0.351</w:t>
            </w:r>
          </w:p>
        </w:tc>
        <w:tc>
          <w:tcPr>
            <w:tcW w:type="dxa" w:w="1152"/>
          </w:tcPr>
          <w:p>
            <w:pPr>
              <w:spacing w:after="0" w:line="240" w:lineRule="auto"/>
              <w:jc w:val="center"/>
            </w:pPr>
            <w:r/>
            <w:r>
              <w:rPr>
                <w:sz w:val="15"/>
              </w:rPr>
              <w:t>0.336</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0.015</w:t>
            </w:r>
          </w:p>
        </w:tc>
        <w:tc>
          <w:tcPr>
            <w:tcW w:type="dxa" w:w="864"/>
          </w:tcPr>
          <w:p>
            <w:pPr>
              <w:spacing w:after="0" w:line="240" w:lineRule="auto"/>
              <w:jc w:val="center"/>
            </w:pPr>
            <w:r/>
            <w:r>
              <w:rPr>
                <w:sz w:val="15"/>
              </w:rPr>
              <w:t>3.75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24</w:t>
            </w:r>
          </w:p>
        </w:tc>
        <w:tc>
          <w:tcPr>
            <w:tcW w:type="dxa" w:w="1152"/>
          </w:tcPr>
          <w:p>
            <w:pPr>
              <w:spacing w:after="0" w:line="240" w:lineRule="auto"/>
            </w:pPr>
            <w:r/>
            <w:r>
              <w:rPr>
                <w:sz w:val="15"/>
              </w:rPr>
              <w:t>—</w:t>
            </w:r>
          </w:p>
        </w:tc>
        <w:tc>
          <w:tcPr>
            <w:tcW w:type="dxa" w:w="1080"/>
          </w:tcPr>
          <w:p>
            <w:pPr>
              <w:spacing w:after="0" w:line="240" w:lineRule="auto"/>
            </w:pPr>
            <w:r/>
            <w:r>
              <w:rPr>
                <w:sz w:val="15"/>
              </w:rPr>
              <w:t>C1-W-24</w:t>
            </w:r>
          </w:p>
        </w:tc>
        <w:tc>
          <w:tcPr>
            <w:tcW w:type="dxa" w:w="864"/>
          </w:tcPr>
          <w:p>
            <w:pPr>
              <w:spacing w:after="0" w:line="240" w:lineRule="auto"/>
              <w:jc w:val="center"/>
            </w:pPr>
            <w:r/>
            <w:r>
              <w:rPr>
                <w:sz w:val="15"/>
              </w:rPr>
              <w:t>—</w:t>
            </w:r>
          </w:p>
        </w:tc>
        <w:tc>
          <w:tcPr>
            <w:tcW w:type="dxa" w:w="1152"/>
          </w:tcPr>
          <w:p>
            <w:pPr>
              <w:spacing w:after="0" w:line="240" w:lineRule="auto"/>
              <w:jc w:val="center"/>
            </w:pPr>
            <w:r/>
            <w:r>
              <w:rPr>
                <w:sz w:val="15"/>
              </w:rPr>
              <w:t>—</w:t>
            </w:r>
          </w:p>
        </w:tc>
        <w:tc>
          <w:tcPr>
            <w:tcW w:type="dxa" w:w="1080"/>
          </w:tcPr>
          <w:p>
            <w:pPr>
              <w:spacing w:after="0" w:line="240" w:lineRule="auto"/>
              <w:jc w:val="center"/>
            </w:pPr>
            <w:r/>
            <w:r>
              <w:rPr>
                <w:sz w:val="15"/>
              </w:rPr>
              <w:t>0.342</w:t>
            </w:r>
          </w:p>
        </w:tc>
        <w:tc>
          <w:tcPr>
            <w:tcW w:type="dxa" w:w="864"/>
          </w:tcPr>
          <w:p>
            <w:pPr>
              <w:spacing w:after="0" w:line="240" w:lineRule="auto"/>
              <w:jc w:val="center"/>
            </w:pPr>
            <w:r/>
            <w:r>
              <w:rPr>
                <w:sz w:val="15"/>
              </w:rPr>
              <w:t>—</w:t>
            </w:r>
          </w:p>
        </w:tc>
        <w:tc>
          <w:tcPr>
            <w:tcW w:type="dxa" w:w="864"/>
          </w:tcPr>
          <w:p>
            <w:pPr>
              <w:spacing w:after="0" w:line="240" w:lineRule="auto"/>
              <w:jc w:val="center"/>
            </w:pPr>
            <w:r/>
            <w:r>
              <w:rPr>
                <w:sz w:val="15"/>
              </w:rPr>
              <w:t>—</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30</w:t>
            </w:r>
          </w:p>
        </w:tc>
        <w:tc>
          <w:tcPr>
            <w:tcW w:type="dxa" w:w="1152"/>
          </w:tcPr>
          <w:p>
            <w:pPr>
              <w:spacing w:after="0" w:line="240" w:lineRule="auto"/>
            </w:pPr>
            <w:r/>
            <w:r>
              <w:rPr>
                <w:sz w:val="15"/>
              </w:rPr>
              <w:t>C1-W-18</w:t>
            </w:r>
          </w:p>
        </w:tc>
        <w:tc>
          <w:tcPr>
            <w:tcW w:type="dxa" w:w="1080"/>
          </w:tcPr>
          <w:p>
            <w:pPr>
              <w:spacing w:after="0" w:line="240" w:lineRule="auto"/>
            </w:pPr>
            <w:r/>
            <w:r>
              <w:rPr>
                <w:sz w:val="15"/>
              </w:rPr>
              <w:t>—</w:t>
            </w:r>
          </w:p>
        </w:tc>
        <w:tc>
          <w:tcPr>
            <w:tcW w:type="dxa" w:w="864"/>
          </w:tcPr>
          <w:p>
            <w:pPr>
              <w:spacing w:after="0" w:line="240" w:lineRule="auto"/>
              <w:jc w:val="center"/>
            </w:pPr>
            <w:r/>
            <w:r>
              <w:rPr>
                <w:sz w:val="15"/>
              </w:rPr>
              <w:t>0.362</w:t>
            </w:r>
          </w:p>
        </w:tc>
        <w:tc>
          <w:tcPr>
            <w:tcW w:type="dxa" w:w="1152"/>
          </w:tcPr>
          <w:p>
            <w:pPr>
              <w:spacing w:after="0" w:line="240" w:lineRule="auto"/>
              <w:jc w:val="center"/>
            </w:pPr>
            <w:r/>
            <w:r>
              <w:rPr>
                <w:sz w:val="15"/>
              </w:rPr>
              <w:t>0.349</w:t>
            </w:r>
          </w:p>
        </w:tc>
        <w:tc>
          <w:tcPr>
            <w:tcW w:type="dxa" w:w="1080"/>
          </w:tcPr>
          <w:p>
            <w:pPr>
              <w:spacing w:after="0" w:line="240" w:lineRule="auto"/>
              <w:jc w:val="center"/>
            </w:pPr>
            <w:r/>
            <w:r>
              <w:rPr>
                <w:sz w:val="15"/>
              </w:rPr>
              <w:t>—</w:t>
            </w:r>
          </w:p>
        </w:tc>
        <w:tc>
          <w:tcPr>
            <w:tcW w:type="dxa" w:w="864"/>
          </w:tcPr>
          <w:p>
            <w:pPr>
              <w:spacing w:after="0" w:line="240" w:lineRule="auto"/>
              <w:jc w:val="center"/>
            </w:pPr>
            <w:r/>
            <w:r>
              <w:rPr>
                <w:sz w:val="15"/>
              </w:rPr>
              <w:t>0.013</w:t>
            </w:r>
          </w:p>
        </w:tc>
        <w:tc>
          <w:tcPr>
            <w:tcW w:type="dxa" w:w="864"/>
          </w:tcPr>
          <w:p>
            <w:pPr>
              <w:spacing w:after="0" w:line="240" w:lineRule="auto"/>
              <w:jc w:val="center"/>
            </w:pPr>
            <w:r/>
            <w:r>
              <w:rPr>
                <w:sz w:val="15"/>
              </w:rPr>
              <w:t>3.25</w:t>
            </w:r>
          </w:p>
        </w:tc>
        <w:tc>
          <w:tcPr>
            <w:tcW w:type="dxa" w:w="1224"/>
          </w:tcPr>
          <w:p>
            <w:pPr>
              <w:spacing w:after="0" w:line="240" w:lineRule="auto"/>
              <w:jc w:val="center"/>
            </w:pPr>
            <w:r/>
            <w:r>
              <w:rPr>
                <w:sz w:val="15"/>
              </w:rPr>
              <w:t>—</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48</w:t>
            </w:r>
          </w:p>
        </w:tc>
        <w:tc>
          <w:tcPr>
            <w:tcW w:type="dxa" w:w="1152"/>
          </w:tcPr>
          <w:p>
            <w:pPr>
              <w:spacing w:after="0" w:line="240" w:lineRule="auto"/>
            </w:pPr>
            <w:r/>
            <w:r>
              <w:rPr>
                <w:sz w:val="15"/>
              </w:rPr>
              <w:t>C1-W-36</w:t>
            </w:r>
          </w:p>
        </w:tc>
        <w:tc>
          <w:tcPr>
            <w:tcW w:type="dxa" w:w="1080"/>
          </w:tcPr>
          <w:p>
            <w:pPr>
              <w:spacing w:after="0" w:line="240" w:lineRule="auto"/>
            </w:pPr>
            <w:r/>
            <w:r>
              <w:rPr>
                <w:sz w:val="15"/>
              </w:rPr>
              <w:t>C1-W-48</w:t>
            </w:r>
          </w:p>
        </w:tc>
        <w:tc>
          <w:tcPr>
            <w:tcW w:type="dxa" w:w="864"/>
          </w:tcPr>
          <w:p>
            <w:pPr>
              <w:spacing w:after="0" w:line="240" w:lineRule="auto"/>
              <w:jc w:val="center"/>
            </w:pPr>
            <w:r/>
            <w:r>
              <w:rPr>
                <w:sz w:val="15"/>
              </w:rPr>
              <w:t>0.371</w:t>
            </w:r>
          </w:p>
        </w:tc>
        <w:tc>
          <w:tcPr>
            <w:tcW w:type="dxa" w:w="1152"/>
          </w:tcPr>
          <w:p>
            <w:pPr>
              <w:spacing w:after="0" w:line="240" w:lineRule="auto"/>
              <w:jc w:val="center"/>
            </w:pPr>
            <w:r/>
            <w:r>
              <w:rPr>
                <w:sz w:val="15"/>
              </w:rPr>
              <w:t>0.360</w:t>
            </w:r>
          </w:p>
        </w:tc>
        <w:tc>
          <w:tcPr>
            <w:tcW w:type="dxa" w:w="1080"/>
          </w:tcPr>
          <w:p>
            <w:pPr>
              <w:spacing w:after="0" w:line="240" w:lineRule="auto"/>
              <w:jc w:val="center"/>
            </w:pPr>
            <w:r/>
            <w:r>
              <w:rPr>
                <w:sz w:val="15"/>
              </w:rPr>
              <w:t>0.358</w:t>
            </w:r>
          </w:p>
        </w:tc>
        <w:tc>
          <w:tcPr>
            <w:tcW w:type="dxa" w:w="864"/>
          </w:tcPr>
          <w:p>
            <w:pPr>
              <w:spacing w:after="0" w:line="240" w:lineRule="auto"/>
              <w:jc w:val="center"/>
            </w:pPr>
            <w:r/>
            <w:r>
              <w:rPr>
                <w:sz w:val="15"/>
              </w:rPr>
              <w:t>0.011</w:t>
            </w:r>
          </w:p>
        </w:tc>
        <w:tc>
          <w:tcPr>
            <w:tcW w:type="dxa" w:w="864"/>
          </w:tcPr>
          <w:p>
            <w:pPr>
              <w:spacing w:after="0" w:line="240" w:lineRule="auto"/>
              <w:jc w:val="center"/>
            </w:pPr>
            <w:r/>
            <w:r>
              <w:rPr>
                <w:sz w:val="15"/>
              </w:rPr>
              <w:t>2.75</w:t>
            </w:r>
          </w:p>
        </w:tc>
        <w:tc>
          <w:tcPr>
            <w:tcW w:type="dxa" w:w="1224"/>
          </w:tcPr>
          <w:p>
            <w:pPr>
              <w:spacing w:after="0" w:line="240" w:lineRule="auto"/>
              <w:jc w:val="center"/>
            </w:pPr>
            <w:r/>
            <w:r>
              <w:rPr>
                <w:sz w:val="15"/>
              </w:rPr>
              <w:t>0.002</w:t>
            </w:r>
          </w:p>
        </w:tc>
      </w:tr>
      <w:tr>
        <w:trPr>
          <w:cantSplit w:val="true"/>
        </w:trPr>
        <w:tc>
          <w:tcPr>
            <w:tcW w:type="dxa" w:w="648"/>
          </w:tcPr>
          <w:p>
            <w:pPr>
              <w:spacing w:after="0" w:line="240" w:lineRule="auto"/>
              <w:jc w:val="center"/>
            </w:pPr>
            <w:r/>
            <w:r>
              <w:rPr>
                <w:sz w:val="15"/>
              </w:rPr>
              <w:t>W</w:t>
            </w:r>
          </w:p>
        </w:tc>
        <w:tc>
          <w:tcPr>
            <w:tcW w:type="dxa" w:w="864"/>
          </w:tcPr>
          <w:p>
            <w:pPr>
              <w:spacing w:after="0" w:line="240" w:lineRule="auto"/>
              <w:jc w:val="center"/>
            </w:pPr>
            <w:r/>
            <w:r>
              <w:rPr>
                <w:sz w:val="15"/>
              </w:rPr>
              <w:t>72</w:t>
            </w:r>
          </w:p>
        </w:tc>
        <w:tc>
          <w:tcPr>
            <w:tcW w:type="dxa" w:w="1152"/>
          </w:tcPr>
          <w:p>
            <w:pPr>
              <w:spacing w:after="0" w:line="240" w:lineRule="auto"/>
            </w:pPr>
            <w:r/>
            <w:r>
              <w:rPr>
                <w:sz w:val="15"/>
              </w:rPr>
              <w:t>C1-W-60</w:t>
            </w:r>
          </w:p>
        </w:tc>
        <w:tc>
          <w:tcPr>
            <w:tcW w:type="dxa" w:w="1080"/>
          </w:tcPr>
          <w:p>
            <w:pPr>
              <w:spacing w:after="0" w:line="240" w:lineRule="auto"/>
            </w:pPr>
            <w:r/>
            <w:r>
              <w:rPr>
                <w:sz w:val="15"/>
              </w:rPr>
              <w:t>C1-W-72</w:t>
            </w:r>
          </w:p>
        </w:tc>
        <w:tc>
          <w:tcPr>
            <w:tcW w:type="dxa" w:w="864"/>
          </w:tcPr>
          <w:p>
            <w:pPr>
              <w:spacing w:after="0" w:line="240" w:lineRule="auto"/>
              <w:jc w:val="center"/>
            </w:pPr>
            <w:r/>
            <w:r>
              <w:rPr>
                <w:sz w:val="15"/>
              </w:rPr>
              <w:t>0.379</w:t>
            </w:r>
          </w:p>
        </w:tc>
        <w:tc>
          <w:tcPr>
            <w:tcW w:type="dxa" w:w="1152"/>
          </w:tcPr>
          <w:p>
            <w:pPr>
              <w:spacing w:after="0" w:line="240" w:lineRule="auto"/>
              <w:jc w:val="center"/>
            </w:pPr>
            <w:r/>
            <w:r>
              <w:rPr>
                <w:sz w:val="15"/>
              </w:rPr>
              <w:t>0.370</w:t>
            </w:r>
          </w:p>
        </w:tc>
        <w:tc>
          <w:tcPr>
            <w:tcW w:type="dxa" w:w="1080"/>
          </w:tcPr>
          <w:p>
            <w:pPr>
              <w:spacing w:after="0" w:line="240" w:lineRule="auto"/>
              <w:jc w:val="center"/>
            </w:pPr>
            <w:r/>
            <w:r>
              <w:rPr>
                <w:sz w:val="15"/>
              </w:rPr>
              <w:t>0.368</w:t>
            </w:r>
          </w:p>
        </w:tc>
        <w:tc>
          <w:tcPr>
            <w:tcW w:type="dxa" w:w="864"/>
          </w:tcPr>
          <w:p>
            <w:pPr>
              <w:spacing w:after="0" w:line="240" w:lineRule="auto"/>
              <w:jc w:val="center"/>
            </w:pPr>
            <w:r/>
            <w:r>
              <w:rPr>
                <w:sz w:val="15"/>
              </w:rPr>
              <w:t>0.009</w:t>
            </w:r>
          </w:p>
        </w:tc>
        <w:tc>
          <w:tcPr>
            <w:tcW w:type="dxa" w:w="864"/>
          </w:tcPr>
          <w:p>
            <w:pPr>
              <w:spacing w:after="0" w:line="240" w:lineRule="auto"/>
              <w:jc w:val="center"/>
            </w:pPr>
            <w:r/>
            <w:r>
              <w:rPr>
                <w:sz w:val="15"/>
              </w:rPr>
              <w:t>2.25</w:t>
            </w:r>
          </w:p>
        </w:tc>
        <w:tc>
          <w:tcPr>
            <w:tcW w:type="dxa" w:w="1224"/>
          </w:tcPr>
          <w:p>
            <w:pPr>
              <w:spacing w:after="0" w:line="240" w:lineRule="auto"/>
              <w:jc w:val="center"/>
            </w:pPr>
            <w:r/>
            <w:r>
              <w:rPr>
                <w:sz w:val="15"/>
              </w:rPr>
              <w:t>0.002</w:t>
            </w:r>
          </w:p>
        </w:tc>
      </w:tr>
    </w:tbl>
    <w:p>
      <w:pPr>
        <w:spacing w:after="40"/>
      </w:pPr>
    </w:p>
    <w:p>
      <w:pPr>
        <w:spacing w:after="120"/>
      </w:pPr>
      <w:r>
        <w:rPr>
          <w:i/>
          <w:sz w:val="17"/>
        </w:rPr>
        <w:t>MF = Merrowfield; AG = Ashgrove; CB = Cordell Bayou record CB-UT-2021-019 (Merrowfield baseline column). Sources: R1 sheet T-02-003 rows 10–29; R2 sheet T-02-003 rows 10–25. Ashgrove's NE, SE, SW and NW octants were read at 24 in only: 0.341, 0.342, 0.344, 0.343 in.</w:t>
      </w:r>
    </w:p>
    <w:p>
      <w:pPr>
        <w:pStyle w:val="Heading1"/>
      </w:pPr>
      <w:r>
        <w:t>Appendix B — Courses 2–5</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936"/>
        <w:gridCol w:w="1872"/>
        <w:gridCol w:w="1080"/>
        <w:gridCol w:w="1152"/>
        <w:gridCol w:w="1007"/>
        <w:gridCol w:w="936"/>
        <w:gridCol w:w="1512"/>
        <w:gridCol w:w="1296"/>
      </w:tblGrid>
      <w:tr>
        <w:trPr>
          <w:tblHeader w:val="true"/>
          <w:cantSplit w:val="true"/>
        </w:trPr>
        <w:tc>
          <w:tcPr>
            <w:tcW w:type="dxa" w:w="936"/>
            <w:shd w:val="clear" w:color="auto" w:fill="D5DEEA"/>
            <w:vAlign w:val="center"/>
          </w:tcPr>
          <w:p>
            <w:pPr>
              <w:spacing w:after="0"/>
            </w:pPr>
            <w:r/>
            <w:r>
              <w:rPr>
                <w:b/>
                <w:sz w:val="16"/>
              </w:rPr>
              <w:t>Course</w:t>
            </w:r>
          </w:p>
        </w:tc>
        <w:tc>
          <w:tcPr>
            <w:tcW w:type="dxa" w:w="1872"/>
            <w:shd w:val="clear" w:color="auto" w:fill="D5DEEA"/>
            <w:vAlign w:val="center"/>
          </w:tcPr>
          <w:p>
            <w:pPr>
              <w:spacing w:after="0"/>
            </w:pPr>
            <w:r/>
            <w:r>
              <w:rPr>
                <w:b/>
                <w:sz w:val="16"/>
              </w:rPr>
              <w:t>MF grid (elev. above weld)</w:t>
            </w:r>
          </w:p>
        </w:tc>
        <w:tc>
          <w:tcPr>
            <w:tcW w:type="dxa" w:w="1080"/>
            <w:shd w:val="clear" w:color="auto" w:fill="D5DEEA"/>
            <w:vAlign w:val="center"/>
          </w:tcPr>
          <w:p>
            <w:pPr>
              <w:spacing w:after="0"/>
            </w:pPr>
            <w:r/>
            <w:r>
              <w:rPr>
                <w:b/>
                <w:sz w:val="16"/>
              </w:rPr>
              <w:t>CB 04/2021 (in)</w:t>
            </w:r>
          </w:p>
        </w:tc>
        <w:tc>
          <w:tcPr>
            <w:tcW w:type="dxa" w:w="1152"/>
            <w:shd w:val="clear" w:color="auto" w:fill="D5DEEA"/>
            <w:vAlign w:val="center"/>
          </w:tcPr>
          <w:p>
            <w:pPr>
              <w:spacing w:after="0"/>
            </w:pPr>
            <w:r/>
            <w:r>
              <w:rPr>
                <w:b/>
                <w:sz w:val="16"/>
              </w:rPr>
              <w:t>MF 04/2025 (in)</w:t>
            </w:r>
          </w:p>
        </w:tc>
        <w:tc>
          <w:tcPr>
            <w:tcW w:type="dxa" w:w="1008"/>
            <w:shd w:val="clear" w:color="auto" w:fill="D5DEEA"/>
            <w:vAlign w:val="center"/>
          </w:tcPr>
          <w:p>
            <w:pPr>
              <w:spacing w:after="0"/>
            </w:pPr>
            <w:r/>
            <w:r>
              <w:rPr>
                <w:b/>
                <w:sz w:val="16"/>
              </w:rPr>
              <w:t>Loss (in)</w:t>
            </w:r>
          </w:p>
        </w:tc>
        <w:tc>
          <w:tcPr>
            <w:tcW w:type="dxa" w:w="936"/>
            <w:shd w:val="clear" w:color="auto" w:fill="D5DEEA"/>
            <w:vAlign w:val="center"/>
          </w:tcPr>
          <w:p>
            <w:pPr>
              <w:spacing w:after="0"/>
            </w:pPr>
            <w:r/>
            <w:r>
              <w:rPr>
                <w:b/>
                <w:sz w:val="16"/>
              </w:rPr>
              <w:t>Rate (mpy)</w:t>
            </w:r>
          </w:p>
        </w:tc>
        <w:tc>
          <w:tcPr>
            <w:tcW w:type="dxa" w:w="1512"/>
            <w:shd w:val="clear" w:color="auto" w:fill="D5DEEA"/>
            <w:vAlign w:val="center"/>
          </w:tcPr>
          <w:p>
            <w:pPr>
              <w:spacing w:after="0"/>
            </w:pPr>
            <w:r/>
            <w:r>
              <w:rPr>
                <w:b/>
                <w:sz w:val="16"/>
              </w:rPr>
              <w:t>AG grid (elev. above weld)</w:t>
            </w:r>
          </w:p>
        </w:tc>
        <w:tc>
          <w:tcPr>
            <w:tcW w:type="dxa" w:w="1296"/>
            <w:shd w:val="clear" w:color="auto" w:fill="D5DEEA"/>
            <w:vAlign w:val="center"/>
          </w:tcPr>
          <w:p>
            <w:pPr>
              <w:spacing w:after="0"/>
            </w:pPr>
            <w:r/>
            <w:r>
              <w:rPr>
                <w:b/>
                <w:sz w:val="16"/>
              </w:rPr>
              <w:t>AG 09/2025 (in)</w:t>
            </w:r>
          </w:p>
        </w:tc>
      </w:tr>
      <w:tr>
        <w:trPr>
          <w:cantSplit w:val="true"/>
        </w:trPr>
        <w:tc>
          <w:tcPr>
            <w:tcW w:type="dxa" w:w="936"/>
          </w:tcPr>
          <w:p>
            <w:pPr>
              <w:spacing w:after="0" w:line="240" w:lineRule="auto"/>
              <w:jc w:val="center"/>
            </w:pPr>
            <w:r/>
            <w:r>
              <w:rPr>
                <w:sz w:val="16"/>
              </w:rPr>
              <w:t>2</w:t>
            </w:r>
          </w:p>
        </w:tc>
        <w:tc>
          <w:tcPr>
            <w:tcW w:type="dxa" w:w="1872"/>
          </w:tcPr>
          <w:p>
            <w:pPr>
              <w:spacing w:after="0" w:line="240" w:lineRule="auto"/>
            </w:pPr>
            <w:r/>
            <w:r>
              <w:rPr>
                <w:sz w:val="16"/>
              </w:rPr>
              <w:t>C2-x-19 / C2-x-58 (127 / 166 in)</w:t>
            </w:r>
          </w:p>
        </w:tc>
        <w:tc>
          <w:tcPr>
            <w:tcW w:type="dxa" w:w="1080"/>
          </w:tcPr>
          <w:p>
            <w:pPr>
              <w:spacing w:after="0" w:line="240" w:lineRule="auto"/>
              <w:jc w:val="center"/>
            </w:pPr>
            <w:r/>
            <w:r>
              <w:rPr>
                <w:sz w:val="16"/>
              </w:rPr>
              <w:t>0.304 – 0.306</w:t>
            </w:r>
          </w:p>
        </w:tc>
        <w:tc>
          <w:tcPr>
            <w:tcW w:type="dxa" w:w="1152"/>
          </w:tcPr>
          <w:p>
            <w:pPr>
              <w:spacing w:after="0" w:line="240" w:lineRule="auto"/>
              <w:jc w:val="center"/>
            </w:pPr>
            <w:r/>
            <w:r>
              <w:rPr>
                <w:sz w:val="16"/>
              </w:rPr>
              <w:t>0.295 – 0.297</w:t>
            </w:r>
          </w:p>
        </w:tc>
        <w:tc>
          <w:tcPr>
            <w:tcW w:type="dxa" w:w="1008"/>
          </w:tcPr>
          <w:p>
            <w:pPr>
              <w:spacing w:after="0" w:line="240" w:lineRule="auto"/>
              <w:jc w:val="center"/>
            </w:pPr>
            <w:r/>
            <w:r>
              <w:rPr>
                <w:sz w:val="16"/>
              </w:rPr>
              <w:t>0.009</w:t>
            </w:r>
          </w:p>
        </w:tc>
        <w:tc>
          <w:tcPr>
            <w:tcW w:type="dxa" w:w="936"/>
          </w:tcPr>
          <w:p>
            <w:pPr>
              <w:spacing w:after="0" w:line="240" w:lineRule="auto"/>
              <w:jc w:val="center"/>
            </w:pPr>
            <w:r/>
            <w:r>
              <w:rPr>
                <w:sz w:val="16"/>
              </w:rPr>
              <w:t>2.25</w:t>
            </w:r>
          </w:p>
        </w:tc>
        <w:tc>
          <w:tcPr>
            <w:tcW w:type="dxa" w:w="1512"/>
          </w:tcPr>
          <w:p>
            <w:pPr>
              <w:spacing w:after="0" w:line="240" w:lineRule="auto"/>
            </w:pPr>
            <w:r/>
            <w:r>
              <w:rPr>
                <w:sz w:val="16"/>
              </w:rPr>
              <w:t>C2-x-24 (120 in)</w:t>
            </w:r>
          </w:p>
        </w:tc>
        <w:tc>
          <w:tcPr>
            <w:tcW w:type="dxa" w:w="1296"/>
          </w:tcPr>
          <w:p>
            <w:pPr>
              <w:spacing w:after="0" w:line="240" w:lineRule="auto"/>
              <w:jc w:val="center"/>
            </w:pPr>
            <w:r/>
            <w:r>
              <w:rPr>
                <w:sz w:val="16"/>
              </w:rPr>
              <w:t>0.293 – 0.295</w:t>
            </w:r>
          </w:p>
        </w:tc>
      </w:tr>
      <w:tr>
        <w:trPr>
          <w:cantSplit w:val="true"/>
        </w:trPr>
        <w:tc>
          <w:tcPr>
            <w:tcW w:type="dxa" w:w="936"/>
          </w:tcPr>
          <w:p>
            <w:pPr>
              <w:spacing w:after="0" w:line="240" w:lineRule="auto"/>
              <w:jc w:val="center"/>
            </w:pPr>
            <w:r/>
            <w:r>
              <w:rPr>
                <w:sz w:val="16"/>
              </w:rPr>
              <w:t>3</w:t>
            </w:r>
          </w:p>
        </w:tc>
        <w:tc>
          <w:tcPr>
            <w:tcW w:type="dxa" w:w="1872"/>
          </w:tcPr>
          <w:p>
            <w:pPr>
              <w:spacing w:after="0" w:line="240" w:lineRule="auto"/>
            </w:pPr>
            <w:r/>
            <w:r>
              <w:rPr>
                <w:sz w:val="16"/>
              </w:rPr>
              <w:t>C3-x-38 (242 in)</w:t>
            </w:r>
          </w:p>
        </w:tc>
        <w:tc>
          <w:tcPr>
            <w:tcW w:type="dxa" w:w="1080"/>
          </w:tcPr>
          <w:p>
            <w:pPr>
              <w:spacing w:after="0" w:line="240" w:lineRule="auto"/>
              <w:jc w:val="center"/>
            </w:pPr>
            <w:r/>
            <w:r>
              <w:rPr>
                <w:sz w:val="16"/>
              </w:rPr>
              <w:t>0.246 – 0.247</w:t>
            </w:r>
          </w:p>
        </w:tc>
        <w:tc>
          <w:tcPr>
            <w:tcW w:type="dxa" w:w="1152"/>
          </w:tcPr>
          <w:p>
            <w:pPr>
              <w:spacing w:after="0" w:line="240" w:lineRule="auto"/>
              <w:jc w:val="center"/>
            </w:pPr>
            <w:r/>
            <w:r>
              <w:rPr>
                <w:sz w:val="16"/>
              </w:rPr>
              <w:t>0.239 – 0.241</w:t>
            </w:r>
          </w:p>
        </w:tc>
        <w:tc>
          <w:tcPr>
            <w:tcW w:type="dxa" w:w="1008"/>
          </w:tcPr>
          <w:p>
            <w:pPr>
              <w:spacing w:after="0" w:line="240" w:lineRule="auto"/>
              <w:jc w:val="center"/>
            </w:pPr>
            <w:r/>
            <w:r>
              <w:rPr>
                <w:sz w:val="16"/>
              </w:rPr>
              <w:t>0.006 – 0.007</w:t>
            </w:r>
          </w:p>
        </w:tc>
        <w:tc>
          <w:tcPr>
            <w:tcW w:type="dxa" w:w="936"/>
          </w:tcPr>
          <w:p>
            <w:pPr>
              <w:spacing w:after="0" w:line="240" w:lineRule="auto"/>
              <w:jc w:val="center"/>
            </w:pPr>
            <w:r/>
            <w:r>
              <w:rPr>
                <w:sz w:val="16"/>
              </w:rPr>
              <w:t>1.50 – 1.75</w:t>
            </w:r>
          </w:p>
        </w:tc>
        <w:tc>
          <w:tcPr>
            <w:tcW w:type="dxa" w:w="1512"/>
          </w:tcPr>
          <w:p>
            <w:pPr>
              <w:spacing w:after="0" w:line="240" w:lineRule="auto"/>
            </w:pPr>
            <w:r/>
            <w:r>
              <w:rPr>
                <w:sz w:val="16"/>
              </w:rPr>
              <w:t>C3-x-24 (216 in)</w:t>
            </w:r>
          </w:p>
        </w:tc>
        <w:tc>
          <w:tcPr>
            <w:tcW w:type="dxa" w:w="1296"/>
          </w:tcPr>
          <w:p>
            <w:pPr>
              <w:spacing w:after="0" w:line="240" w:lineRule="auto"/>
              <w:jc w:val="center"/>
            </w:pPr>
            <w:r/>
            <w:r>
              <w:rPr>
                <w:sz w:val="16"/>
              </w:rPr>
              <w:t>0.237 – 0.239</w:t>
            </w:r>
          </w:p>
        </w:tc>
      </w:tr>
      <w:tr>
        <w:trPr>
          <w:cantSplit w:val="true"/>
        </w:trPr>
        <w:tc>
          <w:tcPr>
            <w:tcW w:type="dxa" w:w="936"/>
          </w:tcPr>
          <w:p>
            <w:pPr>
              <w:spacing w:after="0" w:line="240" w:lineRule="auto"/>
              <w:jc w:val="center"/>
            </w:pPr>
            <w:r/>
            <w:r>
              <w:rPr>
                <w:sz w:val="16"/>
              </w:rPr>
              <w:t>4</w:t>
            </w:r>
          </w:p>
        </w:tc>
        <w:tc>
          <w:tcPr>
            <w:tcW w:type="dxa" w:w="1872"/>
          </w:tcPr>
          <w:p>
            <w:pPr>
              <w:spacing w:after="0" w:line="240" w:lineRule="auto"/>
            </w:pPr>
            <w:r/>
            <w:r>
              <w:rPr>
                <w:sz w:val="16"/>
              </w:rPr>
              <w:t>C4-x-38 (338 in)</w:t>
            </w:r>
          </w:p>
        </w:tc>
        <w:tc>
          <w:tcPr>
            <w:tcW w:type="dxa" w:w="1080"/>
          </w:tcPr>
          <w:p>
            <w:pPr>
              <w:spacing w:after="0" w:line="240" w:lineRule="auto"/>
              <w:jc w:val="center"/>
            </w:pPr>
            <w:r/>
            <w:r>
              <w:rPr>
                <w:sz w:val="16"/>
              </w:rPr>
              <w:t>0.247 – 0.248</w:t>
            </w:r>
          </w:p>
        </w:tc>
        <w:tc>
          <w:tcPr>
            <w:tcW w:type="dxa" w:w="1152"/>
          </w:tcPr>
          <w:p>
            <w:pPr>
              <w:spacing w:after="0" w:line="240" w:lineRule="auto"/>
              <w:jc w:val="center"/>
            </w:pPr>
            <w:r/>
            <w:r>
              <w:rPr>
                <w:sz w:val="16"/>
              </w:rPr>
              <w:t>0.243 – 0.245</w:t>
            </w:r>
          </w:p>
        </w:tc>
        <w:tc>
          <w:tcPr>
            <w:tcW w:type="dxa" w:w="1008"/>
          </w:tcPr>
          <w:p>
            <w:pPr>
              <w:spacing w:after="0" w:line="240" w:lineRule="auto"/>
              <w:jc w:val="center"/>
            </w:pPr>
            <w:r/>
            <w:r>
              <w:rPr>
                <w:sz w:val="16"/>
              </w:rPr>
              <w:t>0.003 – 0.004</w:t>
            </w:r>
          </w:p>
        </w:tc>
        <w:tc>
          <w:tcPr>
            <w:tcW w:type="dxa" w:w="936"/>
          </w:tcPr>
          <w:p>
            <w:pPr>
              <w:spacing w:after="0" w:line="240" w:lineRule="auto"/>
              <w:jc w:val="center"/>
            </w:pPr>
            <w:r/>
            <w:r>
              <w:rPr>
                <w:sz w:val="16"/>
              </w:rPr>
              <w:t>0.75 – 1.00</w:t>
            </w:r>
          </w:p>
        </w:tc>
        <w:tc>
          <w:tcPr>
            <w:tcW w:type="dxa" w:w="1512"/>
          </w:tcPr>
          <w:p>
            <w:pPr>
              <w:spacing w:after="0" w:line="240" w:lineRule="auto"/>
            </w:pPr>
            <w:r/>
            <w:r>
              <w:rPr>
                <w:sz w:val="16"/>
              </w:rPr>
              <w:t>C4-x-24 (312 in)</w:t>
            </w:r>
          </w:p>
        </w:tc>
        <w:tc>
          <w:tcPr>
            <w:tcW w:type="dxa" w:w="1296"/>
          </w:tcPr>
          <w:p>
            <w:pPr>
              <w:spacing w:after="0" w:line="240" w:lineRule="auto"/>
              <w:jc w:val="center"/>
            </w:pPr>
            <w:r/>
            <w:r>
              <w:rPr>
                <w:sz w:val="16"/>
              </w:rPr>
              <w:t>0.241 – 0.243</w:t>
            </w:r>
          </w:p>
        </w:tc>
      </w:tr>
      <w:tr>
        <w:trPr>
          <w:cantSplit w:val="true"/>
        </w:trPr>
        <w:tc>
          <w:tcPr>
            <w:tcW w:type="dxa" w:w="936"/>
          </w:tcPr>
          <w:p>
            <w:pPr>
              <w:spacing w:after="0" w:line="240" w:lineRule="auto"/>
              <w:jc w:val="center"/>
            </w:pPr>
            <w:r/>
            <w:r>
              <w:rPr>
                <w:sz w:val="16"/>
              </w:rPr>
              <w:t>5</w:t>
            </w:r>
          </w:p>
        </w:tc>
        <w:tc>
          <w:tcPr>
            <w:tcW w:type="dxa" w:w="1872"/>
          </w:tcPr>
          <w:p>
            <w:pPr>
              <w:spacing w:after="0" w:line="240" w:lineRule="auto"/>
            </w:pPr>
            <w:r/>
            <w:r>
              <w:rPr>
                <w:sz w:val="16"/>
              </w:rPr>
              <w:t>C5-x-38 (434 in)</w:t>
            </w:r>
          </w:p>
        </w:tc>
        <w:tc>
          <w:tcPr>
            <w:tcW w:type="dxa" w:w="1080"/>
          </w:tcPr>
          <w:p>
            <w:pPr>
              <w:spacing w:after="0" w:line="240" w:lineRule="auto"/>
              <w:jc w:val="center"/>
            </w:pPr>
            <w:r/>
            <w:r>
              <w:rPr>
                <w:sz w:val="16"/>
              </w:rPr>
              <w:t>0.248 – 0.249</w:t>
            </w:r>
          </w:p>
        </w:tc>
        <w:tc>
          <w:tcPr>
            <w:tcW w:type="dxa" w:w="1152"/>
          </w:tcPr>
          <w:p>
            <w:pPr>
              <w:spacing w:after="0" w:line="240" w:lineRule="auto"/>
              <w:jc w:val="center"/>
            </w:pPr>
            <w:r/>
            <w:r>
              <w:rPr>
                <w:sz w:val="16"/>
              </w:rPr>
              <w:t>0.245 – 0.247</w:t>
            </w:r>
          </w:p>
        </w:tc>
        <w:tc>
          <w:tcPr>
            <w:tcW w:type="dxa" w:w="1008"/>
          </w:tcPr>
          <w:p>
            <w:pPr>
              <w:spacing w:after="0" w:line="240" w:lineRule="auto"/>
              <w:jc w:val="center"/>
            </w:pPr>
            <w:r/>
            <w:r>
              <w:rPr>
                <w:sz w:val="16"/>
              </w:rPr>
              <w:t>0.002 – 0.003</w:t>
            </w:r>
          </w:p>
        </w:tc>
        <w:tc>
          <w:tcPr>
            <w:tcW w:type="dxa" w:w="936"/>
          </w:tcPr>
          <w:p>
            <w:pPr>
              <w:spacing w:after="0" w:line="240" w:lineRule="auto"/>
              <w:jc w:val="center"/>
            </w:pPr>
            <w:r/>
            <w:r>
              <w:rPr>
                <w:sz w:val="16"/>
              </w:rPr>
              <w:t>0.50 – 0.75</w:t>
            </w:r>
          </w:p>
        </w:tc>
        <w:tc>
          <w:tcPr>
            <w:tcW w:type="dxa" w:w="1512"/>
          </w:tcPr>
          <w:p>
            <w:pPr>
              <w:spacing w:after="0" w:line="240" w:lineRule="auto"/>
            </w:pPr>
            <w:r/>
            <w:r>
              <w:rPr>
                <w:sz w:val="16"/>
              </w:rPr>
              <w:t>C5-x-24 (408 in)</w:t>
            </w:r>
          </w:p>
        </w:tc>
        <w:tc>
          <w:tcPr>
            <w:tcW w:type="dxa" w:w="1296"/>
          </w:tcPr>
          <w:p>
            <w:pPr>
              <w:spacing w:after="0" w:line="240" w:lineRule="auto"/>
              <w:jc w:val="center"/>
            </w:pPr>
            <w:r/>
            <w:r>
              <w:rPr>
                <w:sz w:val="16"/>
              </w:rPr>
              <w:t>0.243 – 0.245</w:t>
            </w:r>
          </w:p>
        </w:tc>
      </w:tr>
    </w:tbl>
    <w:p>
      <w:pPr>
        <w:spacing w:after="40"/>
      </w:pPr>
    </w:p>
    <w:p>
      <w:pPr>
        <w:spacing w:after="120"/>
      </w:pPr>
      <w:r>
        <w:rPr>
          <w:i/>
          <w:sz w:val="17"/>
        </w:rPr>
        <w:t>Abbreviations as Appendix A. No Merrowfield and Ashgrove stations coincide on courses 2–5. Ranges cover the N, E, S and W quadrants. Sources: R1, R2 sheets T-02-003.</w:t>
      </w:r>
    </w:p>
    <w:p>
      <w:pPr>
        <w:pStyle w:val="Heading1"/>
      </w:pPr>
      <w:r>
        <w:t>Appendix C — Date arithmetic</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3744"/>
        <w:gridCol w:w="864"/>
        <w:gridCol w:w="2304"/>
        <w:gridCol w:w="2880"/>
      </w:tblGrid>
      <w:tr>
        <w:trPr>
          <w:tblHeader w:val="true"/>
          <w:cantSplit w:val="true"/>
        </w:trPr>
        <w:tc>
          <w:tcPr>
            <w:tcW w:type="dxa" w:w="3744"/>
            <w:shd w:val="clear" w:color="auto" w:fill="D5DEEA"/>
            <w:vAlign w:val="center"/>
          </w:tcPr>
          <w:p>
            <w:pPr>
              <w:spacing w:after="0"/>
            </w:pPr>
            <w:r/>
            <w:r>
              <w:rPr>
                <w:b/>
                <w:sz w:val="17"/>
              </w:rPr>
              <w:t>Interval</w:t>
            </w:r>
          </w:p>
        </w:tc>
        <w:tc>
          <w:tcPr>
            <w:tcW w:type="dxa" w:w="864"/>
            <w:shd w:val="clear" w:color="auto" w:fill="D5DEEA"/>
            <w:vAlign w:val="center"/>
          </w:tcPr>
          <w:p>
            <w:pPr>
              <w:spacing w:after="0"/>
            </w:pPr>
            <w:r/>
            <w:r>
              <w:rPr>
                <w:b/>
                <w:sz w:val="17"/>
              </w:rPr>
              <w:t>Days</w:t>
            </w:r>
          </w:p>
        </w:tc>
        <w:tc>
          <w:tcPr>
            <w:tcW w:type="dxa" w:w="2304"/>
            <w:shd w:val="clear" w:color="auto" w:fill="D5DEEA"/>
            <w:vAlign w:val="center"/>
          </w:tcPr>
          <w:p>
            <w:pPr>
              <w:spacing w:after="0"/>
            </w:pPr>
            <w:r/>
            <w:r>
              <w:rPr>
                <w:b/>
                <w:sz w:val="17"/>
              </w:rPr>
              <w:t>Years (÷ 365.25)</w:t>
            </w:r>
          </w:p>
        </w:tc>
        <w:tc>
          <w:tcPr>
            <w:tcW w:type="dxa" w:w="2880"/>
            <w:shd w:val="clear" w:color="auto" w:fill="D5DEEA"/>
            <w:vAlign w:val="center"/>
          </w:tcPr>
          <w:p>
            <w:pPr>
              <w:spacing w:after="0"/>
            </w:pPr>
            <w:r/>
            <w:r>
              <w:rPr>
                <w:b/>
                <w:sz w:val="17"/>
              </w:rPr>
              <w:t>Used in</w:t>
            </w:r>
          </w:p>
        </w:tc>
      </w:tr>
      <w:tr>
        <w:trPr>
          <w:cantSplit w:val="true"/>
        </w:trPr>
        <w:tc>
          <w:tcPr>
            <w:tcW w:type="dxa" w:w="3744"/>
          </w:tcPr>
          <w:p>
            <w:pPr>
              <w:spacing w:after="0" w:line="240" w:lineRule="auto"/>
            </w:pPr>
            <w:r/>
            <w:r>
              <w:rPr>
                <w:sz w:val="17"/>
              </w:rPr>
              <w:t>09/14/1987 (in service, R13 §7.3) → 09/12/2025</w:t>
            </w:r>
          </w:p>
        </w:tc>
        <w:tc>
          <w:tcPr>
            <w:tcW w:type="dxa" w:w="864"/>
          </w:tcPr>
          <w:p>
            <w:pPr>
              <w:spacing w:after="0" w:line="240" w:lineRule="auto"/>
              <w:jc w:val="center"/>
            </w:pPr>
            <w:r/>
            <w:r>
              <w:rPr>
                <w:sz w:val="17"/>
              </w:rPr>
              <w:t>13878</w:t>
            </w:r>
          </w:p>
        </w:tc>
        <w:tc>
          <w:tcPr>
            <w:tcW w:type="dxa" w:w="2304"/>
          </w:tcPr>
          <w:p>
            <w:pPr>
              <w:spacing w:after="0" w:line="240" w:lineRule="auto"/>
            </w:pPr>
            <w:r/>
            <w:r>
              <w:rPr>
                <w:sz w:val="17"/>
              </w:rPr>
              <w:t>37.996</w:t>
            </w:r>
          </w:p>
        </w:tc>
        <w:tc>
          <w:tcPr>
            <w:tcW w:type="dxa" w:w="2880"/>
          </w:tcPr>
          <w:p>
            <w:pPr>
              <w:spacing w:after="0" w:line="240" w:lineRule="auto"/>
            </w:pPr>
            <w:r/>
            <w:r>
              <w:rPr>
                <w:sz w:val="17"/>
              </w:rPr>
              <w:t>Basis A: (0.375 − 0.303) ÷ 38.0 = 1.9 mpy</w:t>
            </w:r>
          </w:p>
        </w:tc>
      </w:tr>
      <w:tr>
        <w:trPr>
          <w:cantSplit w:val="true"/>
        </w:trPr>
        <w:tc>
          <w:tcPr>
            <w:tcW w:type="dxa" w:w="3744"/>
          </w:tcPr>
          <w:p>
            <w:pPr>
              <w:spacing w:after="0" w:line="240" w:lineRule="auto"/>
            </w:pPr>
            <w:r/>
            <w:r>
              <w:rPr>
                <w:sz w:val="17"/>
              </w:rPr>
              <w:t>09/14/1987 → 04/28/2025</w:t>
            </w:r>
          </w:p>
        </w:tc>
        <w:tc>
          <w:tcPr>
            <w:tcW w:type="dxa" w:w="864"/>
          </w:tcPr>
          <w:p>
            <w:pPr>
              <w:spacing w:after="0" w:line="240" w:lineRule="auto"/>
              <w:jc w:val="center"/>
            </w:pPr>
            <w:r/>
            <w:r>
              <w:rPr>
                <w:sz w:val="17"/>
              </w:rPr>
              <w:t>13741</w:t>
            </w:r>
          </w:p>
        </w:tc>
        <w:tc>
          <w:tcPr>
            <w:tcW w:type="dxa" w:w="2304"/>
          </w:tcPr>
          <w:p>
            <w:pPr>
              <w:spacing w:after="0" w:line="240" w:lineRule="auto"/>
            </w:pPr>
            <w:r/>
            <w:r>
              <w:rPr>
                <w:sz w:val="17"/>
              </w:rPr>
              <w:t>37.621</w:t>
            </w:r>
          </w:p>
        </w:tc>
        <w:tc>
          <w:tcPr>
            <w:tcW w:type="dxa" w:w="2880"/>
          </w:tcPr>
          <w:p>
            <w:pPr>
              <w:spacing w:after="0" w:line="240" w:lineRule="auto"/>
            </w:pPr>
            <w:r/>
            <w:r>
              <w:rPr>
                <w:sz w:val="17"/>
              </w:rPr>
              <w:t>Basis B: (0.375 − 0.334) ÷ 37.6 = 1.1 mpy</w:t>
            </w:r>
          </w:p>
        </w:tc>
      </w:tr>
      <w:tr>
        <w:trPr>
          <w:cantSplit w:val="true"/>
        </w:trPr>
        <w:tc>
          <w:tcPr>
            <w:tcW w:type="dxa" w:w="3744"/>
          </w:tcPr>
          <w:p>
            <w:pPr>
              <w:spacing w:after="0" w:line="240" w:lineRule="auto"/>
            </w:pPr>
            <w:r/>
            <w:r>
              <w:rPr>
                <w:sz w:val="17"/>
              </w:rPr>
              <w:t>04/2021 → 04/28/2025</w:t>
            </w:r>
          </w:p>
        </w:tc>
        <w:tc>
          <w:tcPr>
            <w:tcW w:type="dxa" w:w="864"/>
          </w:tcPr>
          <w:p>
            <w:pPr>
              <w:spacing w:after="0" w:line="240" w:lineRule="auto"/>
              <w:jc w:val="center"/>
            </w:pPr>
            <w:r/>
            <w:r>
              <w:rPr>
                <w:sz w:val="17"/>
              </w:rPr>
              <w:t>—</w:t>
            </w:r>
          </w:p>
        </w:tc>
        <w:tc>
          <w:tcPr>
            <w:tcW w:type="dxa" w:w="2304"/>
          </w:tcPr>
          <w:p>
            <w:pPr>
              <w:spacing w:after="0" w:line="240" w:lineRule="auto"/>
            </w:pPr>
            <w:r/>
            <w:r>
              <w:rPr>
                <w:sz w:val="17"/>
              </w:rPr>
              <w:t>4.0 (month to month; 2021 day not recorded)</w:t>
            </w:r>
          </w:p>
        </w:tc>
        <w:tc>
          <w:tcPr>
            <w:tcW w:type="dxa" w:w="2880"/>
          </w:tcPr>
          <w:p>
            <w:pPr>
              <w:spacing w:after="0" w:line="240" w:lineRule="auto"/>
            </w:pPr>
            <w:r/>
            <w:r>
              <w:rPr>
                <w:sz w:val="17"/>
              </w:rPr>
              <w:t>Basis F: 0.015 ÷ 4.0 = 3.75 mpy</w:t>
            </w:r>
          </w:p>
        </w:tc>
      </w:tr>
      <w:tr>
        <w:trPr>
          <w:cantSplit w:val="true"/>
        </w:trPr>
        <w:tc>
          <w:tcPr>
            <w:tcW w:type="dxa" w:w="3744"/>
          </w:tcPr>
          <w:p>
            <w:pPr>
              <w:spacing w:after="0" w:line="240" w:lineRule="auto"/>
            </w:pPr>
            <w:r/>
            <w:r>
              <w:rPr>
                <w:sz w:val="17"/>
              </w:rPr>
              <w:t>04/29/2025 → 09/12/2025</w:t>
            </w:r>
          </w:p>
        </w:tc>
        <w:tc>
          <w:tcPr>
            <w:tcW w:type="dxa" w:w="864"/>
          </w:tcPr>
          <w:p>
            <w:pPr>
              <w:spacing w:after="0" w:line="240" w:lineRule="auto"/>
              <w:jc w:val="center"/>
            </w:pPr>
            <w:r/>
            <w:r>
              <w:rPr>
                <w:sz w:val="17"/>
              </w:rPr>
              <w:t>136</w:t>
            </w:r>
          </w:p>
        </w:tc>
        <w:tc>
          <w:tcPr>
            <w:tcW w:type="dxa" w:w="2304"/>
          </w:tcPr>
          <w:p>
            <w:pPr>
              <w:spacing w:after="0" w:line="240" w:lineRule="auto"/>
            </w:pPr>
            <w:r/>
            <w:r>
              <w:rPr>
                <w:sz w:val="17"/>
              </w:rPr>
              <w:t>0.372</w:t>
            </w:r>
          </w:p>
        </w:tc>
        <w:tc>
          <w:tcPr>
            <w:tcW w:type="dxa" w:w="2880"/>
          </w:tcPr>
          <w:p>
            <w:pPr>
              <w:spacing w:after="0" w:line="240" w:lineRule="auto"/>
            </w:pPr>
            <w:r/>
            <w:r>
              <w:rPr>
                <w:sz w:val="17"/>
              </w:rPr>
              <w:t>Bases C and E</w:t>
            </w:r>
          </w:p>
        </w:tc>
      </w:tr>
      <w:tr>
        <w:trPr>
          <w:cantSplit w:val="true"/>
        </w:trPr>
        <w:tc>
          <w:tcPr>
            <w:tcW w:type="dxa" w:w="3744"/>
          </w:tcPr>
          <w:p>
            <w:pPr>
              <w:spacing w:after="0" w:line="240" w:lineRule="auto"/>
            </w:pPr>
            <w:r/>
            <w:r>
              <w:rPr>
                <w:sz w:val="17"/>
              </w:rPr>
              <w:t>06/16/2025 (event) → 09/12/2025</w:t>
            </w:r>
          </w:p>
        </w:tc>
        <w:tc>
          <w:tcPr>
            <w:tcW w:type="dxa" w:w="864"/>
          </w:tcPr>
          <w:p>
            <w:pPr>
              <w:spacing w:after="0" w:line="240" w:lineRule="auto"/>
              <w:jc w:val="center"/>
            </w:pPr>
            <w:r/>
            <w:r>
              <w:rPr>
                <w:sz w:val="17"/>
              </w:rPr>
              <w:t>88</w:t>
            </w:r>
          </w:p>
        </w:tc>
        <w:tc>
          <w:tcPr>
            <w:tcW w:type="dxa" w:w="2304"/>
          </w:tcPr>
          <w:p>
            <w:pPr>
              <w:spacing w:after="0" w:line="240" w:lineRule="auto"/>
            </w:pPr>
            <w:r/>
            <w:r>
              <w:rPr>
                <w:sz w:val="17"/>
              </w:rPr>
              <w:t>0.241</w:t>
            </w:r>
          </w:p>
        </w:tc>
        <w:tc>
          <w:tcPr>
            <w:tcW w:type="dxa" w:w="2880"/>
          </w:tcPr>
          <w:p>
            <w:pPr>
              <w:spacing w:after="0" w:line="240" w:lineRule="auto"/>
            </w:pPr>
            <w:r/>
            <w:r>
              <w:rPr>
                <w:sz w:val="17"/>
              </w:rPr>
              <w:t>Post-event part of basis E</w:t>
            </w:r>
          </w:p>
        </w:tc>
      </w:tr>
      <w:tr>
        <w:trPr>
          <w:cantSplit w:val="true"/>
        </w:trPr>
        <w:tc>
          <w:tcPr>
            <w:tcW w:type="dxa" w:w="3744"/>
          </w:tcPr>
          <w:p>
            <w:pPr>
              <w:spacing w:after="0" w:line="240" w:lineRule="auto"/>
            </w:pPr>
            <w:r/>
            <w:r>
              <w:rPr>
                <w:sz w:val="17"/>
              </w:rPr>
              <w:t>09/12/2025 → 06/15/2026</w:t>
            </w:r>
          </w:p>
        </w:tc>
        <w:tc>
          <w:tcPr>
            <w:tcW w:type="dxa" w:w="864"/>
          </w:tcPr>
          <w:p>
            <w:pPr>
              <w:spacing w:after="0" w:line="240" w:lineRule="auto"/>
              <w:jc w:val="center"/>
            </w:pPr>
            <w:r/>
            <w:r>
              <w:rPr>
                <w:sz w:val="17"/>
              </w:rPr>
              <w:t>276</w:t>
            </w:r>
          </w:p>
        </w:tc>
        <w:tc>
          <w:tcPr>
            <w:tcW w:type="dxa" w:w="2304"/>
          </w:tcPr>
          <w:p>
            <w:pPr>
              <w:spacing w:after="0" w:line="240" w:lineRule="auto"/>
            </w:pPr>
            <w:r/>
            <w:r>
              <w:rPr>
                <w:sz w:val="17"/>
              </w:rPr>
              <w:t>0.756</w:t>
            </w:r>
          </w:p>
        </w:tc>
        <w:tc>
          <w:tcPr>
            <w:tcW w:type="dxa" w:w="2880"/>
          </w:tcPr>
          <w:p>
            <w:pPr>
              <w:spacing w:after="0" w:line="240" w:lineRule="auto"/>
            </w:pPr>
            <w:r/>
            <w:r>
              <w:rPr>
                <w:sz w:val="17"/>
              </w:rPr>
              <w:t>Loss to the assessment date</w:t>
            </w:r>
          </w:p>
        </w:tc>
      </w:tr>
      <w:tr>
        <w:trPr>
          <w:cantSplit w:val="true"/>
        </w:trPr>
        <w:tc>
          <w:tcPr>
            <w:tcW w:type="dxa" w:w="3744"/>
          </w:tcPr>
          <w:p>
            <w:pPr>
              <w:spacing w:after="0" w:line="240" w:lineRule="auto"/>
            </w:pPr>
            <w:r/>
            <w:r>
              <w:rPr>
                <w:sz w:val="17"/>
              </w:rPr>
              <w:t>06/15/2026 → 03/01/2049</w:t>
            </w:r>
          </w:p>
        </w:tc>
        <w:tc>
          <w:tcPr>
            <w:tcW w:type="dxa" w:w="864"/>
          </w:tcPr>
          <w:p>
            <w:pPr>
              <w:spacing w:after="0" w:line="240" w:lineRule="auto"/>
              <w:jc w:val="center"/>
            </w:pPr>
            <w:r/>
            <w:r>
              <w:rPr>
                <w:sz w:val="17"/>
              </w:rPr>
              <w:t>8295</w:t>
            </w:r>
          </w:p>
        </w:tc>
        <w:tc>
          <w:tcPr>
            <w:tcW w:type="dxa" w:w="2304"/>
          </w:tcPr>
          <w:p>
            <w:pPr>
              <w:spacing w:after="0" w:line="240" w:lineRule="auto"/>
            </w:pPr>
            <w:r/>
            <w:r>
              <w:rPr>
                <w:sz w:val="17"/>
              </w:rPr>
              <w:t>22.71</w:t>
            </w:r>
          </w:p>
        </w:tc>
        <w:tc>
          <w:tcPr>
            <w:tcW w:type="dxa" w:w="2880"/>
          </w:tcPr>
          <w:p>
            <w:pPr>
              <w:spacing w:after="0" w:line="240" w:lineRule="auto"/>
            </w:pPr>
            <w:r/>
            <w:r>
              <w:rPr>
                <w:sz w:val="17"/>
              </w:rPr>
              <w:t>Remaining life at the assessment date</w:t>
            </w:r>
          </w:p>
        </w:tc>
      </w:tr>
    </w:tbl>
    <w:p>
      <w:pPr>
        <w:spacing w:after="40"/>
      </w:pPr>
    </w:p>
    <w:p>
      <w:pPr>
        <w:pStyle w:val="Heading1"/>
      </w:pPr>
      <w:r>
        <w:t>Review and sign-off</w:t>
      </w:r>
    </w:p>
    <w:tbl>
      <w:tblPr>
        <w:tblStyle w:val="TableGrid"/>
        <w:tblW w:type="dxa" w:w="9792"/>
        <w:jc w:val="center"/>
        <w:tblLayout w:type="fixed"/>
        <w:tblLook w:firstColumn="1" w:firstRow="1" w:lastColumn="0" w:lastRow="0" w:noHBand="0" w:noVBand="1" w:val="04A0"/>
        <w:tblCellMar>
          <w:top w:w="30" w:type="dxa"/>
          <w:left w:w="70" w:type="dxa"/>
          <w:bottom w:w="30" w:type="dxa"/>
          <w:right w:w="70" w:type="dxa"/>
        </w:tblCellMar>
        <w:tblLayout w:type="fixed"/>
      </w:tblPr>
      <w:tblGrid>
        <w:gridCol w:w="2448"/>
        <w:gridCol w:w="4176"/>
        <w:gridCol w:w="1584"/>
        <w:gridCol w:w="1584"/>
      </w:tblGrid>
      <w:tr>
        <w:trPr>
          <w:tblHeader w:val="true"/>
          <w:cantSplit w:val="true"/>
        </w:trPr>
        <w:tc>
          <w:tcPr>
            <w:tcW w:type="dxa" w:w="2448"/>
            <w:shd w:val="clear" w:color="auto" w:fill="D5DEEA"/>
            <w:vAlign w:val="center"/>
          </w:tcPr>
          <w:p>
            <w:pPr>
              <w:spacing w:after="0"/>
            </w:pPr>
            <w:r/>
            <w:r>
              <w:rPr>
                <w:b/>
                <w:sz w:val="17"/>
              </w:rPr>
              <w:t>Role</w:t>
            </w:r>
          </w:p>
        </w:tc>
        <w:tc>
          <w:tcPr>
            <w:tcW w:type="dxa" w:w="4176"/>
            <w:shd w:val="clear" w:color="auto" w:fill="D5DEEA"/>
            <w:vAlign w:val="center"/>
          </w:tcPr>
          <w:p>
            <w:pPr>
              <w:spacing w:after="0"/>
            </w:pPr>
            <w:r/>
            <w:r>
              <w:rPr>
                <w:b/>
                <w:sz w:val="17"/>
              </w:rPr>
              <w:t>Name</w:t>
            </w:r>
          </w:p>
        </w:tc>
        <w:tc>
          <w:tcPr>
            <w:tcW w:type="dxa" w:w="1584"/>
            <w:shd w:val="clear" w:color="auto" w:fill="D5DEEA"/>
            <w:vAlign w:val="center"/>
          </w:tcPr>
          <w:p>
            <w:pPr>
              <w:spacing w:after="0"/>
            </w:pPr>
            <w:r/>
            <w:r>
              <w:rPr>
                <w:b/>
                <w:sz w:val="17"/>
              </w:rPr>
              <w:t>Signature</w:t>
            </w:r>
          </w:p>
        </w:tc>
        <w:tc>
          <w:tcPr>
            <w:tcW w:type="dxa" w:w="1584"/>
            <w:shd w:val="clear" w:color="auto" w:fill="D5DEEA"/>
            <w:vAlign w:val="center"/>
          </w:tcPr>
          <w:p>
            <w:pPr>
              <w:spacing w:after="0"/>
            </w:pPr>
            <w:r/>
            <w:r>
              <w:rPr>
                <w:b/>
                <w:sz w:val="17"/>
              </w:rPr>
              <w:t>Date</w:t>
            </w:r>
          </w:p>
        </w:tc>
      </w:tr>
      <w:tr>
        <w:trPr>
          <w:cantSplit w:val="true"/>
        </w:trPr>
        <w:tc>
          <w:tcPr>
            <w:tcW w:type="dxa" w:w="2448"/>
          </w:tcPr>
          <w:p>
            <w:pPr>
              <w:spacing w:after="0" w:line="240" w:lineRule="auto"/>
            </w:pPr>
            <w:r/>
            <w:r>
              <w:rPr>
                <w:b/>
                <w:sz w:val="17"/>
              </w:rPr>
              <w:t>Prepared (engineering review)</w:t>
            </w:r>
          </w:p>
        </w:tc>
        <w:tc>
          <w:tcPr>
            <w:tcW w:type="dxa" w:w="4176"/>
          </w:tcPr>
          <w:p>
            <w:pPr>
              <w:spacing w:after="0" w:line="240" w:lineRule="auto"/>
            </w:pPr>
            <w:r/>
          </w:p>
        </w:tc>
        <w:tc>
          <w:tcPr>
            <w:tcW w:type="dxa" w:w="1584"/>
          </w:tcPr>
          <w:p>
            <w:pPr>
              <w:spacing w:after="0" w:line="240" w:lineRule="auto"/>
            </w:pPr>
            <w:r/>
          </w:p>
        </w:tc>
        <w:tc>
          <w:tcPr>
            <w:tcW w:type="dxa" w:w="1584"/>
          </w:tcPr>
          <w:p>
            <w:pPr>
              <w:spacing w:after="0" w:line="240" w:lineRule="auto"/>
            </w:pPr>
            <w:r/>
            <w:r>
              <w:rPr>
                <w:sz w:val="17"/>
              </w:rPr>
              <w:t>06/15/2026</w:t>
            </w:r>
          </w:p>
        </w:tc>
      </w:tr>
      <w:tr>
        <w:trPr>
          <w:cantSplit w:val="true"/>
        </w:trPr>
        <w:tc>
          <w:tcPr>
            <w:tcW w:type="dxa" w:w="2448"/>
          </w:tcPr>
          <w:p>
            <w:pPr>
              <w:spacing w:after="0" w:line="240" w:lineRule="auto"/>
            </w:pPr>
            <w:r/>
            <w:r>
              <w:rPr>
                <w:b/>
                <w:sz w:val="17"/>
              </w:rPr>
              <w:t>Checked</w:t>
            </w:r>
          </w:p>
        </w:tc>
        <w:tc>
          <w:tcPr>
            <w:tcW w:type="dxa" w:w="4176"/>
          </w:tcPr>
          <w:p>
            <w:pPr>
              <w:spacing w:after="0" w:line="240" w:lineRule="auto"/>
            </w:pPr>
            <w:r/>
            <w:r>
              <w:rPr>
                <w:sz w:val="17"/>
              </w:rPr>
              <w:t>James Merchant, Mechanical Integrity Engineer</w:t>
            </w:r>
          </w:p>
        </w:tc>
        <w:tc>
          <w:tcPr>
            <w:tcW w:type="dxa" w:w="1584"/>
          </w:tcPr>
          <w:p>
            <w:pPr>
              <w:spacing w:after="0" w:line="240" w:lineRule="auto"/>
            </w:pPr>
            <w:r/>
            <w:r>
              <w:rPr>
                <w:sz w:val="17"/>
              </w:rPr>
              <w:t>pending</w:t>
            </w:r>
          </w:p>
        </w:tc>
        <w:tc>
          <w:tcPr>
            <w:tcW w:type="dxa" w:w="1584"/>
          </w:tcPr>
          <w:p>
            <w:pPr>
              <w:spacing w:after="0" w:line="240" w:lineRule="auto"/>
            </w:pPr>
            <w:r/>
          </w:p>
        </w:tc>
      </w:tr>
      <w:tr>
        <w:trPr>
          <w:cantSplit w:val="true"/>
        </w:trPr>
        <w:tc>
          <w:tcPr>
            <w:tcW w:type="dxa" w:w="2448"/>
          </w:tcPr>
          <w:p>
            <w:pPr>
              <w:spacing w:after="0" w:line="240" w:lineRule="auto"/>
            </w:pPr>
            <w:r/>
            <w:r>
              <w:rPr>
                <w:b/>
                <w:sz w:val="17"/>
              </w:rPr>
              <w:t>Reviewed (API 653)</w:t>
            </w:r>
          </w:p>
        </w:tc>
        <w:tc>
          <w:tcPr>
            <w:tcW w:type="dxa" w:w="4176"/>
          </w:tcPr>
          <w:p>
            <w:pPr>
              <w:spacing w:after="0" w:line="240" w:lineRule="auto"/>
            </w:pPr>
            <w:r/>
            <w:r>
              <w:rPr>
                <w:sz w:val="17"/>
              </w:rPr>
              <w:t>Steve David, API 653 Cert. No. 653-38472, expiry 02/20/2029</w:t>
            </w:r>
          </w:p>
        </w:tc>
        <w:tc>
          <w:tcPr>
            <w:tcW w:type="dxa" w:w="1584"/>
          </w:tcPr>
          <w:p>
            <w:pPr>
              <w:spacing w:after="0" w:line="240" w:lineRule="auto"/>
            </w:pPr>
            <w:r/>
            <w:r>
              <w:rPr>
                <w:sz w:val="17"/>
              </w:rPr>
              <w:t>pending</w:t>
            </w:r>
          </w:p>
        </w:tc>
        <w:tc>
          <w:tcPr>
            <w:tcW w:type="dxa" w:w="1584"/>
          </w:tcPr>
          <w:p>
            <w:pPr>
              <w:spacing w:after="0" w:line="240" w:lineRule="auto"/>
            </w:pPr>
            <w:r/>
          </w:p>
        </w:tc>
      </w:tr>
    </w:tbl>
    <w:p>
      <w:pPr>
        <w:spacing w:after="40"/>
      </w:pPr>
    </w:p>
    <w:p>
      <w:r>
        <w:rPr>
          <w:sz w:val="17"/>
        </w:rPr>
        <w:t>This review relies on the records listed in Section 2 as held on 06/15/2026. It does not replace the certified FFS. Its conclusions should be carried into the re-issue of TC-MECH-FFS-0059 and workbook TC-MECH-CALC-0075.</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Turnpike Chemicals LLC — Lake Charles Complex · Engineering review, not a certified FFS record · Page </w:t>
    </w:r>
    <w:r>
      <w:rPr>
        <w:sz w:val="16"/>
      </w:rPr>
      <w:fldChar w:fldCharType="begin"/>
    </w:r>
    <w:r>
      <w:rPr>
        <w:sz w:val="16"/>
      </w:rPr>
      <w:instrText xml:space="preserve">PAGE</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NUMPAGES</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720" w:val="right"/>
      </w:tabs>
    </w:pPr>
    <w:r/>
    <w:r>
      <w:rPr>
        <w:color w:val="555555"/>
        <w:sz w:val="16"/>
      </w:rPr>
      <w:t>T-02-003 Shell Thickness Review — as at 06/15/2026</w:t>
    </w:r>
    <w:r>
      <w:tab/>
    </w:r>
    <w:r>
      <w:rPr>
        <w:b/>
        <w:color w:val="A01010"/>
        <w:sz w:val="16"/>
      </w:rPr>
      <w:t>DRAFT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Calibri"/>
      <w:b/>
      <w:bCs/>
      <w:color w:val="1F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