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0063" w:type="dxa"/>
        <w:tblInd w:w="-7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998"/>
        <w:gridCol w:w="6065"/>
      </w:tblGrid>
      <w:tr w14:paraId="05554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98" w:type="dxa"/>
          </w:tcPr>
          <w:p w14:paraId="5666AD2A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fr-FR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fr-FR"/>
              </w:rPr>
              <w:t>Variable</w:t>
            </w:r>
          </w:p>
        </w:tc>
        <w:tc>
          <w:tcPr>
            <w:tcW w:w="6065" w:type="dxa"/>
          </w:tcPr>
          <w:p w14:paraId="480688A5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fr-FR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fr-FR"/>
              </w:rPr>
              <w:t>Significaton</w:t>
            </w:r>
          </w:p>
        </w:tc>
      </w:tr>
      <w:tr w14:paraId="51285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98" w:type="dxa"/>
          </w:tcPr>
          <w:p w14:paraId="7E6D9E95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highlight w:val="cyan"/>
              </w:rPr>
              <w:t>year</w:t>
            </w:r>
          </w:p>
        </w:tc>
        <w:tc>
          <w:tcPr>
            <w:tcW w:w="6065" w:type="dxa"/>
          </w:tcPr>
          <w:p w14:paraId="6CB5901C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Année de l’observation.</w:t>
            </w:r>
          </w:p>
        </w:tc>
      </w:tr>
      <w:tr w14:paraId="66081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98" w:type="dxa"/>
          </w:tcPr>
          <w:p w14:paraId="42D68CCA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highlight w:val="cyan"/>
              </w:rPr>
              <w:t>country</w:t>
            </w:r>
          </w:p>
        </w:tc>
        <w:tc>
          <w:tcPr>
            <w:tcW w:w="6065" w:type="dxa"/>
          </w:tcPr>
          <w:p w14:paraId="05CF7ED2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Pays observé : Iran, USA, Israël.</w:t>
            </w:r>
          </w:p>
        </w:tc>
      </w:tr>
      <w:tr w14:paraId="20154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98" w:type="dxa"/>
          </w:tcPr>
          <w:p w14:paraId="0D718FF2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highlight w:val="cyan"/>
              </w:rPr>
              <w:t>Military_Expenditure_Billion_USD</w:t>
            </w:r>
          </w:p>
        </w:tc>
        <w:tc>
          <w:tcPr>
            <w:tcW w:w="6065" w:type="dxa"/>
          </w:tcPr>
          <w:p w14:paraId="3F92A73F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Dépenses militaires annuelles en milliards USD.</w:t>
            </w:r>
          </w:p>
        </w:tc>
      </w:tr>
      <w:tr w14:paraId="2921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98" w:type="dxa"/>
          </w:tcPr>
          <w:p w14:paraId="5F162C7F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highlight w:val="cyan"/>
              </w:rPr>
              <w:t>Active_Personnel</w:t>
            </w:r>
          </w:p>
        </w:tc>
        <w:tc>
          <w:tcPr>
            <w:tcW w:w="6065" w:type="dxa"/>
          </w:tcPr>
          <w:p w14:paraId="646AA8C7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Nombre de militaires actifs.</w:t>
            </w:r>
          </w:p>
        </w:tc>
      </w:tr>
      <w:tr w14:paraId="1EFF9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98" w:type="dxa"/>
          </w:tcPr>
          <w:p w14:paraId="5CADE03A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highlight w:val="cyan"/>
              </w:rPr>
              <w:t>GDP_current_USD</w:t>
            </w:r>
          </w:p>
        </w:tc>
        <w:tc>
          <w:tcPr>
            <w:tcW w:w="6065" w:type="dxa"/>
          </w:tcPr>
          <w:p w14:paraId="42A6E9FA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PIB total en dollars courants.</w:t>
            </w:r>
          </w:p>
        </w:tc>
      </w:tr>
      <w:tr w14:paraId="4DB45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98" w:type="dxa"/>
          </w:tcPr>
          <w:p w14:paraId="27B642A2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fr-FR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highlight w:val="cyan"/>
              </w:rPr>
              <w:t>GDP_Growth_Percent</w:t>
            </w:r>
          </w:p>
        </w:tc>
        <w:tc>
          <w:tcPr>
            <w:tcW w:w="6065" w:type="dxa"/>
          </w:tcPr>
          <w:p w14:paraId="0A7C27DA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Croissance annuelle du PIB.</w:t>
            </w:r>
          </w:p>
        </w:tc>
      </w:tr>
      <w:tr w14:paraId="4232C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1" w:hRule="atLeast"/>
        </w:trPr>
        <w:tc>
          <w:tcPr>
            <w:tcW w:w="3998" w:type="dxa"/>
          </w:tcPr>
          <w:p w14:paraId="1B9C2A18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fr-FR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highlight w:val="cyan"/>
              </w:rPr>
              <w:t>Inflation_Rate_Percent</w:t>
            </w:r>
          </w:p>
        </w:tc>
        <w:tc>
          <w:tcPr>
            <w:tcW w:w="6065" w:type="dxa"/>
          </w:tcPr>
          <w:p w14:paraId="7BF23C6E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Hausse annuelle des prix.</w:t>
            </w:r>
          </w:p>
        </w:tc>
      </w:tr>
      <w:tr w14:paraId="6EDF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98" w:type="dxa"/>
          </w:tcPr>
          <w:p w14:paraId="3BE60389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highlight w:val="cyan"/>
              </w:rPr>
              <w:t>Unemployment_total_pct</w:t>
            </w:r>
          </w:p>
        </w:tc>
        <w:tc>
          <w:tcPr>
            <w:tcW w:w="6065" w:type="dxa"/>
          </w:tcPr>
          <w:p w14:paraId="2417BB8F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Taux de chômage</w:t>
            </w:r>
          </w:p>
        </w:tc>
      </w:tr>
      <w:tr w14:paraId="24DD8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98" w:type="dxa"/>
          </w:tcPr>
          <w:p w14:paraId="6F565F5D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highlight w:val="cyan"/>
              </w:rPr>
              <w:t>Brent_Oil_Price_USD_per_barrel</w:t>
            </w:r>
          </w:p>
        </w:tc>
        <w:tc>
          <w:tcPr>
            <w:tcW w:w="6065" w:type="dxa"/>
          </w:tcPr>
          <w:p w14:paraId="535001C2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Prix mondial du pétrole Brent.</w:t>
            </w:r>
          </w:p>
        </w:tc>
      </w:tr>
      <w:tr w14:paraId="1705A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98" w:type="dxa"/>
          </w:tcPr>
          <w:p w14:paraId="1DB66854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highlight w:val="cyan"/>
              </w:rPr>
              <w:t>Conflict_Severity_Index</w:t>
            </w:r>
          </w:p>
        </w:tc>
        <w:tc>
          <w:tcPr>
            <w:tcW w:w="6065" w:type="dxa"/>
          </w:tcPr>
          <w:p w14:paraId="2E992846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Indice du niveau de tension/conflit.</w:t>
            </w:r>
          </w:p>
        </w:tc>
      </w:tr>
      <w:tr w14:paraId="11E62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98" w:type="dxa"/>
          </w:tcPr>
          <w:p w14:paraId="4CE3FF1B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highlight w:val="cyan"/>
              </w:rPr>
              <w:t>Significant_Event</w:t>
            </w:r>
          </w:p>
        </w:tc>
        <w:tc>
          <w:tcPr>
            <w:tcW w:w="6065" w:type="dxa"/>
          </w:tcPr>
          <w:p w14:paraId="7F18182C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Événement majeur</w:t>
            </w:r>
          </w:p>
        </w:tc>
      </w:tr>
      <w:tr w14:paraId="5F63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98" w:type="dxa"/>
          </w:tcPr>
          <w:p w14:paraId="2C1E53B0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highlight w:val="cyan"/>
              </w:rPr>
              <w:t>periode</w:t>
            </w:r>
          </w:p>
        </w:tc>
        <w:tc>
          <w:tcPr>
            <w:tcW w:w="6065" w:type="dxa"/>
          </w:tcPr>
          <w:p w14:paraId="0B23CB02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Période regroupée</w:t>
            </w:r>
          </w:p>
        </w:tc>
      </w:tr>
    </w:tbl>
    <w:p w14:paraId="5E2D214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/>
          <w:sz w:val="20"/>
          <w:szCs w:val="20"/>
          <w:lang w:val="fr-FR"/>
        </w:rPr>
      </w:pPr>
      <w:bookmarkStart w:id="0" w:name="_GoBack"/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</w:rPr>
        <w:t>Year</w:t>
      </w:r>
      <w:r>
        <w:rPr>
          <w:rStyle w:val="5"/>
          <w:rFonts w:hint="default" w:ascii="Arial" w:hAnsi="Arial" w:cs="Arial"/>
          <w:b w:val="0"/>
          <w:bCs w:val="0"/>
          <w:sz w:val="20"/>
          <w:szCs w:val="20"/>
          <w:lang w:val="fr-FR"/>
        </w:rPr>
        <w:t>:(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Analyse temporelle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Voir évolution avant/après guerres, sanctions, accords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>Séries chronologiques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)</w:t>
      </w:r>
    </w:p>
    <w:p w14:paraId="678740E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</w:rPr>
        <w:t>Country</w:t>
      </w:r>
      <w:r>
        <w:rPr>
          <w:rStyle w:val="5"/>
          <w:rFonts w:hint="default" w:ascii="Arial" w:hAnsi="Arial" w:cs="Arial"/>
          <w:b w:val="0"/>
          <w:bCs w:val="0"/>
          <w:sz w:val="20"/>
          <w:szCs w:val="20"/>
          <w:lang w:val="fr-FR"/>
        </w:rPr>
        <w:t>: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Comparaison entre pays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>Clustering des profils pays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>Graphiques comparatifs</w:t>
      </w:r>
    </w:p>
    <w:p w14:paraId="334F514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</w:rPr>
        <w:t>Military_Expenditure_Billion_USD</w:t>
      </w:r>
      <w:r>
        <w:rPr>
          <w:rStyle w:val="5"/>
          <w:rFonts w:hint="default" w:ascii="Arial" w:hAnsi="Arial" w:cs="Arial"/>
          <w:b w:val="0"/>
          <w:bCs w:val="0"/>
          <w:sz w:val="20"/>
          <w:szCs w:val="20"/>
          <w:lang w:val="fr-FR"/>
        </w:rPr>
        <w:t>:</w:t>
      </w:r>
      <w:r>
        <w:rPr>
          <w:rFonts w:hint="default" w:ascii="Arial" w:hAnsi="Arial" w:cs="Arial"/>
          <w:b w:val="0"/>
          <w:bCs w:val="0"/>
          <w:sz w:val="20"/>
          <w:szCs w:val="20"/>
        </w:rPr>
        <w:t>Mesurer la puissance militaire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Détecter escalade régionale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>Lien dépenses militaires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 conflit</w:t>
      </w:r>
    </w:p>
    <w:p w14:paraId="5B4FE7B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</w:rPr>
        <w:t>Active_Personnel</w:t>
      </w: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  <w:lang w:val="fr-FR"/>
        </w:rPr>
        <w:t>: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Taille des forces armées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Capacité opérationnelle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>Comparaison stratégie : technologie vs masse humaine</w:t>
      </w:r>
    </w:p>
    <w:p w14:paraId="1F17385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</w:rPr>
        <w:t>GDP_current_USD</w:t>
      </w: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  <w:lang w:val="fr-FR"/>
        </w:rPr>
        <w:t>: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Taille économique du pays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>Capacité à financer guerre / sanctions / défense</w:t>
      </w:r>
    </w:p>
    <w:p w14:paraId="283E33C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20"/>
          <w:szCs w:val="20"/>
        </w:rPr>
      </w:pP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</w:rPr>
        <w:t>GDP_Growth_Percent</w:t>
      </w: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  <w:lang w:val="fr-FR"/>
        </w:rPr>
        <w:t>: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Santé économique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Impact d’un conflit ou embargo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Crise / reprise </w:t>
      </w:r>
    </w:p>
    <w:p w14:paraId="53EAB00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20"/>
          <w:szCs w:val="20"/>
        </w:rPr>
      </w:pP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</w:rPr>
        <w:t>Inflation_Rate_Percent</w:t>
      </w: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  <w:lang w:val="fr-FR"/>
        </w:rPr>
        <w:t>: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Instabilité économique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Impact sanctions / guerre / pétrole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>Pression sociale</w:t>
      </w:r>
      <w:r>
        <w:rPr>
          <w:sz w:val="20"/>
          <w:szCs w:val="20"/>
        </w:rPr>
        <w:t xml:space="preserve"> </w:t>
      </w:r>
    </w:p>
    <w:p w14:paraId="18C4317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</w:rPr>
        <w:t>Unemployment_total_pct</w:t>
      </w: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  <w:lang w:val="fr-FR"/>
        </w:rPr>
        <w:t>: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Pression sociale interne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Effet crise économique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>Risque d’instabilité</w:t>
      </w:r>
    </w:p>
    <w:p w14:paraId="064962F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</w:rPr>
        <w:t>Brent_Oil_Price_USD_per_barrel</w:t>
      </w:r>
      <w:r>
        <w:rPr>
          <w:rStyle w:val="5"/>
          <w:rFonts w:hint="default" w:ascii="Arial" w:hAnsi="Arial" w:cs="Arial"/>
          <w:b w:val="0"/>
          <w:bCs w:val="0"/>
          <w:sz w:val="20"/>
          <w:szCs w:val="20"/>
          <w:lang w:val="fr-FR"/>
        </w:rPr>
        <w:t>: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Très importante pour ton sujet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Moyen-Orient influence pétrole mondial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>Guerre → hausse pétrole → inflation mondiale</w:t>
      </w:r>
    </w:p>
    <w:p w14:paraId="0141C28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</w:rPr>
        <w:t>Conflict_Severity_Index</w:t>
      </w:r>
      <w:r>
        <w:rPr>
          <w:rStyle w:val="5"/>
          <w:rFonts w:hint="default" w:ascii="Arial" w:hAnsi="Arial" w:cs="Arial"/>
          <w:b/>
          <w:bCs/>
          <w:sz w:val="20"/>
          <w:szCs w:val="20"/>
          <w:u w:val="single"/>
          <w:lang w:val="fr-FR"/>
        </w:rPr>
        <w:t>: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Variable cible idéale pour ML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Mesurer escalade ou détente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/</w:t>
      </w:r>
      <w:r>
        <w:rPr>
          <w:rFonts w:hint="default" w:ascii="Arial" w:hAnsi="Arial" w:cs="Arial"/>
          <w:b w:val="0"/>
          <w:bCs w:val="0"/>
          <w:sz w:val="20"/>
          <w:szCs w:val="20"/>
        </w:rPr>
        <w:t>Corrélation avec armée / pétrole / inflation</w:t>
      </w:r>
    </w:p>
    <w:p w14:paraId="28AD1607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0"/>
          <w:szCs w:val="20"/>
          <w:highlight w:val="none"/>
        </w:rPr>
      </w:pPr>
      <w:r>
        <w:rPr>
          <w:rFonts w:hint="default" w:ascii="Arial" w:hAnsi="Arial" w:eastAsia="SimSun" w:cs="Arial"/>
          <w:b/>
          <w:bCs/>
          <w:sz w:val="20"/>
          <w:szCs w:val="20"/>
          <w:highlight w:val="none"/>
          <w:u w:val="single"/>
        </w:rPr>
        <w:t>Significant_Event</w:t>
      </w:r>
      <w:r>
        <w:rPr>
          <w:rFonts w:hint="default" w:ascii="Arial" w:hAnsi="Arial" w:eastAsia="SimSun" w:cs="Arial"/>
          <w:sz w:val="20"/>
          <w:szCs w:val="20"/>
          <w:highlight w:val="none"/>
          <w:lang w:val="fr-FR"/>
        </w:rPr>
        <w:t>:</w:t>
      </w:r>
      <w:r>
        <w:rPr>
          <w:rFonts w:hint="default" w:ascii="Arial" w:hAnsi="Arial" w:cs="Arial"/>
          <w:sz w:val="20"/>
          <w:szCs w:val="20"/>
          <w:highlight w:val="none"/>
        </w:rPr>
        <w:t xml:space="preserve">Marquer ruptures historiques </w:t>
      </w:r>
      <w:r>
        <w:rPr>
          <w:rFonts w:hint="default" w:ascii="Arial" w:hAnsi="Arial" w:cs="Arial"/>
          <w:sz w:val="20"/>
          <w:szCs w:val="20"/>
          <w:highlight w:val="none"/>
          <w:lang w:val="fr-FR"/>
        </w:rPr>
        <w:t>/</w:t>
      </w:r>
      <w:r>
        <w:rPr>
          <w:rFonts w:hint="default" w:ascii="Arial" w:hAnsi="Arial" w:cs="Arial"/>
          <w:sz w:val="20"/>
          <w:szCs w:val="20"/>
          <w:highlight w:val="none"/>
        </w:rPr>
        <w:t xml:space="preserve">Analyse avant/après événement </w:t>
      </w:r>
      <w:r>
        <w:rPr>
          <w:rFonts w:hint="default" w:ascii="Arial" w:hAnsi="Arial" w:cs="Arial"/>
          <w:sz w:val="20"/>
          <w:szCs w:val="20"/>
          <w:highlight w:val="none"/>
          <w:lang w:val="fr-FR"/>
        </w:rPr>
        <w:t>/</w:t>
      </w:r>
      <w:r>
        <w:rPr>
          <w:rFonts w:hint="default" w:ascii="Arial" w:hAnsi="Arial" w:cs="Arial"/>
          <w:sz w:val="20"/>
          <w:szCs w:val="20"/>
          <w:highlight w:val="none"/>
        </w:rPr>
        <w:t>Effet sur marchés</w:t>
      </w:r>
    </w:p>
    <w:p w14:paraId="54F5C7D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b/>
          <w:bCs/>
          <w:sz w:val="20"/>
          <w:szCs w:val="20"/>
          <w:u w:val="single"/>
        </w:rPr>
        <w:t>Periode</w:t>
      </w:r>
      <w:r>
        <w:rPr>
          <w:rFonts w:hint="default" w:ascii="Arial" w:hAnsi="Arial" w:eastAsia="SimSun" w:cs="Arial"/>
          <w:b/>
          <w:bCs/>
          <w:sz w:val="20"/>
          <w:szCs w:val="20"/>
          <w:u w:val="single"/>
          <w:lang w:val="fr-FR"/>
        </w:rPr>
        <w:t>:</w:t>
      </w:r>
      <w:r>
        <w:rPr>
          <w:rFonts w:hint="default" w:ascii="Arial" w:hAnsi="Arial" w:cs="Arial"/>
          <w:sz w:val="20"/>
          <w:szCs w:val="20"/>
        </w:rPr>
        <w:t xml:space="preserve">Segmentation temporelle </w:t>
      </w:r>
      <w:r>
        <w:rPr>
          <w:rFonts w:hint="default" w:ascii="Arial" w:hAnsi="Arial" w:cs="Arial"/>
          <w:sz w:val="20"/>
          <w:szCs w:val="20"/>
          <w:lang w:val="fr-FR"/>
        </w:rPr>
        <w:t>/</w:t>
      </w:r>
      <w:r>
        <w:rPr>
          <w:rFonts w:hint="default" w:ascii="Arial" w:hAnsi="Arial" w:cs="Arial"/>
          <w:sz w:val="20"/>
          <w:szCs w:val="20"/>
        </w:rPr>
        <w:t xml:space="preserve">Dashboard plus lisible </w:t>
      </w:r>
      <w:r>
        <w:rPr>
          <w:rFonts w:hint="default" w:ascii="Arial" w:hAnsi="Arial" w:cs="Arial"/>
          <w:sz w:val="20"/>
          <w:szCs w:val="20"/>
          <w:lang w:val="fr-FR"/>
        </w:rPr>
        <w:t>/</w:t>
      </w:r>
      <w:r>
        <w:rPr>
          <w:rFonts w:hint="default" w:ascii="Arial" w:hAnsi="Arial" w:cs="Arial"/>
          <w:sz w:val="20"/>
          <w:szCs w:val="20"/>
        </w:rPr>
        <w:t>Comparaison par époque</w:t>
      </w:r>
    </w:p>
    <w:p w14:paraId="3B878161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Arial" w:hAnsi="Arial" w:cs="Arial"/>
          <w:sz w:val="20"/>
          <w:szCs w:val="20"/>
        </w:rPr>
      </w:pPr>
    </w:p>
    <w:bookmarkEnd w:id="0"/>
    <w:p w14:paraId="7AD3B91E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Arial" w:hAnsi="Arial" w:cs="Arial"/>
          <w:b/>
          <w:bCs/>
          <w:color w:val="E54C5E" w:themeColor="accent6"/>
          <w:sz w:val="20"/>
          <w:szCs w:val="20"/>
          <w:lang w:val="fr-FR"/>
          <w14:textFill>
            <w14:solidFill>
              <w14:schemeClr w14:val="accent6"/>
            </w14:solidFill>
          </w14:textFill>
        </w:rPr>
      </w:pPr>
      <w:r>
        <w:rPr>
          <w:rFonts w:hint="default" w:ascii="Arial" w:hAnsi="Arial" w:cs="Arial"/>
          <w:b/>
          <w:bCs/>
          <w:color w:val="E54C5E" w:themeColor="accent6"/>
          <w:sz w:val="20"/>
          <w:szCs w:val="20"/>
          <w:lang w:val="fr-FR"/>
          <w14:textFill>
            <w14:solidFill>
              <w14:schemeClr w14:val="accent6"/>
            </w14:solidFill>
          </w14:textFill>
        </w:rPr>
        <w:t>NB:</w: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shd w:val="clear" w:fill="FFFFFF"/>
          <w14:textFill>
            <w14:solidFill>
              <w14:schemeClr w14:val="accent6"/>
            </w14:solidFill>
          </w14:textFill>
        </w:rPr>
        <w:t>Le produit intérieur brut (PIB)</w: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shd w:val="clear" w:fill="FFFFFF"/>
          <w:lang w:val="fr-FR"/>
          <w14:textFill>
            <w14:solidFill>
              <w14:schemeClr w14:val="accent6"/>
            </w14:solidFill>
          </w14:textFill>
        </w:rPr>
        <w:t>:</w: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shd w:val="clear" w:fill="FFFFFF"/>
          <w14:textFill>
            <w14:solidFill>
              <w14:schemeClr w14:val="accent6"/>
            </w14:solidFill>
          </w14:textFill>
        </w:rPr>
        <w:t>est l'indicateur dominant de la mesure de la </w: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fldChar w:fldCharType="begin"/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instrText xml:space="preserve"> HYPERLINK "https://fr.wikipedia.org/wiki/Production" \o "Production" </w:instrTex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fldChar w:fldCharType="separate"/>
      </w:r>
      <w:r>
        <w:rPr>
          <w:rStyle w:val="4"/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t>production</w: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fldChar w:fldCharType="end"/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shd w:val="clear" w:fill="FFFFFF"/>
          <w14:textFill>
            <w14:solidFill>
              <w14:schemeClr w14:val="accent6"/>
            </w14:solidFill>
          </w14:textFill>
        </w:rPr>
        <w:t> quantitative marchande réalisée à l’intérieur d'un </w: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fldChar w:fldCharType="begin"/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instrText xml:space="preserve"> HYPERLINK "https://fr.wikipedia.org/wiki/Pays" \o "Pays" </w:instrTex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fldChar w:fldCharType="separate"/>
      </w:r>
      <w:r>
        <w:rPr>
          <w:rStyle w:val="4"/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t>pays</w: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fldChar w:fldCharType="end"/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shd w:val="clear" w:fill="FFFFFF"/>
          <w14:textFill>
            <w14:solidFill>
              <w14:schemeClr w14:val="accent6"/>
            </w14:solidFill>
          </w14:textFill>
        </w:rPr>
        <w:t> et l'un des agrégats majeurs des </w: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fldChar w:fldCharType="begin"/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instrText xml:space="preserve"> HYPERLINK "https://fr.wikipedia.org/wiki/Comptabilit%C3%A9_nationale" \o "Comptabilité nationale" </w:instrTex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fldChar w:fldCharType="separate"/>
      </w:r>
      <w:r>
        <w:rPr>
          <w:rStyle w:val="4"/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t>comptes nationaux</w: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u w:val="none"/>
          <w:shd w:val="clear" w:fill="FFFFFF"/>
          <w14:textFill>
            <w14:solidFill>
              <w14:schemeClr w14:val="accent6"/>
            </w14:solidFill>
          </w14:textFill>
        </w:rPr>
        <w:fldChar w:fldCharType="end"/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E54C5E" w:themeColor="accent6"/>
          <w:spacing w:val="0"/>
          <w:sz w:val="20"/>
          <w:szCs w:val="20"/>
          <w:shd w:val="clear" w:fill="FFFFFF"/>
          <w14:textFill>
            <w14:solidFill>
              <w14:schemeClr w14:val="accent6"/>
            </w14:solidFill>
          </w14:textFill>
        </w:rPr>
        <w:t>. </w:t>
      </w:r>
    </w:p>
    <w:p w14:paraId="324D82FC">
      <w:pPr>
        <w:rPr>
          <w:rFonts w:hint="default"/>
          <w:lang w:val="fr-FR"/>
        </w:rPr>
      </w:pPr>
    </w:p>
    <w:p w14:paraId="396262C4">
      <w:pPr>
        <w:rPr>
          <w:rFonts w:hint="default"/>
        </w:rPr>
      </w:pPr>
    </w:p>
    <w:p w14:paraId="205B42CA">
      <w:pPr>
        <w:rPr>
          <w:rFonts w:hint="default"/>
        </w:rPr>
      </w:pPr>
    </w:p>
    <w:p w14:paraId="48F55489"/>
    <w:p w14:paraId="028B2487">
      <w:pPr>
        <w:rPr>
          <w:rFonts w:hint="default"/>
          <w:sz w:val="20"/>
          <w:szCs w:val="20"/>
        </w:rPr>
      </w:pPr>
    </w:p>
    <w:p w14:paraId="2F8D4A67">
      <w:pPr>
        <w:rPr>
          <w:rFonts w:hint="default"/>
          <w:sz w:val="20"/>
          <w:szCs w:val="20"/>
        </w:rPr>
      </w:pPr>
    </w:p>
    <w:p w14:paraId="1AF2DB8F">
      <w:pPr>
        <w:rPr>
          <w:rFonts w:hint="default"/>
        </w:rPr>
      </w:pPr>
    </w:p>
    <w:p w14:paraId="11E472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131F19"/>
    <w:multiLevelType w:val="singleLevel"/>
    <w:tmpl w:val="F6131F1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A81A11"/>
    <w:rsid w:val="0DAE6A7F"/>
    <w:rsid w:val="65A8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color w:val="0000FF"/>
      <w:u w:val="single"/>
    </w:rPr>
  </w:style>
  <w:style w:type="character" w:styleId="5">
    <w:name w:val="HTML Code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2026-05-01T17:38:00Z</dcterms:created>
  <dc:creator>Arij Khemiri</dc:creator>
  <cp:lastModifiedBy>Arij Khemiri</cp:lastModifiedBy>
  <dcterms:modified xsi:type="dcterms:W3CDTF">2026-05-01T18:47:06Z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1036-12.1.0.25242</vt:lpwstr>
  </property>
  <property fmtid="{D5CDD505-2E9C-101B-9397-08002B2CF9AE}" pid="3" name="ICV">
    <vt:lpwstr>CD629DBE0A0242CEB57F1B1CCFC51C69_11</vt:lpwstr>
  </property>
  <property fmtid="{D5CDD505-2E9C-101B-9397-08002B2CF9AE}" pid="4" name="KSOTemplateDocerSaveRecord">
    <vt:lpwstr>eyJoZGlkIjoiNGRkYTI1MzVhMDBiYzNhMGFmNTQzYTExYjk3ZjY4ZjUiLCJ1c2VySWQiOiIxOTM5Njc5NTQzMjgxMCJ9</vt:lpwstr>
  </property>
</Properties>
</file>