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Relatório de Avaliação de Maturidade FinOps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97280" cy="1097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startcodeclou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📛 Cliente: Up Séries</w:t>
            </w:r>
          </w:p>
        </w:tc>
        <w:tc>
          <w:tcPr>
            <w:tcW w:type="dxa" w:w="4320"/>
          </w:tcPr>
          <w:p>
            <w:r>
              <w:t>🏢 Empresa Executora: StartCode Cloud Tecnologia</w:t>
            </w:r>
          </w:p>
        </w:tc>
      </w:tr>
      <w:tr>
        <w:tc>
          <w:tcPr>
            <w:tcW w:type="dxa" w:w="4320"/>
          </w:tcPr>
          <w:p>
            <w:r>
              <w:t>🧑‍💼 Autores: Arimatéia Júnior</w:t>
            </w:r>
          </w:p>
        </w:tc>
        <w:tc>
          <w:tcPr>
            <w:tcW w:type="dxa" w:w="4320"/>
          </w:tcPr>
          <w:p>
            <w:r>
              <w:t>📅 Data do Relatório: 27/05/2025</w:t>
            </w:r>
          </w:p>
        </w:tc>
      </w:tr>
    </w:tbl>
    <w:p/>
    <w:p>
      <w:pPr>
        <w:pStyle w:val="Heading1"/>
      </w:pPr>
      <w:r>
        <w:t>Tabela de Avaliação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Domínio</w:t>
            </w:r>
          </w:p>
        </w:tc>
        <w:tc>
          <w:tcPr>
            <w:tcW w:type="dxa" w:w="2160"/>
          </w:tcPr>
          <w:p>
            <w:r>
              <w:t>Capacidade Avaliada</w:t>
            </w:r>
          </w:p>
        </w:tc>
        <w:tc>
          <w:tcPr>
            <w:tcW w:type="dxa" w:w="2160"/>
          </w:tcPr>
          <w:p>
            <w:r>
              <w:t>Maturidade</w:t>
            </w:r>
          </w:p>
        </w:tc>
        <w:tc>
          <w:tcPr>
            <w:tcW w:type="dxa" w:w="2160"/>
          </w:tcPr>
          <w:p>
            <w:r>
              <w:t>Observações</w:t>
            </w:r>
          </w:p>
        </w:tc>
      </w:tr>
      <w:tr>
        <w:tc>
          <w:tcPr>
            <w:tcW w:type="dxa" w:w="2160"/>
          </w:tcPr>
          <w:p>
            <w:r>
              <w:t>Entender Uso e Custo</w:t>
            </w:r>
          </w:p>
        </w:tc>
        <w:tc>
          <w:tcPr>
            <w:tcW w:type="dxa" w:w="2160"/>
          </w:tcPr>
          <w:p>
            <w:r>
              <w:t>Uso de tags padronizadas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Entender Uso e Custo</w:t>
            </w:r>
          </w:p>
        </w:tc>
        <w:tc>
          <w:tcPr>
            <w:tcW w:type="dxa" w:w="2160"/>
          </w:tcPr>
          <w:p>
            <w:r>
              <w:t>Uso do AWS Cost Explorer/CUR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Quantificar Valor de Negócio</w:t>
            </w:r>
          </w:p>
        </w:tc>
        <w:tc>
          <w:tcPr>
            <w:tcW w:type="dxa" w:w="2160"/>
          </w:tcPr>
          <w:p>
            <w:r>
              <w:t>Chargeback ou Showback estruturado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Quantificar Valor de Negócio</w:t>
            </w:r>
          </w:p>
        </w:tc>
        <w:tc>
          <w:tcPr>
            <w:tcW w:type="dxa" w:w="2160"/>
          </w:tcPr>
          <w:p>
            <w:r>
              <w:t>Forecast e Orçamento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Otimizar Uso e Custo</w:t>
            </w:r>
          </w:p>
        </w:tc>
        <w:tc>
          <w:tcPr>
            <w:tcW w:type="dxa" w:w="2160"/>
          </w:tcPr>
          <w:p>
            <w:r>
              <w:t>Adotar Savings Plans / Spot / RI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Otimizar Uso e Custo</w:t>
            </w:r>
          </w:p>
        </w:tc>
        <w:tc>
          <w:tcPr>
            <w:tcW w:type="dxa" w:w="2160"/>
          </w:tcPr>
          <w:p>
            <w:r>
              <w:t>Revisões periódicas de workloads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Governança e Operação</w:t>
            </w:r>
          </w:p>
        </w:tc>
        <w:tc>
          <w:tcPr>
            <w:tcW w:type="dxa" w:w="2160"/>
          </w:tcPr>
          <w:p>
            <w:r>
              <w:t>Reuniões FinOps recorrentes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Governança e Operação</w:t>
            </w:r>
          </w:p>
        </w:tc>
        <w:tc>
          <w:tcPr>
            <w:tcW w:type="dxa" w:w="2160"/>
          </w:tcPr>
          <w:p>
            <w:r>
              <w:t>Indicadores e dashboards ativos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</w:tbl>
    <w:p>
      <w:pPr>
        <w:pStyle w:val="Heading1"/>
      </w:pPr>
      <w:r>
        <w:t>Gráfico: Classificação por Domínio</w:t>
      </w:r>
    </w:p>
    <w:p>
      <w:r>
        <w:drawing>
          <wp:inline xmlns:a="http://schemas.openxmlformats.org/drawingml/2006/main" xmlns:pic="http://schemas.openxmlformats.org/drawingml/2006/picture">
            <wp:extent cx="4572000" cy="26125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maturida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Gráfico Radar de Maturidade</w:t>
      </w:r>
    </w:p>
    <w:p>
      <w:r>
        <w:drawing>
          <wp:inline xmlns:a="http://schemas.openxmlformats.org/drawingml/2006/main" xmlns:pic="http://schemas.openxmlformats.org/drawingml/2006/picture">
            <wp:extent cx="5029200" cy="435262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radar_maturidad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5262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