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Ferramentas AWS para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Júnior, Yuri Lopes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Status das Ferramentas AWS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Ferramenta</w:t>
            </w:r>
          </w:p>
        </w:tc>
        <w:tc>
          <w:tcPr>
            <w:tcW w:type="dxa" w:w="2880"/>
          </w:tcPr>
          <w:p>
            <w:r>
              <w:t>Status (Ativo/Inativo)</w:t>
            </w:r>
          </w:p>
        </w:tc>
        <w:tc>
          <w:tcPr>
            <w:tcW w:type="dxa" w:w="2880"/>
          </w:tcPr>
          <w:p>
            <w:r>
              <w:t>Habilitado</w:t>
            </w:r>
          </w:p>
        </w:tc>
      </w:tr>
      <w:tr>
        <w:tc>
          <w:tcPr>
            <w:tcW w:type="dxa" w:w="2880"/>
          </w:tcPr>
          <w:p>
            <w:r>
              <w:t>Cost Explorer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Budgets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Compute Optimizer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Trusted Advisor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Gráfico: Ferramentas Ativas/Inativas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ferramentas_a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