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Governança e Indicadores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Júnior, Yuri Lopes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Indicadores de Governança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Indicador</w:t>
            </w:r>
          </w:p>
        </w:tc>
        <w:tc>
          <w:tcPr>
            <w:tcW w:type="dxa" w:w="2880"/>
          </w:tcPr>
          <w:p>
            <w:r>
              <w:t>Meta (%)</w:t>
            </w:r>
          </w:p>
        </w:tc>
        <w:tc>
          <w:tcPr>
            <w:tcW w:type="dxa" w:w="2880"/>
          </w:tcPr>
          <w:p>
            <w:r>
              <w:t>Resultado (%)</w:t>
            </w:r>
          </w:p>
        </w:tc>
      </w:tr>
      <w:tr>
        <w:tc>
          <w:tcPr>
            <w:tcW w:type="dxa" w:w="2880"/>
          </w:tcPr>
          <w:p>
            <w:r>
              <w:t>Custo Mensal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Tagging Coverage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Economia Estimada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Alertas de Budget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</w:tbl>
    <w:p>
      <w:pPr>
        <w:pStyle w:val="Heading1"/>
      </w:pPr>
      <w:r>
        <w:t>📉 Gráfico: Meta x Resultado dos Indicadores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governanca_indicador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