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left"/>
            </w:pPr>
            <w:r>
              <w:rPr>
                <w:b/>
              </w:rPr>
              <w:t>Relatório de Governança e Indicadores FinOps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097280" cy="109728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startcodecloud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📛 Cliente: Up Séries</w:t>
            </w:r>
          </w:p>
        </w:tc>
        <w:tc>
          <w:tcPr>
            <w:tcW w:type="dxa" w:w="4320"/>
          </w:tcPr>
          <w:p>
            <w:r>
              <w:t>🏢 Empresa Executora: StartCode Cloud Tecnologia</w:t>
            </w:r>
          </w:p>
        </w:tc>
      </w:tr>
      <w:tr>
        <w:tc>
          <w:tcPr>
            <w:tcW w:type="dxa" w:w="4320"/>
          </w:tcPr>
          <w:p>
            <w:r>
              <w:t>🧑‍💼 Autores: Arimatéia Júnior</w:t>
            </w:r>
          </w:p>
        </w:tc>
        <w:tc>
          <w:tcPr>
            <w:tcW w:type="dxa" w:w="4320"/>
          </w:tcPr>
          <w:p>
            <w:r>
              <w:t>📅 Data do Relatório: 27/05/2025</w:t>
            </w:r>
          </w:p>
        </w:tc>
      </w:tr>
    </w:tbl>
    <w:p/>
    <w:p>
      <w:pPr>
        <w:pStyle w:val="Heading1"/>
      </w:pPr>
      <w:r>
        <w:t>Indicadores de Governança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Indicador</w:t>
            </w:r>
          </w:p>
        </w:tc>
        <w:tc>
          <w:tcPr>
            <w:tcW w:type="dxa" w:w="2880"/>
          </w:tcPr>
          <w:p>
            <w:r>
              <w:t>Meta (%)</w:t>
            </w:r>
          </w:p>
        </w:tc>
        <w:tc>
          <w:tcPr>
            <w:tcW w:type="dxa" w:w="2880"/>
          </w:tcPr>
          <w:p>
            <w:r>
              <w:t>Resultado (%)</w:t>
            </w:r>
          </w:p>
        </w:tc>
      </w:tr>
      <w:tr>
        <w:tc>
          <w:tcPr>
            <w:tcW w:type="dxa" w:w="2880"/>
          </w:tcPr>
          <w:p>
            <w:r>
              <w:t>Custo Mensal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95</w:t>
            </w:r>
          </w:p>
        </w:tc>
      </w:tr>
      <w:tr>
        <w:tc>
          <w:tcPr>
            <w:tcW w:type="dxa" w:w="2880"/>
          </w:tcPr>
          <w:p>
            <w:r>
              <w:t>Tagging Coverage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80</w:t>
            </w:r>
          </w:p>
        </w:tc>
      </w:tr>
      <w:tr>
        <w:tc>
          <w:tcPr>
            <w:tcW w:type="dxa" w:w="2880"/>
          </w:tcPr>
          <w:p>
            <w:r>
              <w:t>Economia Estimada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70</w:t>
            </w:r>
          </w:p>
        </w:tc>
      </w:tr>
      <w:tr>
        <w:tc>
          <w:tcPr>
            <w:tcW w:type="dxa" w:w="2880"/>
          </w:tcPr>
          <w:p>
            <w:r>
              <w:t>Alertas de Budget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90</w:t>
            </w:r>
          </w:p>
        </w:tc>
      </w:tr>
    </w:tbl>
    <w:p>
      <w:pPr>
        <w:pStyle w:val="Heading1"/>
      </w:pPr>
      <w:r>
        <w:t>📉 Gráfico: Meta x Resultado dos Indicadores</w:t>
      </w:r>
    </w:p>
    <w:p>
      <w:r>
        <w:drawing>
          <wp:inline xmlns:a="http://schemas.openxmlformats.org/drawingml/2006/main" xmlns:pic="http://schemas.openxmlformats.org/drawingml/2006/picture">
            <wp:extent cx="4572000" cy="2286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governanca_indicadore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