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1a1a"/>
          <w:sz w:val="40"/>
          <w:szCs w:val="40"/>
        </w:rPr>
        <w:t xml:space="preserve">INDIGO compute-optimal scaling</w:t>
      </w:r>
    </w:p>
    <w:p>
      <w:pPr>
        <w:pBdr>
          <w:bottom w:val="single" w:color="c9c9c9" w:sz="8" w:space="8"/>
        </w:pBdr>
        <w:spacing w:after="200"/>
      </w:pPr>
      <w:r>
        <w:rPr>
          <w:color w:val="5a5a5a"/>
          <w:sz w:val="24"/>
          <w:szCs w:val="24"/>
        </w:rPr>
        <w:t xml:space="preserve">What the 48-run IsoFLOP sweep says, and why the large runs do not fit</w:t>
      </w:r>
    </w:p>
    <w:p>
      <w:pPr>
        <w:spacing w:after="240" w:before="0" w:line="276"/>
      </w:pPr>
      <w:r>
        <w:rPr>
          <w:color w:val="5a5a5a"/>
          <w:sz w:val="21"/>
          <w:szCs w:val="21"/>
        </w:rPr>
        <w:t xml:space="preserve">Research meeting, 30 September 2026.  Branch </w:t>
      </w:r>
      <w:r>
        <w:rPr>
          <w:rFonts w:ascii="Consolas" w:cs="Consolas" w:eastAsia="Consolas" w:hAnsi="Consolas"/>
          <w:color w:val="1a1a1a"/>
          <w:sz w:val="19"/>
          <w:szCs w:val="19"/>
        </w:rPr>
        <w:t xml:space="preserve">claude/determined-shannon-e7zsak</w:t>
      </w:r>
      <w:r>
        <w:rPr>
          <w:color w:val="5a5a5a"/>
          <w:sz w:val="21"/>
          <w:szCs w:val="21"/>
        </w:rPr>
        <w:t xml:space="preserve">.  Fit artifact: </w:t>
      </w:r>
      <w:r>
        <w:rPr>
          <w:rFonts w:ascii="Consolas" w:cs="Consolas" w:eastAsia="Consolas" w:hAnsi="Consolas"/>
          <w:color w:val="1a1a1a"/>
          <w:sz w:val="19"/>
          <w:szCs w:val="19"/>
        </w:rPr>
        <w:t xml:space="preserve">analyses/scaling/results/isoflop_fit.json</w:t>
      </w:r>
      <w:r>
        <w:rPr>
          <w:color w:val="5a5a5a"/>
          <w:sz w:val="21"/>
          <w:szCs w:val="21"/>
        </w:rPr>
        <w:t xml:space="preserve">.</w:t>
      </w:r>
    </w:p>
    <w:p>
      <w:pPr>
        <w:pStyle w:val="Heading1"/>
        <w:spacing w:after="140" w:before="320"/>
      </w:pPr>
      <w:r>
        <w:t xml:space="preserve">1.  The headline</w:t>
      </w:r>
    </w:p>
    <w:p>
      <w:pPr>
        <w:pStyle w:val="ListParagraph"/>
        <w:numPr>
          <w:ilvl w:val="0"/>
          <w:numId w:val="2"/>
        </w:numPr>
        <w:spacing w:after="90" w:line="276"/>
      </w:pPr>
      <w:r>
        <w:rPr>
          <w:b/>
          <w:bCs/>
          <w:color w:val="1a1a1a"/>
          <w:sz w:val="21"/>
          <w:szCs w:val="21"/>
        </w:rPr>
        <w:t xml:space="preserve">The compute-optimal exponent is not Chinchilla's. </w:t>
      </w:r>
      <w:r>
        <w:rPr>
          <w:color w:val="1a1a1a"/>
          <w:sz w:val="21"/>
          <w:szCs w:val="21"/>
        </w:rPr>
        <w:t xml:space="preserve">Fitting N* </w:t>
      </w:r>
      <w:r>
        <w:rPr>
          <w:color w:val="1a1a1a"/>
          <w:sz w:val="21"/>
          <w:szCs w:val="21"/>
        </w:rPr>
        <w:t xml:space="preserve">∝</w:t>
      </w:r>
      <w:r>
        <w:rPr>
          <w:color w:val="1a1a1a"/>
          <w:sz w:val="21"/>
          <w:szCs w:val="21"/>
        </w:rPr>
        <w:t xml:space="preserve"> C</w:t>
      </w:r>
      <w:r>
        <w:rPr>
          <w:color w:val="1a1a1a"/>
          <w:sz w:val="21"/>
          <w:szCs w:val="21"/>
          <w:vertAlign w:val="superscript"/>
        </w:rPr>
        <w:t xml:space="preserve">α</w:t>
      </w:r>
      <w:r>
        <w:rPr>
          <w:color w:val="1a1a1a"/>
          <w:sz w:val="21"/>
          <w:szCs w:val="21"/>
        </w:rPr>
        <w:t xml:space="preserve"> over the four rungs that admit a fit gives </w:t>
      </w:r>
      <w:r>
        <w:rPr>
          <w:b/>
          <w:bCs/>
          <w:color w:val="1a1a1a"/>
          <w:sz w:val="21"/>
          <w:szCs w:val="21"/>
        </w:rPr>
        <w:t xml:space="preserve">α = +0.94</w:t>
      </w:r>
      <w:r>
        <w:rPr>
          <w:color w:val="1a1a1a"/>
          <w:sz w:val="21"/>
          <w:szCs w:val="21"/>
        </w:rPr>
        <w:t xml:space="preserve"> on ΔE₀₀ and </w:t>
      </w:r>
      <w:r>
        <w:rPr>
          <w:b/>
          <w:bCs/>
          <w:color w:val="1a1a1a"/>
          <w:sz w:val="21"/>
          <w:szCs w:val="21"/>
        </w:rPr>
        <w:t xml:space="preserve">+0.83</w:t>
      </w:r>
      <w:r>
        <w:rPr>
          <w:color w:val="1a1a1a"/>
          <w:sz w:val="21"/>
          <w:szCs w:val="21"/>
        </w:rPr>
        <w:t xml:space="preserve"> on cross-entropy, against Chinchilla's 0.50. D* is essentially pinned: 4.0 to 7.7 million examples across a 250× span in C. For INDIGO, extra compute goes almost entirely into parameters, not data.</w:t>
      </w:r>
    </w:p>
    <w:p>
      <w:pPr>
        <w:pStyle w:val="ListParagraph"/>
        <w:numPr>
          <w:ilvl w:val="0"/>
          <w:numId w:val="2"/>
        </w:numPr>
        <w:spacing w:after="90" w:line="276"/>
      </w:pPr>
      <w:r>
        <w:rPr>
          <w:b/>
          <w:bCs/>
          <w:color w:val="1a1a1a"/>
          <w:sz w:val="21"/>
          <w:szCs w:val="21"/>
        </w:rPr>
        <w:t xml:space="preserve">There is a budget past which more compute makes the model worse. </w:t>
      </w:r>
      <w:r>
        <w:rPr>
          <w:color w:val="1a1a1a"/>
          <w:sz w:val="21"/>
          <w:szCs w:val="21"/>
        </w:rPr>
        <w:t xml:space="preserve">Both metrics bottom at </w:t>
      </w:r>
      <w:r>
        <w:rPr>
          <w:b/>
          <w:bCs/>
          <w:color w:val="1a1a1a"/>
          <w:sz w:val="21"/>
          <w:szCs w:val="21"/>
        </w:rPr>
        <w:t xml:space="preserve">C = 2.75e15 FLOPs</w:t>
      </w:r>
      <w:r>
        <w:rPr>
          <w:color w:val="1a1a1a"/>
          <w:sz w:val="21"/>
          <w:szCs w:val="21"/>
        </w:rPr>
        <w:t xml:space="preserve"> and rise after it. Best pooled ΔE₀₀ at that rung is </w:t>
      </w:r>
      <w:r>
        <w:rPr>
          <w:b/>
          <w:bCs/>
          <w:color w:val="1a1a1a"/>
          <w:sz w:val="21"/>
          <w:szCs w:val="21"/>
        </w:rPr>
        <w:t xml:space="preserve">10.04</w:t>
      </w:r>
      <w:r>
        <w:rPr>
          <w:color w:val="1a1a1a"/>
          <w:sz w:val="21"/>
          <w:szCs w:val="21"/>
        </w:rPr>
        <w:t xml:space="preserve"> (seed-averaged).</w:t>
      </w:r>
    </w:p>
    <w:p>
      <w:pPr>
        <w:pStyle w:val="ListParagraph"/>
        <w:numPr>
          <w:ilvl w:val="0"/>
          <w:numId w:val="2"/>
        </w:numPr>
        <w:spacing w:after="90" w:line="276"/>
      </w:pPr>
      <w:r>
        <w:rPr>
          <w:b/>
          <w:bCs/>
          <w:color w:val="1a1a1a"/>
          <w:sz w:val="21"/>
          <w:szCs w:val="21"/>
        </w:rPr>
        <w:t xml:space="preserve">Cross-entropy is not the well-behaved control. </w:t>
      </w:r>
      <w:r>
        <w:rPr>
          <w:color w:val="1a1a1a"/>
          <w:sz w:val="21"/>
          <w:szCs w:val="21"/>
        </w:rPr>
        <w:t xml:space="preserve">Running the identical IsoFLOP procedure on val_loss breaks in the same place, at the same budget. So this is not "ΔE is a strange metric": something about the task itself, or about the setup, caps out.</w:t>
      </w:r>
    </w:p>
    <w:p>
      <w:pPr>
        <w:pStyle w:val="ListParagraph"/>
        <w:numPr>
          <w:ilvl w:val="0"/>
          <w:numId w:val="2"/>
        </w:numPr>
        <w:spacing w:after="90" w:line="276"/>
      </w:pPr>
      <w:r>
        <w:rPr>
          <w:b/>
          <w:bCs/>
          <w:color w:val="1a1a1a"/>
          <w:sz w:val="21"/>
          <w:szCs w:val="21"/>
        </w:rPr>
        <w:t xml:space="preserve">It is not data repetition. </w:t>
      </w:r>
      <w:r>
        <w:rPr>
          <w:color w:val="1a1a1a"/>
          <w:sz w:val="21"/>
          <w:szCs w:val="21"/>
        </w:rPr>
        <w:t xml:space="preserve">47 of 48 runs never saw a single example twice; the deepest run reached 1.45 epochs. The old epoch-ceiling theory is dead.</w:t>
      </w:r>
    </w:p>
    <w:p>
      <w:pPr>
        <w:pStyle w:val="ListParagraph"/>
        <w:numPr>
          <w:ilvl w:val="0"/>
          <w:numId w:val="2"/>
        </w:numPr>
        <w:spacing w:after="90" w:line="276"/>
      </w:pPr>
      <w:r>
        <w:rPr>
          <w:b/>
          <w:bCs/>
          <w:color w:val="1a1a1a"/>
          <w:sz w:val="21"/>
          <w:szCs w:val="21"/>
        </w:rPr>
        <w:t xml:space="preserve">The one bucket that behaves like a textbook scaling law is low chroma. </w:t>
      </w:r>
      <w:r>
        <w:rPr>
          <w:color w:val="1a1a1a"/>
          <w:sz w:val="21"/>
          <w:szCs w:val="21"/>
        </w:rPr>
        <w:t xml:space="preserve">α = 0.648 with a tight CI, β = 0.403, α + β = 1.05. It is the only bucket that fits all six budgets and the only one that survives noise propagation. That is the strongest single clue about where the ceiling comes from.</w:t>
      </w:r>
    </w:p>
    <w:p>
      <w:pPr>
        <w:spacing w:after="200" w:before="100" w:line="276"/>
      </w:pPr>
      <w:r>
        <w:rPr>
          <w:color w:val="1a1a1a"/>
          <w:sz w:val="21"/>
          <w:szCs w:val="21"/>
        </w:rPr>
        <w:t xml:space="preserve">Read together, my claim for the meeting is: </w:t>
      </w:r>
      <w:r>
        <w:rPr>
          <w:b/>
          <w:bCs/>
          <w:color w:val="1a1a1a"/>
          <w:sz w:val="21"/>
          <w:szCs w:val="21"/>
        </w:rPr>
        <w:t xml:space="preserve">the ceiling looks problem-side, not model-side</w:t>
      </w:r>
      <w:r>
        <w:rPr>
          <w:color w:val="1a1a1a"/>
          <w:sz w:val="21"/>
          <w:szCs w:val="21"/>
        </w:rPr>
        <w:t xml:space="preserve">, which is an argument for search and RL against the simulator rather than a bigger pretrain. Section 6 gives the theory and section 7 gives the experiment that would settle it.</w:t>
      </w:r>
    </w:p>
    <w:p>
      <w:pPr>
        <w:pStyle w:val="Heading1"/>
        <w:spacing w:after="140" w:before="320"/>
      </w:pPr>
      <w:r>
        <w:t xml:space="preserve">2.  Method, in brief</w:t>
      </w:r>
    </w:p>
    <w:p>
      <w:pPr>
        <w:pStyle w:val="ListParagraph"/>
        <w:numPr>
          <w:ilvl w:val="0"/>
          <w:numId w:val="3"/>
        </w:numPr>
        <w:spacing w:after="90" w:line="276"/>
      </w:pPr>
      <w:r>
        <w:rPr>
          <w:b/>
          <w:bCs/>
          <w:color w:val="1a1a1a"/>
          <w:sz w:val="21"/>
          <w:szCs w:val="21"/>
        </w:rPr>
        <w:t xml:space="preserve">Chinchilla Approach 2 </w:t>
      </w:r>
      <w:r>
        <w:rPr>
          <w:color w:val="1a1a1a"/>
          <w:sz w:val="21"/>
          <w:szCs w:val="21"/>
        </w:rPr>
        <w:t xml:space="preserve">(fixed-FLOP IsoFLOP profiles). Six budgets from 1e14 to 2.5e16, eight runs each, 48 runs total. Step 1 fits a parabola in log N per budget to get N*; step 2 fits a power law N*(C).</w:t>
      </w:r>
    </w:p>
    <w:p>
      <w:pPr>
        <w:pStyle w:val="ListParagraph"/>
        <w:numPr>
          <w:ilvl w:val="0"/>
          <w:numId w:val="3"/>
        </w:numPr>
        <w:spacing w:after="90" w:line="276"/>
      </w:pPr>
      <w:r>
        <w:rPr>
          <w:b/>
          <w:bCs/>
          <w:color w:val="1a1a1a"/>
          <w:sz w:val="21"/>
          <w:szCs w:val="21"/>
        </w:rPr>
        <w:t xml:space="preserve">Porian et al. 2024 (arXiv:2406.19146) corrections applied: </w:t>
      </w:r>
      <w:r>
        <w:rPr>
          <w:color w:val="1a1a1a"/>
          <w:sz w:val="21"/>
          <w:szCs w:val="21"/>
        </w:rPr>
        <w:t xml:space="preserve">last-layer FLOP accounting, warmup expressed as a fraction of the budget rather than a fixed step count, and learning rate re-tuned per model size.</w:t>
      </w:r>
    </w:p>
    <w:p>
      <w:pPr>
        <w:pStyle w:val="ListParagraph"/>
        <w:numPr>
          <w:ilvl w:val="0"/>
          <w:numId w:val="3"/>
        </w:numPr>
        <w:spacing w:after="90" w:line="276"/>
      </w:pPr>
      <w:r>
        <w:rPr>
          <w:b/>
          <w:bCs/>
          <w:color w:val="1a1a1a"/>
          <w:sz w:val="21"/>
          <w:szCs w:val="21"/>
        </w:rPr>
        <w:t xml:space="preserve">Target metric is ΔE₀₀ </w:t>
      </w:r>
      <w:r>
        <w:rPr>
          <w:color w:val="1a1a1a"/>
          <w:sz w:val="21"/>
          <w:szCs w:val="21"/>
        </w:rPr>
        <w:t xml:space="preserve">(median, CIEDE2000) on validation, not CE. CE and ΔE are decoupled on INDIGO and we have verified that before. Section 4 runs CE through the same machine anyway, as a control.</w:t>
      </w:r>
    </w:p>
    <w:p>
      <w:pPr>
        <w:pStyle w:val="ListParagraph"/>
        <w:numPr>
          <w:ilvl w:val="0"/>
          <w:numId w:val="3"/>
        </w:numPr>
        <w:spacing w:after="90" w:line="276"/>
      </w:pPr>
      <w:r>
        <w:rPr>
          <w:b/>
          <w:bCs/>
          <w:color w:val="1a1a1a"/>
          <w:sz w:val="21"/>
          <w:szCs w:val="21"/>
        </w:rPr>
        <w:t xml:space="preserve">Final checkpoint, not best. </w:t>
      </w:r>
      <w:r>
        <w:rPr>
          <w:color w:val="1a1a1a"/>
          <w:sz w:val="21"/>
          <w:szCs w:val="21"/>
        </w:rPr>
        <w:t xml:space="preserve">Deliberate: taking an earlier checkpoint is not an IsoFLOP point, because that run did not actually spend its budget. Every model here sees its full curriculum.</w:t>
      </w:r>
    </w:p>
    <w:p>
      <w:pPr>
        <w:pStyle w:val="ListParagraph"/>
        <w:numPr>
          <w:ilvl w:val="0"/>
          <w:numId w:val="3"/>
        </w:numPr>
        <w:spacing w:after="90" w:line="276"/>
      </w:pPr>
      <w:r>
        <w:rPr>
          <w:b/>
          <w:bCs/>
          <w:color w:val="1a1a1a"/>
          <w:sz w:val="21"/>
          <w:szCs w:val="21"/>
        </w:rPr>
        <w:t xml:space="preserve">Aspect ratio held in a band </w:t>
      </w:r>
      <w:r>
        <w:rPr>
          <w:color w:val="1a1a1a"/>
          <w:sz w:val="21"/>
          <w:szCs w:val="21"/>
        </w:rPr>
        <w:t xml:space="preserve">(d_model / encoder layers, 28 to 72) so that N is not silently confounded with the shape of the network. The first sweep failed outright because it was not.</w:t>
      </w:r>
    </w:p>
    <w:p>
      <w:pPr>
        <w:pStyle w:val="ListParagraph"/>
        <w:numPr>
          <w:ilvl w:val="0"/>
          <w:numId w:val="3"/>
        </w:numPr>
        <w:spacing w:after="90" w:line="276"/>
      </w:pPr>
      <w:r>
        <w:rPr>
          <w:b/>
          <w:bCs/>
          <w:color w:val="1a1a1a"/>
          <w:sz w:val="21"/>
          <w:szCs w:val="21"/>
        </w:rPr>
        <w:t xml:space="preserve">40M-example corpus, </w:t>
      </w:r>
      <w:r>
        <w:rPr>
          <w:color w:val="1a1a1a"/>
          <w:sz w:val="21"/>
          <w:szCs w:val="21"/>
        </w:rPr>
        <w:t xml:space="preserve">20% generated by the high-chroma directed search. Chroma buckets use the repo definition, C* = √(a²+b²), with edges at 20 and 50.</w:t>
      </w:r>
    </w:p>
    <w:p>
      <w:pPr>
        <w:pStyle w:val="Heading1"/>
        <w:spacing w:after="140" w:before="320"/>
      </w:pPr>
      <w:r>
        <w:t xml:space="preserve">3.  The sweep</w:t>
      </w:r>
    </w:p>
    <w:p>
      <w:pPr>
        <w:spacing w:after="60" w:before="10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257425"/>
                    </a:xfrm>
                    <a:prstGeom prst="rect">
                      <a:avLst/>
                    </a:prstGeom>
                  </pic:spPr>
                </pic:pic>
              </a:graphicData>
            </a:graphic>
          </wp:inline>
        </w:drawing>
      </w:r>
    </w:p>
    <w:p>
      <w:pPr>
        <w:spacing w:after="220"/>
        <w:jc w:val="center"/>
      </w:pPr>
      <w:r>
        <w:rPr>
          <w:i/>
          <w:iCs/>
          <w:color w:val="5a5a5a"/>
          <w:sz w:val="17"/>
          <w:szCs w:val="17"/>
        </w:rPr>
        <w:t xml:space="preserve">Figure 1.  Left: one colour per FLOP budget; dots are the eight model sizes, the curve is the fitted parabola, the star is N*. Right: N*(C) per chroma bucket.</w:t>
      </w:r>
    </w:p>
    <w:p>
      <w:pPr>
        <w:spacing w:after="120" w:before="0" w:line="276"/>
      </w:pPr>
      <w:r>
        <w:rPr>
          <w:b/>
          <w:bCs/>
          <w:color w:val="1a1a1a"/>
          <w:sz w:val="21"/>
          <w:szCs w:val="21"/>
        </w:rPr>
        <w:t xml:space="preserve">How to read the left panel, and the thing to notice. </w:t>
      </w:r>
      <w:r>
        <w:rPr>
          <w:color w:val="1a1a1a"/>
          <w:sz w:val="21"/>
          <w:szCs w:val="21"/>
        </w:rPr>
        <w:t xml:space="preserve">A healthy IsoFLOP rung is a clear U: too-small models are underparameterised, too-large models are undertrained, and the minimum is real. The bottom three rungs look like that. As C rises the parabolas get </w:t>
      </w:r>
      <w:r>
        <w:rPr>
          <w:b/>
          <w:bCs/>
          <w:color w:val="1a1a1a"/>
          <w:sz w:val="21"/>
          <w:szCs w:val="21"/>
        </w:rPr>
        <w:t xml:space="preserve">flatter and shallower</w:t>
      </w:r>
      <w:r>
        <w:rPr>
          <w:color w:val="1a1a1a"/>
          <w:sz w:val="21"/>
          <w:szCs w:val="21"/>
        </w:rPr>
        <w:t xml:space="preserve">. At C = 8.3e15 (purple) the star has slid to the right-hand edge of the sampled window. At C = 2.5e16 (brown) there is no interior minimum at all and the fit is refused, so that rung contributes nothing to α.</w:t>
      </w:r>
    </w:p>
    <w:p>
      <w:pPr>
        <w:spacing w:after="120" w:before="0" w:line="276"/>
      </w:pPr>
      <w:r>
        <w:rPr>
          <w:b/>
          <w:bCs/>
          <w:color w:val="1a1a1a"/>
          <w:sz w:val="21"/>
          <w:szCs w:val="21"/>
        </w:rPr>
        <w:t xml:space="preserve">That flattening is the whole story. </w:t>
      </w:r>
      <w:r>
        <w:rPr>
          <w:color w:val="1a1a1a"/>
          <w:sz w:val="21"/>
          <w:szCs w:val="21"/>
        </w:rPr>
        <w:t xml:space="preserve">It is not that the large runs fit badly in a noisy-data sense. It is that the quantity being fitted, curvature in log N, is going to zero. ΔE stops caring how big the model is.</w:t>
      </w:r>
    </w:p>
    <w:p>
      <w:pPr>
        <w:spacing w:after="160"/>
      </w:pPr>
    </w:p>
    <w:p>
      <w:pPr>
        <w:spacing w:after="60" w:before="0" w:line="276"/>
      </w:pPr>
      <w:r>
        <w:rPr>
          <w:b/>
          <w:bCs/>
          <w:color w:val="1a1a1a"/>
          <w:sz w:val="21"/>
          <w:szCs w:val="21"/>
        </w:rPr>
        <w:t xml:space="preserve">Table 1. </w:t>
      </w:r>
      <w:r>
        <w:rPr>
          <w:color w:val="1a1a1a"/>
          <w:sz w:val="21"/>
          <w:szCs w:val="21"/>
        </w:rPr>
        <w:t xml:space="preserve">Per-budget summary.</w:t>
      </w:r>
    </w:p>
    <w:tbl>
      <w:tblPr>
        <w:tblW w:type="dxa" w:w="9360"/>
        <w:tblBorders>
          <w:top w:val="single" w:color="c9c9c9" w:sz="4"/>
          <w:left w:val="none"/>
          <w:bottom w:val="single" w:color="c9c9c9" w:sz="4"/>
          <w:right w:val="none"/>
          <w:insideH w:val="single" w:color="e3e3e3" w:sz="2"/>
          <w:insideV w:val="none"/>
        </w:tblBorders>
      </w:tblPr>
      <w:tblGrid>
        <w:gridCol w:w="1500"/>
        <w:gridCol w:w="1760"/>
        <w:gridCol w:w="1180"/>
        <w:gridCol w:w="1100"/>
        <w:gridCol w:w="1300"/>
        <w:gridCol w:w="1160"/>
        <w:gridCol w:w="1360"/>
      </w:tblGrid>
      <w:tr>
        <w:trPr>
          <w:tblHeader/>
        </w:trPr>
        <w:tc>
          <w:tcPr>
            <w:tcW w:type="dxa" w:w="1500"/>
            <w:shd w:fill="eef2f7" w:color="auto" w:val="clear"/>
            <w:tcMar>
              <w:top w:type="dxa" w:w="60"/>
              <w:left w:type="dxa" w:w="90"/>
              <w:bottom w:type="dxa" w:w="60"/>
              <w:right w:type="dxa" w:w="90"/>
            </w:tcMar>
          </w:tcPr>
          <w:p>
            <w:pPr>
              <w:spacing w:after="0"/>
              <w:jc w:val="left"/>
            </w:pPr>
            <w:r>
              <w:rPr>
                <w:b/>
                <w:bCs/>
                <w:color w:val="1a1a1a"/>
                <w:sz w:val="18"/>
                <w:szCs w:val="18"/>
              </w:rPr>
              <w:t xml:space="preserve">C (FLOPs)</w:t>
            </w:r>
          </w:p>
        </w:tc>
        <w:tc>
          <w:tcPr>
            <w:tcW w:type="dxa" w:w="1760"/>
            <w:shd w:fill="eef2f7" w:color="auto" w:val="clear"/>
            <w:tcMar>
              <w:top w:type="dxa" w:w="60"/>
              <w:left w:type="dxa" w:w="90"/>
              <w:bottom w:type="dxa" w:w="60"/>
              <w:right w:type="dxa" w:w="90"/>
            </w:tcMar>
          </w:tcPr>
          <w:p>
            <w:pPr>
              <w:spacing w:after="0"/>
              <w:jc w:val="right"/>
            </w:pPr>
            <w:r>
              <w:rPr>
                <w:b/>
                <w:bCs/>
                <w:color w:val="1a1a1a"/>
                <w:sz w:val="18"/>
                <w:szCs w:val="18"/>
              </w:rPr>
              <w:t xml:space="preserve">N sampled</w:t>
            </w:r>
          </w:p>
        </w:tc>
        <w:tc>
          <w:tcPr>
            <w:tcW w:type="dxa" w:w="1180"/>
            <w:shd w:fill="eef2f7" w:color="auto" w:val="clear"/>
            <w:tcMar>
              <w:top w:type="dxa" w:w="60"/>
              <w:left w:type="dxa" w:w="90"/>
              <w:bottom w:type="dxa" w:w="60"/>
              <w:right w:type="dxa" w:w="90"/>
            </w:tcMar>
          </w:tcPr>
          <w:p>
            <w:pPr>
              <w:spacing w:after="0"/>
              <w:jc w:val="right"/>
            </w:pPr>
            <w:r>
              <w:rPr>
                <w:b/>
                <w:bCs/>
                <w:color w:val="1a1a1a"/>
                <w:sz w:val="18"/>
                <w:szCs w:val="18"/>
              </w:rPr>
              <w:t xml:space="preserve">N* (ΔE)</w:t>
            </w:r>
          </w:p>
        </w:tc>
        <w:tc>
          <w:tcPr>
            <w:tcW w:type="dxa" w:w="1100"/>
            <w:shd w:fill="eef2f7" w:color="auto" w:val="clear"/>
            <w:tcMar>
              <w:top w:type="dxa" w:w="60"/>
              <w:left w:type="dxa" w:w="90"/>
              <w:bottom w:type="dxa" w:w="60"/>
              <w:right w:type="dxa" w:w="90"/>
            </w:tcMar>
          </w:tcPr>
          <w:p>
            <w:pPr>
              <w:spacing w:after="0"/>
              <w:jc w:val="right"/>
            </w:pPr>
            <w:r>
              <w:rPr>
                <w:b/>
                <w:bCs/>
                <w:color w:val="1a1a1a"/>
                <w:sz w:val="18"/>
                <w:szCs w:val="18"/>
              </w:rPr>
              <w:t xml:space="preserve">D* (Mex)</w:t>
            </w:r>
          </w:p>
        </w:tc>
        <w:tc>
          <w:tcPr>
            <w:tcW w:type="dxa" w:w="1300"/>
            <w:shd w:fill="eef2f7" w:color="auto" w:val="clear"/>
            <w:tcMar>
              <w:top w:type="dxa" w:w="60"/>
              <w:left w:type="dxa" w:w="90"/>
              <w:bottom w:type="dxa" w:w="60"/>
              <w:right w:type="dxa" w:w="90"/>
            </w:tcMar>
          </w:tcPr>
          <w:p>
            <w:pPr>
              <w:spacing w:after="0"/>
              <w:jc w:val="right"/>
            </w:pPr>
            <w:r>
              <w:rPr>
                <w:b/>
                <w:bCs/>
                <w:color w:val="1a1a1a"/>
                <w:sz w:val="18"/>
                <w:szCs w:val="18"/>
              </w:rPr>
              <w:t xml:space="preserve">best ΔE₀₀</w:t>
            </w:r>
          </w:p>
        </w:tc>
        <w:tc>
          <w:tcPr>
            <w:tcW w:type="dxa" w:w="1160"/>
            <w:shd w:fill="eef2f7" w:color="auto" w:val="clear"/>
            <w:tcMar>
              <w:top w:type="dxa" w:w="60"/>
              <w:left w:type="dxa" w:w="90"/>
              <w:bottom w:type="dxa" w:w="60"/>
              <w:right w:type="dxa" w:w="90"/>
            </w:tcMar>
          </w:tcPr>
          <w:p>
            <w:pPr>
              <w:spacing w:after="0"/>
              <w:jc w:val="right"/>
            </w:pPr>
            <w:r>
              <w:rPr>
                <w:b/>
                <w:bCs/>
                <w:color w:val="1a1a1a"/>
                <w:sz w:val="18"/>
                <w:szCs w:val="18"/>
              </w:rPr>
              <w:t xml:space="preserve">best CE</w:t>
            </w:r>
          </w:p>
        </w:tc>
        <w:tc>
          <w:tcPr>
            <w:tcW w:type="dxa" w:w="1360"/>
            <w:shd w:fill="eef2f7" w:color="auto" w:val="clear"/>
            <w:tcMar>
              <w:top w:type="dxa" w:w="60"/>
              <w:left w:type="dxa" w:w="90"/>
              <w:bottom w:type="dxa" w:w="60"/>
              <w:right w:type="dxa" w:w="90"/>
            </w:tcMar>
          </w:tcPr>
          <w:p>
            <w:pPr>
              <w:spacing w:after="0"/>
              <w:jc w:val="right"/>
            </w:pPr>
            <w:r>
              <w:rPr>
                <w:b/>
                <w:bCs/>
                <w:color w:val="1a1a1a"/>
                <w:sz w:val="18"/>
                <w:szCs w:val="18"/>
              </w:rPr>
              <w:t xml:space="preserve">max epochs</w:t>
            </w:r>
          </w:p>
        </w:tc>
      </w:tr>
      <w:tr>
        <w:tc>
          <w:tcPr>
            <w:tcW w:type="dxa" w:w="1500"/>
            <w:tcMar>
              <w:top w:type="dxa" w:w="60"/>
              <w:left w:type="dxa" w:w="90"/>
              <w:bottom w:type="dxa" w:w="60"/>
              <w:right w:type="dxa" w:w="90"/>
            </w:tcMar>
          </w:tcPr>
          <w:p>
            <w:pPr>
              <w:spacing w:after="0"/>
              <w:jc w:val="left"/>
            </w:pPr>
            <w:r>
              <w:rPr>
                <w:color w:val="1a1a1a"/>
                <w:sz w:val="18"/>
                <w:szCs w:val="18"/>
              </w:rPr>
              <w:t xml:space="preserve">1.00e14</w:t>
            </w:r>
          </w:p>
        </w:tc>
        <w:tc>
          <w:tcPr>
            <w:tcW w:type="dxa" w:w="1760"/>
            <w:tcMar>
              <w:top w:type="dxa" w:w="60"/>
              <w:left w:type="dxa" w:w="90"/>
              <w:bottom w:type="dxa" w:w="60"/>
              <w:right w:type="dxa" w:w="90"/>
            </w:tcMar>
          </w:tcPr>
          <w:p>
            <w:pPr>
              <w:spacing w:after="0"/>
              <w:jc w:val="right"/>
            </w:pPr>
            <w:r>
              <w:rPr>
                <w:color w:val="1a1a1a"/>
                <w:sz w:val="18"/>
                <w:szCs w:val="18"/>
              </w:rPr>
              <w:t xml:space="preserve">0.08 - 1.16M</w:t>
            </w:r>
          </w:p>
        </w:tc>
        <w:tc>
          <w:tcPr>
            <w:tcW w:type="dxa" w:w="1180"/>
            <w:tcMar>
              <w:top w:type="dxa" w:w="60"/>
              <w:left w:type="dxa" w:w="90"/>
              <w:bottom w:type="dxa" w:w="60"/>
              <w:right w:type="dxa" w:w="90"/>
            </w:tcMar>
          </w:tcPr>
          <w:p>
            <w:pPr>
              <w:spacing w:after="0"/>
              <w:jc w:val="right"/>
            </w:pPr>
            <w:r>
              <w:rPr>
                <w:color w:val="1a1a1a"/>
                <w:sz w:val="18"/>
                <w:szCs w:val="18"/>
              </w:rPr>
              <w:t xml:space="preserve">refused</w:t>
            </w:r>
          </w:p>
        </w:tc>
        <w:tc>
          <w:tcPr>
            <w:tcW w:type="dxa" w:w="1100"/>
            <w:tcMar>
              <w:top w:type="dxa" w:w="60"/>
              <w:left w:type="dxa" w:w="90"/>
              <w:bottom w:type="dxa" w:w="60"/>
              <w:right w:type="dxa" w:w="90"/>
            </w:tcMar>
          </w:tcPr>
          <w:p>
            <w:pPr>
              <w:spacing w:after="0"/>
              <w:jc w:val="right"/>
            </w:pPr>
            <w:r>
              <w:rPr>
                <w:color w:val="1a1a1a"/>
                <w:sz w:val="18"/>
                <w:szCs w:val="18"/>
              </w:rPr>
              <w:t xml:space="preserve">–</w:t>
            </w:r>
          </w:p>
        </w:tc>
        <w:tc>
          <w:tcPr>
            <w:tcW w:type="dxa" w:w="1300"/>
            <w:tcMar>
              <w:top w:type="dxa" w:w="60"/>
              <w:left w:type="dxa" w:w="90"/>
              <w:bottom w:type="dxa" w:w="60"/>
              <w:right w:type="dxa" w:w="90"/>
            </w:tcMar>
          </w:tcPr>
          <w:p>
            <w:pPr>
              <w:spacing w:after="0"/>
              <w:jc w:val="right"/>
            </w:pPr>
            <w:r>
              <w:rPr>
                <w:color w:val="1a1a1a"/>
                <w:sz w:val="18"/>
                <w:szCs w:val="18"/>
              </w:rPr>
              <w:t xml:space="preserve">12.39</w:t>
            </w:r>
          </w:p>
        </w:tc>
        <w:tc>
          <w:tcPr>
            <w:tcW w:type="dxa" w:w="1160"/>
            <w:tcMar>
              <w:top w:type="dxa" w:w="60"/>
              <w:left w:type="dxa" w:w="90"/>
              <w:bottom w:type="dxa" w:w="60"/>
              <w:right w:type="dxa" w:w="90"/>
            </w:tcMar>
          </w:tcPr>
          <w:p>
            <w:pPr>
              <w:spacing w:after="0"/>
              <w:jc w:val="right"/>
            </w:pPr>
            <w:r>
              <w:rPr>
                <w:color w:val="1a1a1a"/>
                <w:sz w:val="18"/>
                <w:szCs w:val="18"/>
              </w:rPr>
              <w:t xml:space="preserve">6.144</w:t>
            </w:r>
          </w:p>
        </w:tc>
        <w:tc>
          <w:tcPr>
            <w:tcW w:type="dxa" w:w="1360"/>
            <w:tcMar>
              <w:top w:type="dxa" w:w="60"/>
              <w:left w:type="dxa" w:w="90"/>
              <w:bottom w:type="dxa" w:w="60"/>
              <w:right w:type="dxa" w:w="90"/>
            </w:tcMar>
          </w:tcPr>
          <w:p>
            <w:pPr>
              <w:spacing w:after="0"/>
              <w:jc w:val="right"/>
            </w:pPr>
            <w:r>
              <w:rPr>
                <w:color w:val="1a1a1a"/>
                <w:sz w:val="18"/>
                <w:szCs w:val="18"/>
              </w:rPr>
              <w:t xml:space="preserve">0.11</w:t>
            </w:r>
          </w:p>
        </w:tc>
      </w:tr>
      <w:tr>
        <w:tc>
          <w:tcPr>
            <w:tcW w:type="dxa" w:w="1500"/>
            <w:shd w:fill="f7f8fa" w:color="auto" w:val="clear"/>
            <w:tcMar>
              <w:top w:type="dxa" w:w="60"/>
              <w:left w:type="dxa" w:w="90"/>
              <w:bottom w:type="dxa" w:w="60"/>
              <w:right w:type="dxa" w:w="90"/>
            </w:tcMar>
          </w:tcPr>
          <w:p>
            <w:pPr>
              <w:spacing w:after="0"/>
              <w:jc w:val="left"/>
            </w:pPr>
            <w:r>
              <w:rPr>
                <w:color w:val="1a1a1a"/>
                <w:sz w:val="18"/>
                <w:szCs w:val="18"/>
              </w:rPr>
              <w:t xml:space="preserve">3.02e14</w:t>
            </w:r>
          </w:p>
        </w:tc>
        <w:tc>
          <w:tcPr>
            <w:tcW w:type="dxa" w:w="1760"/>
            <w:shd w:fill="f7f8fa" w:color="auto" w:val="clear"/>
            <w:tcMar>
              <w:top w:type="dxa" w:w="60"/>
              <w:left w:type="dxa" w:w="90"/>
              <w:bottom w:type="dxa" w:w="60"/>
              <w:right w:type="dxa" w:w="90"/>
            </w:tcMar>
          </w:tcPr>
          <w:p>
            <w:pPr>
              <w:spacing w:after="0"/>
              <w:jc w:val="right"/>
            </w:pPr>
            <w:r>
              <w:rPr>
                <w:color w:val="1a1a1a"/>
                <w:sz w:val="18"/>
                <w:szCs w:val="18"/>
              </w:rPr>
              <w:t xml:space="preserve">0.18 - 2.09M</w:t>
            </w:r>
          </w:p>
        </w:tc>
        <w:tc>
          <w:tcPr>
            <w:tcW w:type="dxa" w:w="1180"/>
            <w:shd w:fill="f7f8fa" w:color="auto" w:val="clear"/>
            <w:tcMar>
              <w:top w:type="dxa" w:w="60"/>
              <w:left w:type="dxa" w:w="90"/>
              <w:bottom w:type="dxa" w:w="60"/>
              <w:right w:type="dxa" w:w="90"/>
            </w:tcMar>
          </w:tcPr>
          <w:p>
            <w:pPr>
              <w:spacing w:after="0"/>
              <w:jc w:val="right"/>
            </w:pPr>
            <w:r>
              <w:rPr>
                <w:color w:val="1a1a1a"/>
                <w:sz w:val="18"/>
                <w:szCs w:val="18"/>
              </w:rPr>
              <w:t xml:space="preserve">0.26M</w:t>
            </w:r>
          </w:p>
        </w:tc>
        <w:tc>
          <w:tcPr>
            <w:tcW w:type="dxa" w:w="1100"/>
            <w:shd w:fill="f7f8fa" w:color="auto" w:val="clear"/>
            <w:tcMar>
              <w:top w:type="dxa" w:w="60"/>
              <w:left w:type="dxa" w:w="90"/>
              <w:bottom w:type="dxa" w:w="60"/>
              <w:right w:type="dxa" w:w="90"/>
            </w:tcMar>
          </w:tcPr>
          <w:p>
            <w:pPr>
              <w:spacing w:after="0"/>
              <w:jc w:val="right"/>
            </w:pPr>
            <w:r>
              <w:rPr>
                <w:color w:val="1a1a1a"/>
                <w:sz w:val="18"/>
                <w:szCs w:val="18"/>
              </w:rPr>
              <w:t xml:space="preserve">4.05</w:t>
            </w:r>
          </w:p>
        </w:tc>
        <w:tc>
          <w:tcPr>
            <w:tcW w:type="dxa" w:w="1300"/>
            <w:shd w:fill="f7f8fa" w:color="auto" w:val="clear"/>
            <w:tcMar>
              <w:top w:type="dxa" w:w="60"/>
              <w:left w:type="dxa" w:w="90"/>
              <w:bottom w:type="dxa" w:w="60"/>
              <w:right w:type="dxa" w:w="90"/>
            </w:tcMar>
          </w:tcPr>
          <w:p>
            <w:pPr>
              <w:spacing w:after="0"/>
              <w:jc w:val="right"/>
            </w:pPr>
            <w:r>
              <w:rPr>
                <w:color w:val="1a1a1a"/>
                <w:sz w:val="18"/>
                <w:szCs w:val="18"/>
              </w:rPr>
              <w:t xml:space="preserve">10.84</w:t>
            </w:r>
          </w:p>
        </w:tc>
        <w:tc>
          <w:tcPr>
            <w:tcW w:type="dxa" w:w="1160"/>
            <w:shd w:fill="f7f8fa" w:color="auto" w:val="clear"/>
            <w:tcMar>
              <w:top w:type="dxa" w:w="60"/>
              <w:left w:type="dxa" w:w="90"/>
              <w:bottom w:type="dxa" w:w="60"/>
              <w:right w:type="dxa" w:w="90"/>
            </w:tcMar>
          </w:tcPr>
          <w:p>
            <w:pPr>
              <w:spacing w:after="0"/>
              <w:jc w:val="right"/>
            </w:pPr>
            <w:r>
              <w:rPr>
                <w:color w:val="1a1a1a"/>
                <w:sz w:val="18"/>
                <w:szCs w:val="18"/>
              </w:rPr>
              <w:t xml:space="preserve">6.075</w:t>
            </w:r>
          </w:p>
        </w:tc>
        <w:tc>
          <w:tcPr>
            <w:tcW w:type="dxa" w:w="1360"/>
            <w:shd w:fill="f7f8fa" w:color="auto" w:val="clear"/>
            <w:tcMar>
              <w:top w:type="dxa" w:w="60"/>
              <w:left w:type="dxa" w:w="90"/>
              <w:bottom w:type="dxa" w:w="60"/>
              <w:right w:type="dxa" w:w="90"/>
            </w:tcMar>
          </w:tcPr>
          <w:p>
            <w:pPr>
              <w:spacing w:after="0"/>
              <w:jc w:val="right"/>
            </w:pPr>
            <w:r>
              <w:rPr>
                <w:color w:val="1a1a1a"/>
                <w:sz w:val="18"/>
                <w:szCs w:val="18"/>
              </w:rPr>
              <w:t xml:space="preserve">0.14</w:t>
            </w:r>
          </w:p>
        </w:tc>
      </w:tr>
      <w:tr>
        <w:tc>
          <w:tcPr>
            <w:tcW w:type="dxa" w:w="1500"/>
            <w:tcMar>
              <w:top w:type="dxa" w:w="60"/>
              <w:left w:type="dxa" w:w="90"/>
              <w:bottom w:type="dxa" w:w="60"/>
              <w:right w:type="dxa" w:w="90"/>
            </w:tcMar>
          </w:tcPr>
          <w:p>
            <w:pPr>
              <w:spacing w:after="0"/>
              <w:jc w:val="left"/>
            </w:pPr>
            <w:r>
              <w:rPr>
                <w:color w:val="1a1a1a"/>
                <w:sz w:val="18"/>
                <w:szCs w:val="18"/>
              </w:rPr>
              <w:t xml:space="preserve">9.10e14</w:t>
            </w:r>
          </w:p>
        </w:tc>
        <w:tc>
          <w:tcPr>
            <w:tcW w:type="dxa" w:w="1760"/>
            <w:tcMar>
              <w:top w:type="dxa" w:w="60"/>
              <w:left w:type="dxa" w:w="90"/>
              <w:bottom w:type="dxa" w:w="60"/>
              <w:right w:type="dxa" w:w="90"/>
            </w:tcMar>
          </w:tcPr>
          <w:p>
            <w:pPr>
              <w:spacing w:after="0"/>
              <w:jc w:val="right"/>
            </w:pPr>
            <w:r>
              <w:rPr>
                <w:color w:val="1a1a1a"/>
                <w:sz w:val="18"/>
                <w:szCs w:val="18"/>
              </w:rPr>
              <w:t xml:space="preserve">0.46 - 3.42M</w:t>
            </w:r>
          </w:p>
        </w:tc>
        <w:tc>
          <w:tcPr>
            <w:tcW w:type="dxa" w:w="1180"/>
            <w:tcMar>
              <w:top w:type="dxa" w:w="60"/>
              <w:left w:type="dxa" w:w="90"/>
              <w:bottom w:type="dxa" w:w="60"/>
              <w:right w:type="dxa" w:w="90"/>
            </w:tcMar>
          </w:tcPr>
          <w:p>
            <w:pPr>
              <w:spacing w:after="0"/>
              <w:jc w:val="right"/>
            </w:pPr>
            <w:r>
              <w:rPr>
                <w:color w:val="1a1a1a"/>
                <w:sz w:val="18"/>
                <w:szCs w:val="18"/>
              </w:rPr>
              <w:t xml:space="preserve">0.80M</w:t>
            </w:r>
          </w:p>
        </w:tc>
        <w:tc>
          <w:tcPr>
            <w:tcW w:type="dxa" w:w="1100"/>
            <w:tcMar>
              <w:top w:type="dxa" w:w="60"/>
              <w:left w:type="dxa" w:w="90"/>
              <w:bottom w:type="dxa" w:w="60"/>
              <w:right w:type="dxa" w:w="90"/>
            </w:tcMar>
          </w:tcPr>
          <w:p>
            <w:pPr>
              <w:spacing w:after="0"/>
              <w:jc w:val="right"/>
            </w:pPr>
            <w:r>
              <w:rPr>
                <w:color w:val="1a1a1a"/>
                <w:sz w:val="18"/>
                <w:szCs w:val="18"/>
              </w:rPr>
              <w:t xml:space="preserve">4.25</w:t>
            </w:r>
          </w:p>
        </w:tc>
        <w:tc>
          <w:tcPr>
            <w:tcW w:type="dxa" w:w="1300"/>
            <w:tcMar>
              <w:top w:type="dxa" w:w="60"/>
              <w:left w:type="dxa" w:w="90"/>
              <w:bottom w:type="dxa" w:w="60"/>
              <w:right w:type="dxa" w:w="90"/>
            </w:tcMar>
          </w:tcPr>
          <w:p>
            <w:pPr>
              <w:spacing w:after="0"/>
              <w:jc w:val="right"/>
            </w:pPr>
            <w:r>
              <w:rPr>
                <w:color w:val="1a1a1a"/>
                <w:sz w:val="18"/>
                <w:szCs w:val="18"/>
              </w:rPr>
              <w:t xml:space="preserve">10.46</w:t>
            </w:r>
          </w:p>
        </w:tc>
        <w:tc>
          <w:tcPr>
            <w:tcW w:type="dxa" w:w="1160"/>
            <w:tcMar>
              <w:top w:type="dxa" w:w="60"/>
              <w:left w:type="dxa" w:w="90"/>
              <w:bottom w:type="dxa" w:w="60"/>
              <w:right w:type="dxa" w:w="90"/>
            </w:tcMar>
          </w:tcPr>
          <w:p>
            <w:pPr>
              <w:spacing w:after="0"/>
              <w:jc w:val="right"/>
            </w:pPr>
            <w:r>
              <w:rPr>
                <w:color w:val="1a1a1a"/>
                <w:sz w:val="18"/>
                <w:szCs w:val="18"/>
              </w:rPr>
              <w:t xml:space="preserve">6.042</w:t>
            </w:r>
          </w:p>
        </w:tc>
        <w:tc>
          <w:tcPr>
            <w:tcW w:type="dxa" w:w="1360"/>
            <w:tcMar>
              <w:top w:type="dxa" w:w="60"/>
              <w:left w:type="dxa" w:w="90"/>
              <w:bottom w:type="dxa" w:w="60"/>
              <w:right w:type="dxa" w:w="90"/>
            </w:tcMar>
          </w:tcPr>
          <w:p>
            <w:pPr>
              <w:spacing w:after="0"/>
              <w:jc w:val="right"/>
            </w:pPr>
            <w:r>
              <w:rPr>
                <w:color w:val="1a1a1a"/>
                <w:sz w:val="18"/>
                <w:szCs w:val="18"/>
              </w:rPr>
              <w:t xml:space="preserve">0.18</w:t>
            </w:r>
          </w:p>
        </w:tc>
      </w:tr>
      <w:tr>
        <w:tc>
          <w:tcPr>
            <w:tcW w:type="dxa" w:w="1500"/>
            <w:shd w:fill="f7f8fa" w:color="auto" w:val="clear"/>
            <w:tcMar>
              <w:top w:type="dxa" w:w="60"/>
              <w:left w:type="dxa" w:w="90"/>
              <w:bottom w:type="dxa" w:w="60"/>
              <w:right w:type="dxa" w:w="90"/>
            </w:tcMar>
          </w:tcPr>
          <w:p>
            <w:pPr>
              <w:spacing w:after="0"/>
              <w:jc w:val="left"/>
            </w:pPr>
            <w:r>
              <w:rPr>
                <w:color w:val="1a1a1a"/>
                <w:sz w:val="18"/>
                <w:szCs w:val="18"/>
              </w:rPr>
              <w:t xml:space="preserve">2.75e15</w:t>
            </w:r>
          </w:p>
        </w:tc>
        <w:tc>
          <w:tcPr>
            <w:tcW w:type="dxa" w:w="1760"/>
            <w:shd w:fill="f7f8fa" w:color="auto" w:val="clear"/>
            <w:tcMar>
              <w:top w:type="dxa" w:w="60"/>
              <w:left w:type="dxa" w:w="90"/>
              <w:bottom w:type="dxa" w:w="60"/>
              <w:right w:type="dxa" w:w="90"/>
            </w:tcMar>
          </w:tcPr>
          <w:p>
            <w:pPr>
              <w:spacing w:after="0"/>
              <w:jc w:val="right"/>
            </w:pPr>
            <w:r>
              <w:rPr>
                <w:color w:val="1a1a1a"/>
                <w:sz w:val="18"/>
                <w:szCs w:val="18"/>
              </w:rPr>
              <w:t xml:space="preserve">0.57 - 5.84M</w:t>
            </w:r>
          </w:p>
        </w:tc>
        <w:tc>
          <w:tcPr>
            <w:tcW w:type="dxa" w:w="1180"/>
            <w:shd w:fill="f7f8fa" w:color="auto" w:val="clear"/>
            <w:tcMar>
              <w:top w:type="dxa" w:w="60"/>
              <w:left w:type="dxa" w:w="90"/>
              <w:bottom w:type="dxa" w:w="60"/>
              <w:right w:type="dxa" w:w="90"/>
            </w:tcMar>
          </w:tcPr>
          <w:p>
            <w:pPr>
              <w:spacing w:after="0"/>
              <w:jc w:val="right"/>
            </w:pPr>
            <w:r>
              <w:rPr>
                <w:color w:val="1a1a1a"/>
                <w:sz w:val="18"/>
                <w:szCs w:val="18"/>
              </w:rPr>
              <w:t xml:space="preserve">1.43M</w:t>
            </w:r>
          </w:p>
        </w:tc>
        <w:tc>
          <w:tcPr>
            <w:tcW w:type="dxa" w:w="1100"/>
            <w:shd w:fill="f7f8fa" w:color="auto" w:val="clear"/>
            <w:tcMar>
              <w:top w:type="dxa" w:w="60"/>
              <w:left w:type="dxa" w:w="90"/>
              <w:bottom w:type="dxa" w:w="60"/>
              <w:right w:type="dxa" w:w="90"/>
            </w:tcMar>
          </w:tcPr>
          <w:p>
            <w:pPr>
              <w:spacing w:after="0"/>
              <w:jc w:val="right"/>
            </w:pPr>
            <w:r>
              <w:rPr>
                <w:color w:val="1a1a1a"/>
                <w:sz w:val="18"/>
                <w:szCs w:val="18"/>
              </w:rPr>
              <w:t xml:space="preserve">7.66</w:t>
            </w:r>
          </w:p>
        </w:tc>
        <w:tc>
          <w:tcPr>
            <w:tcW w:type="dxa" w:w="1300"/>
            <w:shd w:fill="f7f8fa" w:color="auto" w:val="clear"/>
            <w:tcMar>
              <w:top w:type="dxa" w:w="60"/>
              <w:left w:type="dxa" w:w="90"/>
              <w:bottom w:type="dxa" w:w="60"/>
              <w:right w:type="dxa" w:w="90"/>
            </w:tcMar>
          </w:tcPr>
          <w:p>
            <w:pPr>
              <w:spacing w:after="0"/>
              <w:jc w:val="right"/>
            </w:pPr>
            <w:r>
              <w:rPr>
                <w:color w:val="1a1a1a"/>
                <w:sz w:val="18"/>
                <w:szCs w:val="18"/>
              </w:rPr>
              <w:t xml:space="preserve">10.04</w:t>
            </w:r>
          </w:p>
        </w:tc>
        <w:tc>
          <w:tcPr>
            <w:tcW w:type="dxa" w:w="1160"/>
            <w:shd w:fill="f7f8fa" w:color="auto" w:val="clear"/>
            <w:tcMar>
              <w:top w:type="dxa" w:w="60"/>
              <w:left w:type="dxa" w:w="90"/>
              <w:bottom w:type="dxa" w:w="60"/>
              <w:right w:type="dxa" w:w="90"/>
            </w:tcMar>
          </w:tcPr>
          <w:p>
            <w:pPr>
              <w:spacing w:after="0"/>
              <w:jc w:val="right"/>
            </w:pPr>
            <w:r>
              <w:rPr>
                <w:color w:val="1a1a1a"/>
                <w:sz w:val="18"/>
                <w:szCs w:val="18"/>
              </w:rPr>
              <w:t xml:space="preserve">6.024</w:t>
            </w:r>
          </w:p>
        </w:tc>
        <w:tc>
          <w:tcPr>
            <w:tcW w:type="dxa" w:w="1360"/>
            <w:shd w:fill="f7f8fa" w:color="auto" w:val="clear"/>
            <w:tcMar>
              <w:top w:type="dxa" w:w="60"/>
              <w:left w:type="dxa" w:w="90"/>
              <w:bottom w:type="dxa" w:w="60"/>
              <w:right w:type="dxa" w:w="90"/>
            </w:tcMar>
          </w:tcPr>
          <w:p>
            <w:pPr>
              <w:spacing w:after="0"/>
              <w:jc w:val="right"/>
            </w:pPr>
            <w:r>
              <w:rPr>
                <w:color w:val="1a1a1a"/>
                <w:sz w:val="18"/>
                <w:szCs w:val="18"/>
              </w:rPr>
              <w:t xml:space="preserve">0.46</w:t>
            </w:r>
          </w:p>
        </w:tc>
      </w:tr>
      <w:tr>
        <w:tc>
          <w:tcPr>
            <w:tcW w:type="dxa" w:w="1500"/>
            <w:tcMar>
              <w:top w:type="dxa" w:w="60"/>
              <w:left w:type="dxa" w:w="90"/>
              <w:bottom w:type="dxa" w:w="60"/>
              <w:right w:type="dxa" w:w="90"/>
            </w:tcMar>
          </w:tcPr>
          <w:p>
            <w:pPr>
              <w:spacing w:after="0"/>
              <w:jc w:val="left"/>
            </w:pPr>
            <w:r>
              <w:rPr>
                <w:color w:val="1a1a1a"/>
                <w:sz w:val="18"/>
                <w:szCs w:val="18"/>
              </w:rPr>
              <w:t xml:space="preserve">8.29e15</w:t>
            </w:r>
          </w:p>
        </w:tc>
        <w:tc>
          <w:tcPr>
            <w:tcW w:type="dxa" w:w="1760"/>
            <w:tcMar>
              <w:top w:type="dxa" w:w="60"/>
              <w:left w:type="dxa" w:w="90"/>
              <w:bottom w:type="dxa" w:w="60"/>
              <w:right w:type="dxa" w:w="90"/>
            </w:tcMar>
          </w:tcPr>
          <w:p>
            <w:pPr>
              <w:spacing w:after="0"/>
              <w:jc w:val="right"/>
            </w:pPr>
            <w:r>
              <w:rPr>
                <w:color w:val="1a1a1a"/>
                <w:sz w:val="18"/>
                <w:szCs w:val="18"/>
              </w:rPr>
              <w:t xml:space="preserve">0.97 - 9.82M</w:t>
            </w:r>
          </w:p>
        </w:tc>
        <w:tc>
          <w:tcPr>
            <w:tcW w:type="dxa" w:w="1180"/>
            <w:tcMar>
              <w:top w:type="dxa" w:w="60"/>
              <w:left w:type="dxa" w:w="90"/>
              <w:bottom w:type="dxa" w:w="60"/>
              <w:right w:type="dxa" w:w="90"/>
            </w:tcMar>
          </w:tcPr>
          <w:p>
            <w:pPr>
              <w:spacing w:after="0"/>
              <w:jc w:val="right"/>
            </w:pPr>
            <w:r>
              <w:rPr>
                <w:color w:val="1a1a1a"/>
                <w:sz w:val="18"/>
                <w:szCs w:val="18"/>
              </w:rPr>
              <w:t xml:space="preserve">6.85M</w:t>
            </w:r>
          </w:p>
        </w:tc>
        <w:tc>
          <w:tcPr>
            <w:tcW w:type="dxa" w:w="1100"/>
            <w:tcMar>
              <w:top w:type="dxa" w:w="60"/>
              <w:left w:type="dxa" w:w="90"/>
              <w:bottom w:type="dxa" w:w="60"/>
              <w:right w:type="dxa" w:w="90"/>
            </w:tcMar>
          </w:tcPr>
          <w:p>
            <w:pPr>
              <w:spacing w:after="0"/>
              <w:jc w:val="right"/>
            </w:pPr>
            <w:r>
              <w:rPr>
                <w:color w:val="1a1a1a"/>
                <w:sz w:val="18"/>
                <w:szCs w:val="18"/>
              </w:rPr>
              <w:t xml:space="preserve">5.31</w:t>
            </w:r>
          </w:p>
        </w:tc>
        <w:tc>
          <w:tcPr>
            <w:tcW w:type="dxa" w:w="1300"/>
            <w:tcMar>
              <w:top w:type="dxa" w:w="60"/>
              <w:left w:type="dxa" w:w="90"/>
              <w:bottom w:type="dxa" w:w="60"/>
              <w:right w:type="dxa" w:w="90"/>
            </w:tcMar>
          </w:tcPr>
          <w:p>
            <w:pPr>
              <w:spacing w:after="0"/>
              <w:jc w:val="right"/>
            </w:pPr>
            <w:r>
              <w:rPr>
                <w:color w:val="1a1a1a"/>
                <w:sz w:val="18"/>
                <w:szCs w:val="18"/>
              </w:rPr>
              <w:t xml:space="preserve">10.75</w:t>
            </w:r>
          </w:p>
        </w:tc>
        <w:tc>
          <w:tcPr>
            <w:tcW w:type="dxa" w:w="1160"/>
            <w:tcMar>
              <w:top w:type="dxa" w:w="60"/>
              <w:left w:type="dxa" w:w="90"/>
              <w:bottom w:type="dxa" w:w="60"/>
              <w:right w:type="dxa" w:w="90"/>
            </w:tcMar>
          </w:tcPr>
          <w:p>
            <w:pPr>
              <w:spacing w:after="0"/>
              <w:jc w:val="right"/>
            </w:pPr>
            <w:r>
              <w:rPr>
                <w:color w:val="1a1a1a"/>
                <w:sz w:val="18"/>
                <w:szCs w:val="18"/>
              </w:rPr>
              <w:t xml:space="preserve">6.030</w:t>
            </w:r>
          </w:p>
        </w:tc>
        <w:tc>
          <w:tcPr>
            <w:tcW w:type="dxa" w:w="1360"/>
            <w:tcMar>
              <w:top w:type="dxa" w:w="60"/>
              <w:left w:type="dxa" w:w="90"/>
              <w:bottom w:type="dxa" w:w="60"/>
              <w:right w:type="dxa" w:w="90"/>
            </w:tcMar>
          </w:tcPr>
          <w:p>
            <w:pPr>
              <w:spacing w:after="0"/>
              <w:jc w:val="right"/>
            </w:pPr>
            <w:r>
              <w:rPr>
                <w:color w:val="1a1a1a"/>
                <w:sz w:val="18"/>
                <w:szCs w:val="18"/>
              </w:rPr>
              <w:t xml:space="preserve">0.84</w:t>
            </w:r>
          </w:p>
        </w:tc>
      </w:tr>
      <w:tr>
        <w:tc>
          <w:tcPr>
            <w:tcW w:type="dxa" w:w="1500"/>
            <w:shd w:fill="f7f8fa" w:color="auto" w:val="clear"/>
            <w:tcMar>
              <w:top w:type="dxa" w:w="60"/>
              <w:left w:type="dxa" w:w="90"/>
              <w:bottom w:type="dxa" w:w="60"/>
              <w:right w:type="dxa" w:w="90"/>
            </w:tcMar>
          </w:tcPr>
          <w:p>
            <w:pPr>
              <w:spacing w:after="0"/>
              <w:jc w:val="left"/>
            </w:pPr>
            <w:r>
              <w:rPr>
                <w:color w:val="1a1a1a"/>
                <w:sz w:val="18"/>
                <w:szCs w:val="18"/>
              </w:rPr>
              <w:t xml:space="preserve">2.50e16</w:t>
            </w:r>
          </w:p>
        </w:tc>
        <w:tc>
          <w:tcPr>
            <w:tcW w:type="dxa" w:w="1760"/>
            <w:shd w:fill="f7f8fa" w:color="auto" w:val="clear"/>
            <w:tcMar>
              <w:top w:type="dxa" w:w="60"/>
              <w:left w:type="dxa" w:w="90"/>
              <w:bottom w:type="dxa" w:w="60"/>
              <w:right w:type="dxa" w:w="90"/>
            </w:tcMar>
          </w:tcPr>
          <w:p>
            <w:pPr>
              <w:spacing w:after="0"/>
              <w:jc w:val="right"/>
            </w:pPr>
            <w:r>
              <w:rPr>
                <w:color w:val="1a1a1a"/>
                <w:sz w:val="18"/>
                <w:szCs w:val="18"/>
              </w:rPr>
              <w:t xml:space="preserve">1.78 - 17.84M</w:t>
            </w:r>
          </w:p>
        </w:tc>
        <w:tc>
          <w:tcPr>
            <w:tcW w:type="dxa" w:w="1180"/>
            <w:shd w:fill="f7f8fa" w:color="auto" w:val="clear"/>
            <w:tcMar>
              <w:top w:type="dxa" w:w="60"/>
              <w:left w:type="dxa" w:w="90"/>
              <w:bottom w:type="dxa" w:w="60"/>
              <w:right w:type="dxa" w:w="90"/>
            </w:tcMar>
          </w:tcPr>
          <w:p>
            <w:pPr>
              <w:spacing w:after="0"/>
              <w:jc w:val="right"/>
            </w:pPr>
            <w:r>
              <w:rPr>
                <w:color w:val="1a1a1a"/>
                <w:sz w:val="18"/>
                <w:szCs w:val="18"/>
              </w:rPr>
              <w:t xml:space="preserve">refused</w:t>
            </w:r>
          </w:p>
        </w:tc>
        <w:tc>
          <w:tcPr>
            <w:tcW w:type="dxa" w:w="1100"/>
            <w:shd w:fill="f7f8fa" w:color="auto" w:val="clear"/>
            <w:tcMar>
              <w:top w:type="dxa" w:w="60"/>
              <w:left w:type="dxa" w:w="90"/>
              <w:bottom w:type="dxa" w:w="60"/>
              <w:right w:type="dxa" w:w="90"/>
            </w:tcMar>
          </w:tcPr>
          <w:p>
            <w:pPr>
              <w:spacing w:after="0"/>
              <w:jc w:val="right"/>
            </w:pPr>
            <w:r>
              <w:rPr>
                <w:color w:val="1a1a1a"/>
                <w:sz w:val="18"/>
                <w:szCs w:val="18"/>
              </w:rPr>
              <w:t xml:space="preserve">–</w:t>
            </w:r>
          </w:p>
        </w:tc>
        <w:tc>
          <w:tcPr>
            <w:tcW w:type="dxa" w:w="1300"/>
            <w:shd w:fill="f7f8fa" w:color="auto" w:val="clear"/>
            <w:tcMar>
              <w:top w:type="dxa" w:w="60"/>
              <w:left w:type="dxa" w:w="90"/>
              <w:bottom w:type="dxa" w:w="60"/>
              <w:right w:type="dxa" w:w="90"/>
            </w:tcMar>
          </w:tcPr>
          <w:p>
            <w:pPr>
              <w:spacing w:after="0"/>
              <w:jc w:val="right"/>
            </w:pPr>
            <w:r>
              <w:rPr>
                <w:color w:val="1a1a1a"/>
                <w:sz w:val="18"/>
                <w:szCs w:val="18"/>
              </w:rPr>
              <w:t xml:space="preserve">11.40</w:t>
            </w:r>
          </w:p>
        </w:tc>
        <w:tc>
          <w:tcPr>
            <w:tcW w:type="dxa" w:w="1160"/>
            <w:shd w:fill="f7f8fa" w:color="auto" w:val="clear"/>
            <w:tcMar>
              <w:top w:type="dxa" w:w="60"/>
              <w:left w:type="dxa" w:w="90"/>
              <w:bottom w:type="dxa" w:w="60"/>
              <w:right w:type="dxa" w:w="90"/>
            </w:tcMar>
          </w:tcPr>
          <w:p>
            <w:pPr>
              <w:spacing w:after="0"/>
              <w:jc w:val="right"/>
            </w:pPr>
            <w:r>
              <w:rPr>
                <w:color w:val="1a1a1a"/>
                <w:sz w:val="18"/>
                <w:szCs w:val="18"/>
              </w:rPr>
              <w:t xml:space="preserve">6.035</w:t>
            </w:r>
          </w:p>
        </w:tc>
        <w:tc>
          <w:tcPr>
            <w:tcW w:type="dxa" w:w="1360"/>
            <w:shd w:fill="f7f8fa" w:color="auto" w:val="clear"/>
            <w:tcMar>
              <w:top w:type="dxa" w:w="60"/>
              <w:left w:type="dxa" w:w="90"/>
              <w:bottom w:type="dxa" w:w="60"/>
              <w:right w:type="dxa" w:w="90"/>
            </w:tcMar>
          </w:tcPr>
          <w:p>
            <w:pPr>
              <w:spacing w:after="0"/>
              <w:jc w:val="right"/>
            </w:pPr>
            <w:r>
              <w:rPr>
                <w:color w:val="1a1a1a"/>
                <w:sz w:val="18"/>
                <w:szCs w:val="18"/>
              </w:rPr>
              <w:t xml:space="preserve">1.45</w:t>
            </w:r>
          </w:p>
        </w:tc>
      </w:tr>
    </w:tbl>
    <w:p>
      <w:pPr>
        <w:spacing w:after="220"/>
        <w:jc w:val="center"/>
      </w:pPr>
      <w:r>
        <w:rPr>
          <w:i/>
          <w:iCs/>
          <w:color w:val="5a5a5a"/>
          <w:sz w:val="17"/>
          <w:szCs w:val="17"/>
        </w:rPr>
        <w:t xml:space="preserve">Best values are seed-averaged over repeat seeds, not min-over-runs. Both metrics turn at 2.75e15. D* barely moves while N* moves 26×.</w:t>
      </w:r>
    </w:p>
    <w:p>
      <w:r>
        <w:br w:type="page"/>
      </w:r>
    </w:p>
    <w:p>
      <w:pPr>
        <w:pStyle w:val="Heading1"/>
        <w:spacing w:after="140" w:before="320"/>
      </w:pPr>
      <w:r>
        <w:t xml:space="preserve">4.  Cross-entropy, run through the same machine</w:t>
      </w:r>
    </w:p>
    <w:p>
      <w:pPr>
        <w:spacing w:after="120" w:before="0" w:line="276"/>
      </w:pPr>
      <w:r>
        <w:rPr>
          <w:color w:val="1a1a1a"/>
          <w:sz w:val="21"/>
          <w:szCs w:val="21"/>
        </w:rPr>
        <w:t xml:space="preserve">Until now the sweep only ever fitted ΔE, so "CE behaves normally and ΔE does not" was an assumption we had never measured. Running the identical procedure on val_loss is that test, and it comes back </w:t>
      </w:r>
      <w:r>
        <w:rPr>
          <w:b/>
          <w:bCs/>
          <w:color w:val="1a1a1a"/>
          <w:sz w:val="21"/>
          <w:szCs w:val="21"/>
        </w:rPr>
        <w:t xml:space="preserve">negative</w:t>
      </w:r>
      <w:r>
        <w:rPr>
          <w:color w:val="1a1a1a"/>
          <w:sz w:val="21"/>
          <w:szCs w:val="21"/>
        </w:rPr>
        <w:t xml:space="preserve">.</w:t>
      </w:r>
    </w:p>
    <w:p>
      <w:pPr>
        <w:spacing w:after="60" w:before="100"/>
        <w:jc w:val="center"/>
      </w:pPr>
      <w:r>
        <w:drawing>
          <wp:inline distT="0" distB="0" distL="0" distR="0">
            <wp:extent cx="594360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66900"/>
                    </a:xfrm>
                    <a:prstGeom prst="rect">
                      <a:avLst/>
                    </a:prstGeom>
                  </pic:spPr>
                </pic:pic>
              </a:graphicData>
            </a:graphic>
          </wp:inline>
        </w:drawing>
      </w:r>
    </w:p>
    <w:p>
      <w:pPr>
        <w:spacing w:after="220"/>
        <w:jc w:val="center"/>
      </w:pPr>
      <w:r>
        <w:rPr>
          <w:i/>
          <w:iCs/>
          <w:color w:val="5a5a5a"/>
          <w:sz w:val="17"/>
          <w:szCs w:val="17"/>
        </w:rPr>
        <w:t xml:space="preserve">Figure 2.  Panel A: N*(C) for both metrics with a Chinchilla α = 0.5 slope for reference. Panels B and C: the best value at each budget, seed-averaged. Separate panels, not a dual axis, because the units differ.</w:t>
      </w:r>
    </w:p>
    <w:p>
      <w:pPr>
        <w:pStyle w:val="ListParagraph"/>
        <w:numPr>
          <w:ilvl w:val="0"/>
          <w:numId w:val="3"/>
        </w:numPr>
        <w:spacing w:after="90" w:line="276"/>
      </w:pPr>
      <w:r>
        <w:rPr>
          <w:color w:val="1a1a1a"/>
          <w:sz w:val="21"/>
          <w:szCs w:val="21"/>
        </w:rPr>
        <w:t xml:space="preserve">Both exponents land near 0.9, well above Chinchilla's 0.5. CE is not the sober one.</w:t>
      </w:r>
    </w:p>
    <w:p>
      <w:pPr>
        <w:pStyle w:val="ListParagraph"/>
        <w:numPr>
          <w:ilvl w:val="0"/>
          <w:numId w:val="3"/>
        </w:numPr>
        <w:spacing w:after="90" w:line="276"/>
      </w:pPr>
      <w:r>
        <w:rPr>
          <w:color w:val="1a1a1a"/>
          <w:sz w:val="21"/>
          <w:szCs w:val="21"/>
        </w:rPr>
        <w:t xml:space="preserve">Both metrics bottom at the same budget, 2.75e15, and both get worse beyond it. CE moves very little in absolute terms (6.024 to 6.035), but the direction reverses at exactly the same place.</w:t>
      </w:r>
    </w:p>
    <w:p>
      <w:pPr>
        <w:pStyle w:val="ListParagraph"/>
        <w:numPr>
          <w:ilvl w:val="0"/>
          <w:numId w:val="3"/>
        </w:numPr>
        <w:spacing w:after="90" w:line="276"/>
      </w:pPr>
      <w:r>
        <w:rPr>
          <w:color w:val="1a1a1a"/>
          <w:sz w:val="21"/>
          <w:szCs w:val="21"/>
        </w:rPr>
        <w:t xml:space="preserve">This rules out a large class of explanations: anything that blames the ΔE evaluator, the CIEDE2000 metric, the greedy decode, or the ΔE eval sample size has to also explain why token-level cross-entropy turns in lockstep.</w:t>
      </w:r>
    </w:p>
    <w:p>
      <w:pPr>
        <w:pStyle w:val="Heading1"/>
        <w:spacing w:after="140" w:before="320"/>
      </w:pPr>
      <w:r>
        <w:t xml:space="preserve">5.  The epoch-ceiling theory is refuted</w:t>
      </w:r>
    </w:p>
    <w:p>
      <w:pPr>
        <w:spacing w:after="60" w:before="100"/>
        <w:jc w:val="center"/>
      </w:pPr>
      <w:r>
        <w:drawing>
          <wp:inline distT="0" distB="0" distL="0" distR="0">
            <wp:extent cx="5943600" cy="2457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57450"/>
                    </a:xfrm>
                    <a:prstGeom prst="rect">
                      <a:avLst/>
                    </a:prstGeom>
                  </pic:spPr>
                </pic:pic>
              </a:graphicData>
            </a:graphic>
          </wp:inline>
        </w:drawing>
      </w:r>
    </w:p>
    <w:p>
      <w:pPr>
        <w:spacing w:after="220"/>
        <w:jc w:val="center"/>
      </w:pPr>
      <w:r>
        <w:rPr>
          <w:i/>
          <w:iCs/>
          <w:color w:val="5a5a5a"/>
          <w:sz w:val="17"/>
          <w:szCs w:val="17"/>
        </w:rPr>
        <w:t xml:space="preserve">Figure 3.  Left: epochs over the 40M corpus for all 48 runs. Right: all nine model sizes the sweep trained at two or more budgets, with N held exactly fixed inside each panel so only the amount of unique data changes.</w:t>
      </w:r>
    </w:p>
    <w:p>
      <w:pPr>
        <w:spacing w:after="120" w:before="0" w:line="276"/>
      </w:pPr>
      <w:r>
        <w:rPr>
          <w:b/>
          <w:bCs/>
          <w:color w:val="1a1a1a"/>
          <w:sz w:val="21"/>
          <w:szCs w:val="21"/>
        </w:rPr>
        <w:t xml:space="preserve">Left panel. </w:t>
      </w:r>
      <w:r>
        <w:rPr>
          <w:color w:val="1a1a1a"/>
          <w:sz w:val="21"/>
          <w:szCs w:val="21"/>
        </w:rPr>
        <w:t xml:space="preserve">47 of 48 runs finished under one epoch. The deepest, N = 0.18M at the top budget, reached 1.45. The old EPOCH_CEILING of 1.5 was never binding for anything but that one run. Whatever degrades past 2.75e15 degrades </w:t>
      </w:r>
      <w:r>
        <w:rPr>
          <w:b/>
          <w:bCs/>
          <w:color w:val="1a1a1a"/>
          <w:sz w:val="21"/>
          <w:szCs w:val="21"/>
        </w:rPr>
        <w:t xml:space="preserve">inside the first pass over the data</w:t>
      </w:r>
      <w:r>
        <w:rPr>
          <w:color w:val="1a1a1a"/>
          <w:sz w:val="21"/>
          <w:szCs w:val="21"/>
        </w:rPr>
        <w:t xml:space="preserve">, so it cannot be memorisation from repeats.</w:t>
      </w:r>
    </w:p>
    <w:p>
      <w:pPr>
        <w:spacing w:after="120" w:before="0" w:line="276"/>
      </w:pPr>
      <w:r>
        <w:rPr>
          <w:b/>
          <w:bCs/>
          <w:color w:val="1a1a1a"/>
          <w:sz w:val="21"/>
          <w:szCs w:val="21"/>
        </w:rPr>
        <w:t xml:space="preserve">Right panels. </w:t>
      </w:r>
      <w:r>
        <w:rPr>
          <w:color w:val="1a1a1a"/>
          <w:sz w:val="21"/>
          <w:szCs w:val="21"/>
        </w:rPr>
        <w:t xml:space="preserve">These are the cleanest controlled comparison in the study: N is identical within a panel, so the only thing changing is how much unique data the model sees. In five panels more data helps. In four (N = 0.57M, 0.97M, 1.47M, 2.54M) more unique data makes ΔE </w:t>
      </w:r>
      <w:r>
        <w:rPr>
          <w:b/>
          <w:bCs/>
          <w:color w:val="1a1a1a"/>
          <w:sz w:val="21"/>
          <w:szCs w:val="21"/>
        </w:rPr>
        <w:t xml:space="preserve">worse</w:t>
      </w:r>
      <w:r>
        <w:rPr>
          <w:color w:val="1a1a1a"/>
          <w:sz w:val="21"/>
          <w:szCs w:val="21"/>
        </w:rPr>
        <w:t xml:space="preserve">. More unique data hurting is the opposite of a repetition effect.</w:t>
      </w:r>
    </w:p>
    <w:p>
      <w:r>
        <w:br w:type="page"/>
      </w:r>
    </w:p>
    <w:p>
      <w:pPr>
        <w:pStyle w:val="Heading1"/>
        <w:spacing w:after="140" w:before="320"/>
      </w:pPr>
      <w:r>
        <w:t xml:space="preserve">6.  Why the large runs do not fit</w:t>
      </w:r>
    </w:p>
    <w:p>
      <w:pPr>
        <w:pStyle w:val="Heading2"/>
        <w:spacing w:after="110" w:before="260"/>
      </w:pPr>
      <w:r>
        <w:t xml:space="preserve">6.1  What we have ruled out</w:t>
      </w:r>
    </w:p>
    <w:p>
      <w:pPr>
        <w:pStyle w:val="ListParagraph"/>
        <w:numPr>
          <w:ilvl w:val="0"/>
          <w:numId w:val="3"/>
        </w:numPr>
        <w:spacing w:after="90" w:line="276"/>
      </w:pPr>
      <w:r>
        <w:rPr>
          <w:b/>
          <w:bCs/>
          <w:color w:val="1a1a1a"/>
          <w:sz w:val="21"/>
          <w:szCs w:val="21"/>
        </w:rPr>
        <w:t xml:space="preserve">Data repetition. </w:t>
      </w:r>
      <w:r>
        <w:rPr>
          <w:color w:val="1a1a1a"/>
          <w:sz w:val="21"/>
          <w:szCs w:val="21"/>
        </w:rPr>
        <w:t xml:space="preserve">Figure 3. Dead.</w:t>
      </w:r>
    </w:p>
    <w:p>
      <w:pPr>
        <w:pStyle w:val="ListParagraph"/>
        <w:numPr>
          <w:ilvl w:val="0"/>
          <w:numId w:val="3"/>
        </w:numPr>
        <w:spacing w:after="90" w:line="276"/>
      </w:pPr>
      <w:r>
        <w:rPr>
          <w:b/>
          <w:bCs/>
          <w:color w:val="1a1a1a"/>
          <w:sz w:val="21"/>
          <w:szCs w:val="21"/>
        </w:rPr>
        <w:t xml:space="preserve">Learning rate not being tuned per scale. </w:t>
      </w:r>
      <w:r>
        <w:rPr>
          <w:color w:val="1a1a1a"/>
          <w:sz w:val="21"/>
          <w:szCs w:val="21"/>
        </w:rPr>
        <w:t xml:space="preserve">It is. LR is re-tuned per model size (that is the Porian correction, and we have run several LR-tuning experiments separately). The one genuine gap is that the schedule has </w:t>
      </w:r>
      <w:r>
        <w:rPr>
          <w:b/>
          <w:bCs/>
          <w:color w:val="1a1a1a"/>
          <w:sz w:val="21"/>
          <w:szCs w:val="21"/>
        </w:rPr>
        <w:t xml:space="preserve">no D term</w:t>
      </w:r>
      <w:r>
        <w:rPr>
          <w:color w:val="1a1a1a"/>
          <w:sz w:val="21"/>
          <w:szCs w:val="21"/>
        </w:rPr>
        <w:t xml:space="preserve">: at fixed N, a run given 3× the budget trains 3× longer under a schedule that does not know it. That is worth a single ablation, but it cannot explain a turn shared by both metrics at exactly the same budget.</w:t>
      </w:r>
    </w:p>
    <w:p>
      <w:pPr>
        <w:pStyle w:val="ListParagraph"/>
        <w:numPr>
          <w:ilvl w:val="0"/>
          <w:numId w:val="3"/>
        </w:numPr>
        <w:spacing w:after="90" w:line="276"/>
      </w:pPr>
      <w:r>
        <w:rPr>
          <w:b/>
          <w:bCs/>
          <w:color w:val="1a1a1a"/>
          <w:sz w:val="21"/>
          <w:szCs w:val="21"/>
        </w:rPr>
        <w:t xml:space="preserve">Best-vs-final checkpoint. </w:t>
      </w:r>
      <w:r>
        <w:rPr>
          <w:color w:val="1a1a1a"/>
          <w:sz w:val="21"/>
          <w:szCs w:val="21"/>
        </w:rPr>
        <w:t xml:space="preserve">Final is the methodologically correct choice for an IsoFLOP study. Taking best would flatter the large runs slightly, but it would not move where the turn happens; it would just shallow it.</w:t>
      </w:r>
    </w:p>
    <w:p>
      <w:pPr>
        <w:pStyle w:val="ListParagraph"/>
        <w:numPr>
          <w:ilvl w:val="0"/>
          <w:numId w:val="3"/>
        </w:numPr>
        <w:spacing w:after="90" w:line="276"/>
      </w:pPr>
      <w:r>
        <w:rPr>
          <w:b/>
          <w:bCs/>
          <w:color w:val="1a1a1a"/>
          <w:sz w:val="21"/>
          <w:szCs w:val="21"/>
        </w:rPr>
        <w:t xml:space="preserve">Metric artefact. </w:t>
      </w:r>
      <w:r>
        <w:rPr>
          <w:color w:val="1a1a1a"/>
          <w:sz w:val="21"/>
          <w:szCs w:val="21"/>
        </w:rPr>
        <w:t xml:space="preserve">Section 4. CE does the same thing.</w:t>
      </w:r>
    </w:p>
    <w:p>
      <w:pPr>
        <w:pStyle w:val="Heading2"/>
        <w:spacing w:after="110" w:before="260"/>
      </w:pPr>
      <w:r>
        <w:t xml:space="preserve">6.2  My theory: the M factor</w:t>
      </w:r>
    </w:p>
    <w:p>
      <w:pPr>
        <w:spacing w:after="120" w:before="0" w:line="276"/>
      </w:pPr>
      <w:r>
        <w:rPr>
          <w:color w:val="1a1a1a"/>
          <w:sz w:val="21"/>
          <w:szCs w:val="21"/>
        </w:rPr>
        <w:t xml:space="preserve">INDIGO's setup: each example carries a material pool of </w:t>
      </w:r>
      <w:r>
        <w:rPr>
          <w:b/>
          <w:bCs/>
          <w:color w:val="1a1a1a"/>
          <w:sz w:val="21"/>
          <w:szCs w:val="21"/>
        </w:rPr>
        <w:t xml:space="preserve">pool_size drawn from [4, 32]</w:t>
      </w:r>
      <w:r>
        <w:rPr>
          <w:color w:val="1a1a1a"/>
          <w:sz w:val="21"/>
          <w:szCs w:val="21"/>
        </w:rPr>
        <w:t xml:space="preserve">, a stack of at most 10 layers, and thicknesses on a 2 nm token grid. So for a given example, the set of colours that are physically reachable is </w:t>
      </w:r>
      <w:r>
        <w:rPr>
          <w:b/>
          <w:bCs/>
          <w:color w:val="1a1a1a"/>
          <w:sz w:val="21"/>
          <w:szCs w:val="21"/>
        </w:rPr>
        <w:t xml:space="preserve">finite and fixed by the pool</w:t>
      </w:r>
      <w:r>
        <w:rPr>
          <w:color w:val="1a1a1a"/>
          <w:sz w:val="21"/>
          <w:szCs w:val="21"/>
        </w:rPr>
        <w:t xml:space="preserve">, not by the model. Call the best reachable value ΔE_floor(pool). No model, of any size, can beat it.</w:t>
      </w:r>
    </w:p>
    <w:p>
      <w:pPr>
        <w:spacing w:after="120" w:before="0" w:line="276"/>
      </w:pPr>
      <w:r>
        <w:rPr>
          <w:color w:val="1a1a1a"/>
          <w:sz w:val="21"/>
          <w:szCs w:val="21"/>
        </w:rPr>
        <w:t xml:space="preserve">Three consequences, each of which matches something in the data:</w:t>
      </w:r>
    </w:p>
    <w:p>
      <w:pPr>
        <w:pStyle w:val="ListParagraph"/>
        <w:numPr>
          <w:ilvl w:val="0"/>
          <w:numId w:val="3"/>
        </w:numPr>
        <w:spacing w:after="90" w:line="276"/>
      </w:pPr>
      <w:r>
        <w:rPr>
          <w:b/>
          <w:bCs/>
          <w:color w:val="1a1a1a"/>
          <w:sz w:val="21"/>
          <w:szCs w:val="21"/>
        </w:rPr>
        <w:t xml:space="preserve">(a) A floor flattens the IsoFLOP parabola. </w:t>
      </w:r>
      <w:r>
        <w:rPr>
          <w:color w:val="1a1a1a"/>
          <w:sz w:val="21"/>
          <w:szCs w:val="21"/>
        </w:rPr>
        <w:t xml:space="preserve">Once a model is good enough to find the near-pool-optimal stack, extra parameters buy nothing, curvature in log N goes to zero, and N* stops being identified. That is precisely what Figure 1 shows: the top rung refuses outright and the second-from-top's star sits at the edge of the window.</w:t>
      </w:r>
    </w:p>
    <w:p>
      <w:pPr>
        <w:pStyle w:val="ListParagraph"/>
        <w:numPr>
          <w:ilvl w:val="0"/>
          <w:numId w:val="3"/>
        </w:numPr>
        <w:spacing w:after="90" w:line="276"/>
      </w:pPr>
      <w:r>
        <w:rPr>
          <w:b/>
          <w:bCs/>
          <w:color w:val="1a1a1a"/>
          <w:sz w:val="21"/>
          <w:szCs w:val="21"/>
        </w:rPr>
        <w:t xml:space="preserve">(b) The floor should be chroma-dependent, so low chroma should still scale cleanly. </w:t>
      </w:r>
      <w:r>
        <w:rPr>
          <w:color w:val="1a1a1a"/>
          <w:sz w:val="21"/>
          <w:szCs w:val="21"/>
        </w:rPr>
        <w:t xml:space="preserve">Low-chroma targets sit in the interior of the reachable set; high-chroma targets sit outside it whenever the pool is small. Prediction: the low bucket keeps a clean law. </w:t>
      </w:r>
      <w:r>
        <w:rPr>
          <w:b/>
          <w:bCs/>
          <w:color w:val="1a1a1a"/>
          <w:sz w:val="21"/>
          <w:szCs w:val="21"/>
        </w:rPr>
        <w:t xml:space="preserve">It does, and it is the only one that does</w:t>
      </w:r>
      <w:r>
        <w:rPr>
          <w:color w:val="1a1a1a"/>
          <w:sz w:val="21"/>
          <w:szCs w:val="21"/>
        </w:rPr>
        <w:t xml:space="preserve"> (Table 2).</w:t>
      </w:r>
    </w:p>
    <w:p>
      <w:pPr>
        <w:pStyle w:val="ListParagraph"/>
        <w:numPr>
          <w:ilvl w:val="0"/>
          <w:numId w:val="3"/>
        </w:numPr>
        <w:spacing w:after="90" w:line="276"/>
      </w:pPr>
      <w:r>
        <w:rPr>
          <w:b/>
          <w:bCs/>
          <w:color w:val="1a1a1a"/>
          <w:sz w:val="21"/>
          <w:szCs w:val="21"/>
        </w:rPr>
        <w:t xml:space="preserve">(c) The floor should show up as an absolute plateau at high chroma. </w:t>
      </w:r>
      <w:r>
        <w:rPr>
          <w:color w:val="1a1a1a"/>
          <w:sz w:val="21"/>
          <w:szCs w:val="21"/>
        </w:rPr>
        <w:t xml:space="preserve">High-chroma ΔE across the full 250× span goes 21.5, 18.8, 18.1, 18.8, 20.2, 21.5. Best-to-worst is a factor of 1.19, and the best value, 18 ΔE units, is not a usable design. Low chroma over the same span goes 6.86 down to 5.05.</w:t>
      </w:r>
    </w:p>
    <w:p>
      <w:pPr>
        <w:spacing w:after="160"/>
      </w:pPr>
    </w:p>
    <w:p>
      <w:pPr>
        <w:spacing w:after="60" w:before="0" w:line="276"/>
      </w:pPr>
      <w:r>
        <w:rPr>
          <w:b/>
          <w:bCs/>
          <w:color w:val="1a1a1a"/>
          <w:sz w:val="21"/>
          <w:szCs w:val="21"/>
        </w:rPr>
        <w:t xml:space="preserve">Table 2.  Fitted exponents by chroma bucket.</w:t>
      </w:r>
    </w:p>
    <w:tbl>
      <w:tblPr>
        <w:tblW w:type="dxa" w:w="9360"/>
        <w:tblBorders>
          <w:top w:val="single" w:color="c9c9c9" w:sz="4"/>
          <w:left w:val="none"/>
          <w:bottom w:val="single" w:color="c9c9c9" w:sz="4"/>
          <w:right w:val="none"/>
          <w:insideH w:val="single" w:color="e3e3e3" w:sz="2"/>
          <w:insideV w:val="none"/>
        </w:tblBorders>
      </w:tblPr>
      <w:tblGrid>
        <w:gridCol w:w="1200"/>
        <w:gridCol w:w="1180"/>
        <w:gridCol w:w="1900"/>
        <w:gridCol w:w="1180"/>
        <w:gridCol w:w="1000"/>
        <w:gridCol w:w="1200"/>
        <w:gridCol w:w="1700"/>
      </w:tblGrid>
      <w:tr>
        <w:trPr>
          <w:tblHeader/>
        </w:trPr>
        <w:tc>
          <w:tcPr>
            <w:tcW w:type="dxa" w:w="1200"/>
            <w:shd w:fill="eef2f7" w:color="auto" w:val="clear"/>
            <w:tcMar>
              <w:top w:type="dxa" w:w="60"/>
              <w:left w:type="dxa" w:w="90"/>
              <w:bottom w:type="dxa" w:w="60"/>
              <w:right w:type="dxa" w:w="90"/>
            </w:tcMar>
          </w:tcPr>
          <w:p>
            <w:pPr>
              <w:spacing w:after="0"/>
              <w:jc w:val="left"/>
            </w:pPr>
            <w:r>
              <w:rPr>
                <w:b/>
                <w:bCs/>
                <w:color w:val="1a1a1a"/>
                <w:sz w:val="18"/>
                <w:szCs w:val="18"/>
              </w:rPr>
              <w:t xml:space="preserve">Bucket</w:t>
            </w:r>
          </w:p>
        </w:tc>
        <w:tc>
          <w:tcPr>
            <w:tcW w:type="dxa" w:w="1180"/>
            <w:shd w:fill="eef2f7" w:color="auto" w:val="clear"/>
            <w:tcMar>
              <w:top w:type="dxa" w:w="60"/>
              <w:left w:type="dxa" w:w="90"/>
              <w:bottom w:type="dxa" w:w="60"/>
              <w:right w:type="dxa" w:w="90"/>
            </w:tcMar>
          </w:tcPr>
          <w:p>
            <w:pPr>
              <w:spacing w:after="0"/>
              <w:jc w:val="right"/>
            </w:pPr>
            <w:r>
              <w:rPr>
                <w:b/>
                <w:bCs/>
                <w:color w:val="1a1a1a"/>
                <w:sz w:val="18"/>
                <w:szCs w:val="18"/>
              </w:rPr>
              <w:t xml:space="preserve">α (N*)</w:t>
            </w:r>
          </w:p>
        </w:tc>
        <w:tc>
          <w:tcPr>
            <w:tcW w:type="dxa" w:w="1900"/>
            <w:shd w:fill="eef2f7" w:color="auto" w:val="clear"/>
            <w:tcMar>
              <w:top w:type="dxa" w:w="60"/>
              <w:left w:type="dxa" w:w="90"/>
              <w:bottom w:type="dxa" w:w="60"/>
              <w:right w:type="dxa" w:w="90"/>
            </w:tcMar>
          </w:tcPr>
          <w:p>
            <w:pPr>
              <w:spacing w:after="0"/>
              <w:jc w:val="right"/>
            </w:pPr>
            <w:r>
              <w:rPr>
                <w:b/>
                <w:bCs/>
                <w:color w:val="1a1a1a"/>
                <w:sz w:val="18"/>
                <w:szCs w:val="18"/>
              </w:rPr>
              <w:t xml:space="preserve">95% CI</w:t>
            </w:r>
          </w:p>
        </w:tc>
        <w:tc>
          <w:tcPr>
            <w:tcW w:type="dxa" w:w="1180"/>
            <w:shd w:fill="eef2f7" w:color="auto" w:val="clear"/>
            <w:tcMar>
              <w:top w:type="dxa" w:w="60"/>
              <w:left w:type="dxa" w:w="90"/>
              <w:bottom w:type="dxa" w:w="60"/>
              <w:right w:type="dxa" w:w="90"/>
            </w:tcMar>
          </w:tcPr>
          <w:p>
            <w:pPr>
              <w:spacing w:after="0"/>
              <w:jc w:val="right"/>
            </w:pPr>
            <w:r>
              <w:rPr>
                <w:b/>
                <w:bCs/>
                <w:color w:val="1a1a1a"/>
                <w:sz w:val="18"/>
                <w:szCs w:val="18"/>
              </w:rPr>
              <w:t xml:space="preserve">β (D*)</w:t>
            </w:r>
          </w:p>
        </w:tc>
        <w:tc>
          <w:tcPr>
            <w:tcW w:type="dxa" w:w="1000"/>
            <w:shd w:fill="eef2f7" w:color="auto" w:val="clear"/>
            <w:tcMar>
              <w:top w:type="dxa" w:w="60"/>
              <w:left w:type="dxa" w:w="90"/>
              <w:bottom w:type="dxa" w:w="60"/>
              <w:right w:type="dxa" w:w="90"/>
            </w:tcMar>
          </w:tcPr>
          <w:p>
            <w:pPr>
              <w:spacing w:after="0"/>
              <w:jc w:val="right"/>
            </w:pPr>
            <w:r>
              <w:rPr>
                <w:b/>
                <w:bCs/>
                <w:color w:val="1a1a1a"/>
                <w:sz w:val="18"/>
                <w:szCs w:val="18"/>
              </w:rPr>
              <w:t xml:space="preserve">α + β</w:t>
            </w:r>
          </w:p>
        </w:tc>
        <w:tc>
          <w:tcPr>
            <w:tcW w:type="dxa" w:w="1200"/>
            <w:shd w:fill="eef2f7" w:color="auto" w:val="clear"/>
            <w:tcMar>
              <w:top w:type="dxa" w:w="60"/>
              <w:left w:type="dxa" w:w="90"/>
              <w:bottom w:type="dxa" w:w="60"/>
              <w:right w:type="dxa" w:w="90"/>
            </w:tcMar>
          </w:tcPr>
          <w:p>
            <w:pPr>
              <w:spacing w:after="0"/>
              <w:jc w:val="right"/>
            </w:pPr>
            <w:r>
              <w:rPr>
                <w:b/>
                <w:bCs/>
                <w:color w:val="1a1a1a"/>
                <w:sz w:val="18"/>
                <w:szCs w:val="18"/>
              </w:rPr>
              <w:t xml:space="preserve">rungs fit</w:t>
            </w:r>
          </w:p>
        </w:tc>
        <w:tc>
          <w:tcPr>
            <w:tcW w:type="dxa" w:w="1700"/>
            <w:shd w:fill="eef2f7" w:color="auto" w:val="clear"/>
            <w:tcMar>
              <w:top w:type="dxa" w:w="60"/>
              <w:left w:type="dxa" w:w="90"/>
              <w:bottom w:type="dxa" w:w="60"/>
              <w:right w:type="dxa" w:w="90"/>
            </w:tcMar>
          </w:tcPr>
          <w:p>
            <w:pPr>
              <w:spacing w:after="0"/>
              <w:jc w:val="right"/>
            </w:pPr>
            <w:r>
              <w:rPr>
                <w:b/>
                <w:bCs/>
                <w:color w:val="1a1a1a"/>
                <w:sz w:val="18"/>
                <w:szCs w:val="18"/>
              </w:rPr>
              <w:t xml:space="preserve">survives noise?</w:t>
            </w:r>
          </w:p>
        </w:tc>
      </w:tr>
      <w:tr>
        <w:tc>
          <w:tcPr>
            <w:tcW w:type="dxa" w:w="1200"/>
            <w:tcMar>
              <w:top w:type="dxa" w:w="60"/>
              <w:left w:type="dxa" w:w="90"/>
              <w:bottom w:type="dxa" w:w="60"/>
              <w:right w:type="dxa" w:w="90"/>
            </w:tcMar>
          </w:tcPr>
          <w:p>
            <w:pPr>
              <w:spacing w:after="0"/>
              <w:jc w:val="left"/>
            </w:pPr>
            <w:r>
              <w:rPr>
                <w:color w:val="1a1a1a"/>
                <w:sz w:val="18"/>
                <w:szCs w:val="18"/>
              </w:rPr>
              <w:t xml:space="preserve">low</w:t>
            </w:r>
          </w:p>
        </w:tc>
        <w:tc>
          <w:tcPr>
            <w:tcW w:type="dxa" w:w="1180"/>
            <w:tcMar>
              <w:top w:type="dxa" w:w="60"/>
              <w:left w:type="dxa" w:w="90"/>
              <w:bottom w:type="dxa" w:w="60"/>
              <w:right w:type="dxa" w:w="90"/>
            </w:tcMar>
          </w:tcPr>
          <w:p>
            <w:pPr>
              <w:spacing w:after="0"/>
              <w:jc w:val="right"/>
            </w:pPr>
            <w:r>
              <w:rPr>
                <w:color w:val="1a1a1a"/>
                <w:sz w:val="18"/>
                <w:szCs w:val="18"/>
              </w:rPr>
              <w:t xml:space="preserve">+0.648</w:t>
            </w:r>
          </w:p>
        </w:tc>
        <w:tc>
          <w:tcPr>
            <w:tcW w:type="dxa" w:w="1900"/>
            <w:tcMar>
              <w:top w:type="dxa" w:w="60"/>
              <w:left w:type="dxa" w:w="90"/>
              <w:bottom w:type="dxa" w:w="60"/>
              <w:right w:type="dxa" w:w="90"/>
            </w:tcMar>
          </w:tcPr>
          <w:p>
            <w:pPr>
              <w:spacing w:after="0"/>
              <w:jc w:val="right"/>
            </w:pPr>
            <w:r>
              <w:rPr>
                <w:color w:val="1a1a1a"/>
                <w:sz w:val="18"/>
                <w:szCs w:val="18"/>
              </w:rPr>
              <w:t xml:space="preserve">0.595 to 0.713</w:t>
            </w:r>
          </w:p>
        </w:tc>
        <w:tc>
          <w:tcPr>
            <w:tcW w:type="dxa" w:w="1180"/>
            <w:tcMar>
              <w:top w:type="dxa" w:w="60"/>
              <w:left w:type="dxa" w:w="90"/>
              <w:bottom w:type="dxa" w:w="60"/>
              <w:right w:type="dxa" w:w="90"/>
            </w:tcMar>
          </w:tcPr>
          <w:p>
            <w:pPr>
              <w:spacing w:after="0"/>
              <w:jc w:val="right"/>
            </w:pPr>
            <w:r>
              <w:rPr>
                <w:color w:val="1a1a1a"/>
                <w:sz w:val="18"/>
                <w:szCs w:val="18"/>
              </w:rPr>
              <w:t xml:space="preserve">+0.403</w:t>
            </w:r>
          </w:p>
        </w:tc>
        <w:tc>
          <w:tcPr>
            <w:tcW w:type="dxa" w:w="1000"/>
            <w:tcMar>
              <w:top w:type="dxa" w:w="60"/>
              <w:left w:type="dxa" w:w="90"/>
              <w:bottom w:type="dxa" w:w="60"/>
              <w:right w:type="dxa" w:w="90"/>
            </w:tcMar>
          </w:tcPr>
          <w:p>
            <w:pPr>
              <w:spacing w:after="0"/>
              <w:jc w:val="right"/>
            </w:pPr>
            <w:r>
              <w:rPr>
                <w:color w:val="1a1a1a"/>
                <w:sz w:val="18"/>
                <w:szCs w:val="18"/>
              </w:rPr>
              <w:t xml:space="preserve">1.05</w:t>
            </w:r>
          </w:p>
        </w:tc>
        <w:tc>
          <w:tcPr>
            <w:tcW w:type="dxa" w:w="1200"/>
            <w:tcMar>
              <w:top w:type="dxa" w:w="60"/>
              <w:left w:type="dxa" w:w="90"/>
              <w:bottom w:type="dxa" w:w="60"/>
              <w:right w:type="dxa" w:w="90"/>
            </w:tcMar>
          </w:tcPr>
          <w:p>
            <w:pPr>
              <w:spacing w:after="0"/>
              <w:jc w:val="right"/>
            </w:pPr>
            <w:r>
              <w:rPr>
                <w:color w:val="1a1a1a"/>
                <w:sz w:val="18"/>
                <w:szCs w:val="18"/>
              </w:rPr>
              <w:t xml:space="preserve">6 of 6</w:t>
            </w:r>
          </w:p>
        </w:tc>
        <w:tc>
          <w:tcPr>
            <w:tcW w:type="dxa" w:w="1700"/>
            <w:tcMar>
              <w:top w:type="dxa" w:w="60"/>
              <w:left w:type="dxa" w:w="90"/>
              <w:bottom w:type="dxa" w:w="60"/>
              <w:right w:type="dxa" w:w="90"/>
            </w:tcMar>
          </w:tcPr>
          <w:p>
            <w:pPr>
              <w:spacing w:after="0"/>
              <w:jc w:val="right"/>
            </w:pPr>
            <w:r>
              <w:rPr>
                <w:color w:val="1a1a1a"/>
                <w:sz w:val="18"/>
                <w:szCs w:val="18"/>
              </w:rPr>
              <w:t xml:space="preserve">yes (0.652)</w:t>
            </w:r>
          </w:p>
        </w:tc>
      </w:tr>
      <w:tr>
        <w:tc>
          <w:tcPr>
            <w:tcW w:type="dxa" w:w="1200"/>
            <w:shd w:fill="f7f8fa" w:color="auto" w:val="clear"/>
            <w:tcMar>
              <w:top w:type="dxa" w:w="60"/>
              <w:left w:type="dxa" w:w="90"/>
              <w:bottom w:type="dxa" w:w="60"/>
              <w:right w:type="dxa" w:w="90"/>
            </w:tcMar>
          </w:tcPr>
          <w:p>
            <w:pPr>
              <w:spacing w:after="0"/>
              <w:jc w:val="left"/>
            </w:pPr>
            <w:r>
              <w:rPr>
                <w:color w:val="1a1a1a"/>
                <w:sz w:val="18"/>
                <w:szCs w:val="18"/>
              </w:rPr>
              <w:t xml:space="preserve">mid</w:t>
            </w:r>
          </w:p>
        </w:tc>
        <w:tc>
          <w:tcPr>
            <w:tcW w:type="dxa" w:w="1180"/>
            <w:shd w:fill="f7f8fa" w:color="auto" w:val="clear"/>
            <w:tcMar>
              <w:top w:type="dxa" w:w="60"/>
              <w:left w:type="dxa" w:w="90"/>
              <w:bottom w:type="dxa" w:w="60"/>
              <w:right w:type="dxa" w:w="90"/>
            </w:tcMar>
          </w:tcPr>
          <w:p>
            <w:pPr>
              <w:spacing w:after="0"/>
              <w:jc w:val="right"/>
            </w:pPr>
            <w:r>
              <w:rPr>
                <w:color w:val="1a1a1a"/>
                <w:sz w:val="18"/>
                <w:szCs w:val="18"/>
              </w:rPr>
              <w:t xml:space="preserve">+0.850</w:t>
            </w:r>
          </w:p>
        </w:tc>
        <w:tc>
          <w:tcPr>
            <w:tcW w:type="dxa" w:w="1900"/>
            <w:shd w:fill="f7f8fa" w:color="auto" w:val="clear"/>
            <w:tcMar>
              <w:top w:type="dxa" w:w="60"/>
              <w:left w:type="dxa" w:w="90"/>
              <w:bottom w:type="dxa" w:w="60"/>
              <w:right w:type="dxa" w:w="90"/>
            </w:tcMar>
          </w:tcPr>
          <w:p>
            <w:pPr>
              <w:spacing w:after="0"/>
              <w:jc w:val="right"/>
            </w:pPr>
            <w:r>
              <w:rPr>
                <w:color w:val="1a1a1a"/>
                <w:sz w:val="18"/>
                <w:szCs w:val="18"/>
              </w:rPr>
              <w:t xml:space="preserve">0.595 to 1.105</w:t>
            </w:r>
          </w:p>
        </w:tc>
        <w:tc>
          <w:tcPr>
            <w:tcW w:type="dxa" w:w="1180"/>
            <w:shd w:fill="f7f8fa" w:color="auto" w:val="clear"/>
            <w:tcMar>
              <w:top w:type="dxa" w:w="60"/>
              <w:left w:type="dxa" w:w="90"/>
              <w:bottom w:type="dxa" w:w="60"/>
              <w:right w:type="dxa" w:w="90"/>
            </w:tcMar>
          </w:tcPr>
          <w:p>
            <w:pPr>
              <w:spacing w:after="0"/>
              <w:jc w:val="right"/>
            </w:pPr>
            <w:r>
              <w:rPr>
                <w:color w:val="1a1a1a"/>
                <w:sz w:val="18"/>
                <w:szCs w:val="18"/>
              </w:rPr>
              <w:t xml:space="preserve">+0.206</w:t>
            </w:r>
          </w:p>
        </w:tc>
        <w:tc>
          <w:tcPr>
            <w:tcW w:type="dxa" w:w="1000"/>
            <w:shd w:fill="f7f8fa" w:color="auto" w:val="clear"/>
            <w:tcMar>
              <w:top w:type="dxa" w:w="60"/>
              <w:left w:type="dxa" w:w="90"/>
              <w:bottom w:type="dxa" w:w="60"/>
              <w:right w:type="dxa" w:w="90"/>
            </w:tcMar>
          </w:tcPr>
          <w:p>
            <w:pPr>
              <w:spacing w:after="0"/>
              <w:jc w:val="right"/>
            </w:pPr>
            <w:r>
              <w:rPr>
                <w:color w:val="1a1a1a"/>
                <w:sz w:val="18"/>
                <w:szCs w:val="18"/>
              </w:rPr>
              <w:t xml:space="preserve">1.06</w:t>
            </w:r>
          </w:p>
        </w:tc>
        <w:tc>
          <w:tcPr>
            <w:tcW w:type="dxa" w:w="1200"/>
            <w:shd w:fill="f7f8fa" w:color="auto" w:val="clear"/>
            <w:tcMar>
              <w:top w:type="dxa" w:w="60"/>
              <w:left w:type="dxa" w:w="90"/>
              <w:bottom w:type="dxa" w:w="60"/>
              <w:right w:type="dxa" w:w="90"/>
            </w:tcMar>
          </w:tcPr>
          <w:p>
            <w:pPr>
              <w:spacing w:after="0"/>
              <w:jc w:val="right"/>
            </w:pPr>
            <w:r>
              <w:rPr>
                <w:color w:val="1a1a1a"/>
                <w:sz w:val="18"/>
                <w:szCs w:val="18"/>
              </w:rPr>
              <w:t xml:space="preserve">3 of 6</w:t>
            </w:r>
          </w:p>
        </w:tc>
        <w:tc>
          <w:tcPr>
            <w:tcW w:type="dxa" w:w="1700"/>
            <w:shd w:fill="f7f8fa" w:color="auto" w:val="clear"/>
            <w:tcMar>
              <w:top w:type="dxa" w:w="60"/>
              <w:left w:type="dxa" w:w="90"/>
              <w:bottom w:type="dxa" w:w="60"/>
              <w:right w:type="dxa" w:w="90"/>
            </w:tcMar>
          </w:tcPr>
          <w:p>
            <w:pPr>
              <w:spacing w:after="0"/>
              <w:jc w:val="right"/>
            </w:pPr>
            <w:r>
              <w:rPr>
                <w:color w:val="1a1a1a"/>
                <w:sz w:val="18"/>
                <w:szCs w:val="18"/>
              </w:rPr>
              <w:t xml:space="preserve">no</w:t>
            </w:r>
          </w:p>
        </w:tc>
      </w:tr>
      <w:tr>
        <w:tc>
          <w:tcPr>
            <w:tcW w:type="dxa" w:w="1200"/>
            <w:tcMar>
              <w:top w:type="dxa" w:w="60"/>
              <w:left w:type="dxa" w:w="90"/>
              <w:bottom w:type="dxa" w:w="60"/>
              <w:right w:type="dxa" w:w="90"/>
            </w:tcMar>
          </w:tcPr>
          <w:p>
            <w:pPr>
              <w:spacing w:after="0"/>
              <w:jc w:val="left"/>
            </w:pPr>
            <w:r>
              <w:rPr>
                <w:color w:val="1a1a1a"/>
                <w:sz w:val="18"/>
                <w:szCs w:val="18"/>
              </w:rPr>
              <w:t xml:space="preserve">high</w:t>
            </w:r>
          </w:p>
        </w:tc>
        <w:tc>
          <w:tcPr>
            <w:tcW w:type="dxa" w:w="1180"/>
            <w:tcMar>
              <w:top w:type="dxa" w:w="60"/>
              <w:left w:type="dxa" w:w="90"/>
              <w:bottom w:type="dxa" w:w="60"/>
              <w:right w:type="dxa" w:w="90"/>
            </w:tcMar>
          </w:tcPr>
          <w:p>
            <w:pPr>
              <w:spacing w:after="0"/>
              <w:jc w:val="right"/>
            </w:pPr>
            <w:r>
              <w:rPr>
                <w:color w:val="1a1a1a"/>
                <w:sz w:val="18"/>
                <w:szCs w:val="18"/>
              </w:rPr>
              <w:t xml:space="preserve">+0.652</w:t>
            </w:r>
          </w:p>
        </w:tc>
        <w:tc>
          <w:tcPr>
            <w:tcW w:type="dxa" w:w="1900"/>
            <w:tcMar>
              <w:top w:type="dxa" w:w="60"/>
              <w:left w:type="dxa" w:w="90"/>
              <w:bottom w:type="dxa" w:w="60"/>
              <w:right w:type="dxa" w:w="90"/>
            </w:tcMar>
          </w:tcPr>
          <w:p>
            <w:pPr>
              <w:spacing w:after="0"/>
              <w:jc w:val="right"/>
            </w:pPr>
            <w:r>
              <w:rPr>
                <w:color w:val="1a1a1a"/>
                <w:sz w:val="18"/>
                <w:szCs w:val="18"/>
              </w:rPr>
              <w:t xml:space="preserve">0.570 to 0.735</w:t>
            </w:r>
          </w:p>
        </w:tc>
        <w:tc>
          <w:tcPr>
            <w:tcW w:type="dxa" w:w="1180"/>
            <w:tcMar>
              <w:top w:type="dxa" w:w="60"/>
              <w:left w:type="dxa" w:w="90"/>
              <w:bottom w:type="dxa" w:w="60"/>
              <w:right w:type="dxa" w:w="90"/>
            </w:tcMar>
          </w:tcPr>
          <w:p>
            <w:pPr>
              <w:spacing w:after="0"/>
              <w:jc w:val="right"/>
            </w:pPr>
            <w:r>
              <w:rPr>
                <w:color w:val="1a1a1a"/>
                <w:sz w:val="18"/>
                <w:szCs w:val="18"/>
              </w:rPr>
              <w:t xml:space="preserve">+0.403</w:t>
            </w:r>
          </w:p>
        </w:tc>
        <w:tc>
          <w:tcPr>
            <w:tcW w:type="dxa" w:w="1000"/>
            <w:tcMar>
              <w:top w:type="dxa" w:w="60"/>
              <w:left w:type="dxa" w:w="90"/>
              <w:bottom w:type="dxa" w:w="60"/>
              <w:right w:type="dxa" w:w="90"/>
            </w:tcMar>
          </w:tcPr>
          <w:p>
            <w:pPr>
              <w:spacing w:after="0"/>
              <w:jc w:val="right"/>
            </w:pPr>
            <w:r>
              <w:rPr>
                <w:color w:val="1a1a1a"/>
                <w:sz w:val="18"/>
                <w:szCs w:val="18"/>
              </w:rPr>
              <w:t xml:space="preserve">1.06</w:t>
            </w:r>
          </w:p>
        </w:tc>
        <w:tc>
          <w:tcPr>
            <w:tcW w:type="dxa" w:w="1200"/>
            <w:tcMar>
              <w:top w:type="dxa" w:w="60"/>
              <w:left w:type="dxa" w:w="90"/>
              <w:bottom w:type="dxa" w:w="60"/>
              <w:right w:type="dxa" w:w="90"/>
            </w:tcMar>
          </w:tcPr>
          <w:p>
            <w:pPr>
              <w:spacing w:after="0"/>
              <w:jc w:val="right"/>
            </w:pPr>
            <w:r>
              <w:rPr>
                <w:color w:val="1a1a1a"/>
                <w:sz w:val="18"/>
                <w:szCs w:val="18"/>
              </w:rPr>
              <w:t xml:space="preserve">3 of 6</w:t>
            </w:r>
          </w:p>
        </w:tc>
        <w:tc>
          <w:tcPr>
            <w:tcW w:type="dxa" w:w="1700"/>
            <w:tcMar>
              <w:top w:type="dxa" w:w="60"/>
              <w:left w:type="dxa" w:w="90"/>
              <w:bottom w:type="dxa" w:w="60"/>
              <w:right w:type="dxa" w:w="90"/>
            </w:tcMar>
          </w:tcPr>
          <w:p>
            <w:pPr>
              <w:spacing w:after="0"/>
              <w:jc w:val="right"/>
            </w:pPr>
            <w:r>
              <w:rPr>
                <w:color w:val="1a1a1a"/>
                <w:sz w:val="18"/>
                <w:szCs w:val="18"/>
              </w:rPr>
              <w:t xml:space="preserve">no</w:t>
            </w:r>
          </w:p>
        </w:tc>
      </w:tr>
      <w:tr>
        <w:tc>
          <w:tcPr>
            <w:tcW w:type="dxa" w:w="1200"/>
            <w:shd w:fill="f7f8fa" w:color="auto" w:val="clear"/>
            <w:tcMar>
              <w:top w:type="dxa" w:w="60"/>
              <w:left w:type="dxa" w:w="90"/>
              <w:bottom w:type="dxa" w:w="60"/>
              <w:right w:type="dxa" w:w="90"/>
            </w:tcMar>
          </w:tcPr>
          <w:p>
            <w:pPr>
              <w:spacing w:after="0"/>
              <w:jc w:val="left"/>
            </w:pPr>
            <w:r>
              <w:rPr>
                <w:color w:val="1a1a1a"/>
                <w:sz w:val="18"/>
                <w:szCs w:val="18"/>
              </w:rPr>
              <w:t xml:space="preserve">pooled</w:t>
            </w:r>
          </w:p>
        </w:tc>
        <w:tc>
          <w:tcPr>
            <w:tcW w:type="dxa" w:w="1180"/>
            <w:shd w:fill="f7f8fa" w:color="auto" w:val="clear"/>
            <w:tcMar>
              <w:top w:type="dxa" w:w="60"/>
              <w:left w:type="dxa" w:w="90"/>
              <w:bottom w:type="dxa" w:w="60"/>
              <w:right w:type="dxa" w:w="90"/>
            </w:tcMar>
          </w:tcPr>
          <w:p>
            <w:pPr>
              <w:spacing w:after="0"/>
              <w:jc w:val="right"/>
            </w:pPr>
            <w:r>
              <w:rPr>
                <w:color w:val="1a1a1a"/>
                <w:sz w:val="18"/>
                <w:szCs w:val="18"/>
              </w:rPr>
              <w:t xml:space="preserve">+0.937</w:t>
            </w:r>
          </w:p>
        </w:tc>
        <w:tc>
          <w:tcPr>
            <w:tcW w:type="dxa" w:w="1900"/>
            <w:shd w:fill="f7f8fa" w:color="auto" w:val="clear"/>
            <w:tcMar>
              <w:top w:type="dxa" w:w="60"/>
              <w:left w:type="dxa" w:w="90"/>
              <w:bottom w:type="dxa" w:w="60"/>
              <w:right w:type="dxa" w:w="90"/>
            </w:tcMar>
          </w:tcPr>
          <w:p>
            <w:pPr>
              <w:spacing w:after="0"/>
              <w:jc w:val="right"/>
            </w:pPr>
            <w:r>
              <w:rPr>
                <w:color w:val="1a1a1a"/>
                <w:sz w:val="18"/>
                <w:szCs w:val="18"/>
              </w:rPr>
              <w:t xml:space="preserve">0.529 to 1.420</w:t>
            </w:r>
          </w:p>
        </w:tc>
        <w:tc>
          <w:tcPr>
            <w:tcW w:type="dxa" w:w="1180"/>
            <w:shd w:fill="f7f8fa" w:color="auto" w:val="clear"/>
            <w:tcMar>
              <w:top w:type="dxa" w:w="60"/>
              <w:left w:type="dxa" w:w="90"/>
              <w:bottom w:type="dxa" w:w="60"/>
              <w:right w:type="dxa" w:w="90"/>
            </w:tcMar>
          </w:tcPr>
          <w:p>
            <w:pPr>
              <w:spacing w:after="0"/>
              <w:jc w:val="right"/>
            </w:pPr>
            <w:r>
              <w:rPr>
                <w:color w:val="1a1a1a"/>
                <w:sz w:val="18"/>
                <w:szCs w:val="18"/>
              </w:rPr>
              <w:t xml:space="preserve">+0.129</w:t>
            </w:r>
          </w:p>
        </w:tc>
        <w:tc>
          <w:tcPr>
            <w:tcW w:type="dxa" w:w="1000"/>
            <w:shd w:fill="f7f8fa" w:color="auto" w:val="clear"/>
            <w:tcMar>
              <w:top w:type="dxa" w:w="60"/>
              <w:left w:type="dxa" w:w="90"/>
              <w:bottom w:type="dxa" w:w="60"/>
              <w:right w:type="dxa" w:w="90"/>
            </w:tcMar>
          </w:tcPr>
          <w:p>
            <w:pPr>
              <w:spacing w:after="0"/>
              <w:jc w:val="right"/>
            </w:pPr>
            <w:r>
              <w:rPr>
                <w:color w:val="1a1a1a"/>
                <w:sz w:val="18"/>
                <w:szCs w:val="18"/>
              </w:rPr>
              <w:t xml:space="preserve">1.07</w:t>
            </w:r>
          </w:p>
        </w:tc>
        <w:tc>
          <w:tcPr>
            <w:tcW w:type="dxa" w:w="1200"/>
            <w:shd w:fill="f7f8fa" w:color="auto" w:val="clear"/>
            <w:tcMar>
              <w:top w:type="dxa" w:w="60"/>
              <w:left w:type="dxa" w:w="90"/>
              <w:bottom w:type="dxa" w:w="60"/>
              <w:right w:type="dxa" w:w="90"/>
            </w:tcMar>
          </w:tcPr>
          <w:p>
            <w:pPr>
              <w:spacing w:after="0"/>
              <w:jc w:val="right"/>
            </w:pPr>
            <w:r>
              <w:rPr>
                <w:color w:val="1a1a1a"/>
                <w:sz w:val="18"/>
                <w:szCs w:val="18"/>
              </w:rPr>
              <w:t xml:space="preserve">4 of 6</w:t>
            </w:r>
          </w:p>
        </w:tc>
        <w:tc>
          <w:tcPr>
            <w:tcW w:type="dxa" w:w="1700"/>
            <w:shd w:fill="f7f8fa" w:color="auto" w:val="clear"/>
            <w:tcMar>
              <w:top w:type="dxa" w:w="60"/>
              <w:left w:type="dxa" w:w="90"/>
              <w:bottom w:type="dxa" w:w="60"/>
              <w:right w:type="dxa" w:w="90"/>
            </w:tcMar>
          </w:tcPr>
          <w:p>
            <w:pPr>
              <w:spacing w:after="0"/>
              <w:jc w:val="right"/>
            </w:pPr>
            <w:r>
              <w:rPr>
                <w:color w:val="1a1a1a"/>
                <w:sz w:val="18"/>
                <w:szCs w:val="18"/>
              </w:rPr>
              <w:t xml:space="preserve">no</w:t>
            </w:r>
          </w:p>
        </w:tc>
      </w:tr>
    </w:tbl>
    <w:p>
      <w:pPr>
        <w:spacing w:after="220"/>
        <w:jc w:val="center"/>
      </w:pPr>
      <w:r>
        <w:rPr>
          <w:i/>
          <w:iCs/>
          <w:color w:val="5a5a5a"/>
          <w:sz w:val="17"/>
          <w:szCs w:val="17"/>
        </w:rPr>
        <w:t xml:space="preserve">"Survives noise" is the Monte-Carlo re-fit that propagates measured seed-to-seed noise into the parabola fits. Low: 4000 draws, 43% refused, median α = 0.652, CI 0.53 to 0.76. Mid and pooled: 4000/4000 draws refused. High: 3998/4000 refused.</w:t>
      </w:r>
    </w:p>
    <w:p>
      <w:pPr>
        <w:spacing w:after="160"/>
      </w:pPr>
    </w:p>
    <w:p>
      <w:pPr>
        <w:spacing w:after="120" w:before="0" w:line="276"/>
      </w:pPr>
      <w:r>
        <w:rPr>
          <w:b/>
          <w:bCs/>
          <w:color w:val="1a1a1a"/>
          <w:sz w:val="21"/>
          <w:szCs w:val="21"/>
        </w:rPr>
        <w:t xml:space="preserve">This is the load-bearing row. </w:t>
      </w:r>
      <w:r>
        <w:rPr>
          <w:color w:val="1a1a1a"/>
          <w:sz w:val="21"/>
          <w:szCs w:val="21"/>
        </w:rPr>
        <w:t xml:space="preserve">Low chroma is the only bucket that fits every budget, has a tight interval, and holds up once seed noise is propagated. And α + β = 1.05, which is what a well-posed compute-optimal law is supposed to give. So the machinery works. It works exactly where the problem is solvable, and falls apart where it is not.</w:t>
      </w:r>
    </w:p>
    <w:p>
      <w:pPr>
        <w:spacing w:after="120" w:before="0" w:line="276"/>
      </w:pPr>
      <w:r>
        <w:rPr>
          <w:b/>
          <w:bCs/>
          <w:color w:val="1a1a1a"/>
          <w:sz w:val="21"/>
          <w:szCs w:val="21"/>
        </w:rPr>
        <w:t xml:space="preserve">Read that way, the pooled curve is a mixture: </w:t>
      </w:r>
      <w:r>
        <w:rPr>
          <w:color w:val="1a1a1a"/>
          <w:sz w:val="21"/>
          <w:szCs w:val="21"/>
        </w:rPr>
        <w:t xml:space="preserve">a scaling-limited component (low chroma, still improving) plus a floor-limited component (high chroma, pinned at 18 to 21). A mixture of a falling curve and a flat one does not have a clean power law, and the mixture weight shifts as the model gets better at the easy part. That is my answer to "why don't the large runs fit nicely".</w:t>
      </w:r>
    </w:p>
    <w:p>
      <w:pPr>
        <w:pStyle w:val="Heading2"/>
        <w:spacing w:after="110" w:before="260"/>
      </w:pPr>
      <w:r>
        <w:t xml:space="preserve">6.3  The alternative: an inherent problem limitation</w:t>
      </w:r>
    </w:p>
    <w:p>
      <w:pPr>
        <w:spacing w:after="120" w:before="0" w:line="276"/>
      </w:pPr>
      <w:r>
        <w:rPr>
          <w:color w:val="1a1a1a"/>
          <w:sz w:val="21"/>
          <w:szCs w:val="21"/>
        </w:rPr>
        <w:t xml:space="preserve">Same observable, different cause. It is not that the pool is small; it is that the map from (target Lab, pool) to stack is </w:t>
      </w:r>
      <w:r>
        <w:rPr>
          <w:b/>
          <w:bCs/>
          <w:color w:val="1a1a1a"/>
          <w:sz w:val="21"/>
          <w:szCs w:val="21"/>
        </w:rPr>
        <w:t xml:space="preserve">massively one-to-many</w:t>
      </w:r>
      <w:r>
        <w:rPr>
          <w:color w:val="1a1a1a"/>
          <w:sz w:val="21"/>
          <w:szCs w:val="21"/>
        </w:rPr>
        <w:t xml:space="preserve">, and a point-estimate autoregressive decoder trained on a token-level objective cannot represent a distribution over an exponentially large degenerate set well enough for its argmax to be good. More capacity and longer training let the model commit harder to a mode that is right in CE terms but is not the ΔE-optimal member of the degenerate set.</w:t>
      </w:r>
    </w:p>
    <w:p>
      <w:pPr>
        <w:spacing w:after="120" w:before="0" w:line="276"/>
      </w:pPr>
      <w:r>
        <w:rPr>
          <w:color w:val="1a1a1a"/>
          <w:sz w:val="21"/>
          <w:szCs w:val="21"/>
        </w:rPr>
        <w:t xml:space="preserve">We already have circumstantial evidence for this. </w:t>
      </w:r>
      <w:r>
        <w:rPr>
          <w:rFonts w:ascii="Consolas" w:cs="Consolas" w:eastAsia="Consolas" w:hAnsi="Consolas"/>
          <w:color w:val="1a1a1a"/>
          <w:sz w:val="19"/>
          <w:szCs w:val="19"/>
        </w:rPr>
        <w:t xml:space="preserve">scripts/k_nearest_structures.py</w:t>
      </w:r>
      <w:r>
        <w:rPr>
          <w:color w:val="1a1a1a"/>
          <w:sz w:val="21"/>
          <w:szCs w:val="21"/>
        </w:rPr>
        <w:t xml:space="preserve"> exists specifically to show that many physically different stacks produce nearly the same perceived colour. And it is why ensemble sampling plus real-sim reranking bought so much at inference: the ranking, not the model, was doing the work.</w:t>
      </w:r>
    </w:p>
    <w:p>
      <w:pPr>
        <w:spacing w:after="120" w:before="0" w:line="276"/>
      </w:pPr>
      <w:r>
        <w:rPr>
          <w:b/>
          <w:bCs/>
          <w:color w:val="1a1a1a"/>
          <w:sz w:val="21"/>
          <w:szCs w:val="21"/>
        </w:rPr>
        <w:t xml:space="preserve">The two theories make opposite predictions about one thing: </w:t>
      </w:r>
      <w:r>
        <w:rPr>
          <w:color w:val="1a1a1a"/>
          <w:sz w:val="21"/>
          <w:szCs w:val="21"/>
        </w:rPr>
        <w:t xml:space="preserve">whether enlarging the pool moves the floor. The M factor says yes. The inherent-limitation story says no.</w:t>
      </w:r>
    </w:p>
    <w:p>
      <w:pPr>
        <w:pStyle w:val="Heading1"/>
        <w:spacing w:after="140" w:before="320"/>
      </w:pPr>
      <w:r>
        <w:t xml:space="preserve">7.  The experiment that separates them</w:t>
      </w:r>
    </w:p>
    <w:p>
      <w:pPr>
        <w:spacing w:after="120" w:before="0" w:line="276"/>
      </w:pPr>
      <w:r>
        <w:rPr>
          <w:b/>
          <w:bCs/>
          <w:color w:val="1a1a1a"/>
          <w:sz w:val="21"/>
          <w:szCs w:val="21"/>
        </w:rPr>
        <w:t xml:space="preserve">Oracle-floor eval (primary). </w:t>
      </w:r>
      <w:r>
        <w:rPr>
          <w:color w:val="1a1a1a"/>
          <w:sz w:val="21"/>
          <w:szCs w:val="21"/>
        </w:rPr>
        <w:t xml:space="preserve">For a sample of roughly 2000 validation examples, compute the best ΔE achievable </w:t>
      </w:r>
      <w:r>
        <w:rPr>
          <w:b/>
          <w:bCs/>
          <w:color w:val="1a1a1a"/>
          <w:sz w:val="21"/>
          <w:szCs w:val="21"/>
        </w:rPr>
        <w:t xml:space="preserve">given that example's own pool</w:t>
      </w:r>
      <w:r>
        <w:rPr>
          <w:color w:val="1a1a1a"/>
          <w:sz w:val="21"/>
          <w:szCs w:val="21"/>
        </w:rPr>
        <w:t xml:space="preserve">: optimise thickness over candidate material assignments using the existing </w:t>
      </w:r>
      <w:r>
        <w:rPr>
          <w:rFonts w:ascii="Consolas" w:cs="Consolas" w:eastAsia="Consolas" w:hAnsi="Consolas"/>
          <w:color w:val="1a1a1a"/>
          <w:sz w:val="19"/>
          <w:szCs w:val="19"/>
        </w:rPr>
        <w:t xml:space="preserve">src/optical_sim.py</w:t>
      </w:r>
      <w:r>
        <w:rPr>
          <w:color w:val="1a1a1a"/>
          <w:sz w:val="21"/>
          <w:szCs w:val="21"/>
        </w:rPr>
        <w:t xml:space="preserve"> and </w:t>
      </w:r>
      <w:r>
        <w:rPr>
          <w:rFonts w:ascii="Consolas" w:cs="Consolas" w:eastAsia="Consolas" w:hAnsi="Consolas"/>
          <w:color w:val="1a1a1a"/>
          <w:sz w:val="19"/>
          <w:szCs w:val="19"/>
        </w:rPr>
        <w:t xml:space="preserve">src/thickness_optimizer.py</w:t>
      </w:r>
      <w:r>
        <w:rPr>
          <w:color w:val="1a1a1a"/>
          <w:sz w:val="21"/>
          <w:szCs w:val="21"/>
        </w:rPr>
        <w:t xml:space="preserve">. Then plot model ΔE against oracle ΔE, stratified by pool_size and chroma bucket.</w:t>
      </w:r>
    </w:p>
    <w:p>
      <w:pPr>
        <w:pStyle w:val="ListParagraph"/>
        <w:numPr>
          <w:ilvl w:val="0"/>
          <w:numId w:val="3"/>
        </w:numPr>
        <w:spacing w:after="90" w:line="276"/>
      </w:pPr>
      <w:r>
        <w:rPr>
          <w:b/>
          <w:bCs/>
          <w:color w:val="1a1a1a"/>
          <w:sz w:val="21"/>
          <w:szCs w:val="21"/>
        </w:rPr>
        <w:t xml:space="preserve">M factor predicts: </w:t>
      </w:r>
      <w:r>
        <w:rPr>
          <w:color w:val="1a1a1a"/>
          <w:sz w:val="21"/>
          <w:szCs w:val="21"/>
        </w:rPr>
        <w:t xml:space="preserve">the oracle floor rises steeply as pool_size falls and as chroma rises, and at the large-C runs the model has essentially closed the gap to it.</w:t>
      </w:r>
    </w:p>
    <w:p>
      <w:pPr>
        <w:pStyle w:val="ListParagraph"/>
        <w:numPr>
          <w:ilvl w:val="0"/>
          <w:numId w:val="3"/>
        </w:numPr>
        <w:spacing w:after="90" w:line="276"/>
      </w:pPr>
      <w:r>
        <w:rPr>
          <w:b/>
          <w:bCs/>
          <w:color w:val="1a1a1a"/>
          <w:sz w:val="21"/>
          <w:szCs w:val="21"/>
        </w:rPr>
        <w:t xml:space="preserve">Inherent limitation predicts: </w:t>
      </w:r>
      <w:r>
        <w:rPr>
          <w:color w:val="1a1a1a"/>
          <w:sz w:val="21"/>
          <w:szCs w:val="21"/>
        </w:rPr>
        <w:t xml:space="preserve">the oracle floor is low almost everywhere, all the ΔE lives in the model-to-oracle gap, and that gap does not close as C rises.</w:t>
      </w:r>
    </w:p>
    <w:p>
      <w:pPr>
        <w:spacing w:after="120" w:before="0" w:line="276"/>
      </w:pPr>
      <w:r>
        <w:rPr>
          <w:b/>
          <w:bCs/>
          <w:color w:val="1a1a1a"/>
          <w:sz w:val="21"/>
          <w:szCs w:val="21"/>
        </w:rPr>
        <w:t xml:space="preserve">Cost: </w:t>
      </w:r>
      <w:r>
        <w:rPr>
          <w:color w:val="1a1a1a"/>
          <w:sz w:val="21"/>
          <w:szCs w:val="21"/>
        </w:rPr>
        <w:t xml:space="preserve">a few hours on one SLURM job, CPU, reusing code we already have. This is the cheapest decisive measurement available to us and I think it should be the next thing we run.</w:t>
      </w:r>
    </w:p>
    <w:p>
      <w:pPr>
        <w:spacing w:after="120" w:before="0" w:line="276"/>
      </w:pPr>
      <w:r>
        <w:rPr>
          <w:b/>
          <w:bCs/>
          <w:color w:val="1a1a1a"/>
          <w:sz w:val="21"/>
          <w:szCs w:val="21"/>
        </w:rPr>
        <w:t xml:space="preserve">Confirmatory second test. </w:t>
      </w:r>
      <w:r>
        <w:rPr>
          <w:color w:val="1a1a1a"/>
          <w:sz w:val="21"/>
          <w:szCs w:val="21"/>
        </w:rPr>
        <w:t xml:space="preserve">Regenerate a small validation set with pool_size fixed at 32 and re-evaluate the existing checkpoints, no retraining. If ΔE drops sharply, the pool is the binding constraint and the M factor is right.</w:t>
      </w:r>
    </w:p>
    <w:p>
      <w:pPr>
        <w:pStyle w:val="Heading1"/>
        <w:spacing w:after="140" w:before="320"/>
      </w:pPr>
      <w:r>
        <w:t xml:space="preserve">8.  Caveats to state up front</w:t>
      </w:r>
    </w:p>
    <w:p>
      <w:pPr>
        <w:pStyle w:val="ListParagraph"/>
        <w:numPr>
          <w:ilvl w:val="0"/>
          <w:numId w:val="3"/>
        </w:numPr>
        <w:spacing w:after="90" w:line="276"/>
      </w:pPr>
      <w:r>
        <w:rPr>
          <w:b/>
          <w:bCs/>
          <w:color w:val="1a1a1a"/>
          <w:sz w:val="21"/>
          <w:szCs w:val="21"/>
        </w:rPr>
        <w:t xml:space="preserve">The pooled α is a point estimate, not a robust one. </w:t>
      </w:r>
      <w:r>
        <w:rPr>
          <w:color w:val="1a1a1a"/>
          <w:sz w:val="21"/>
          <w:szCs w:val="21"/>
        </w:rPr>
        <w:t xml:space="preserve">Bootstrap CI is 0.53 to 1.42, and the noise-propagated version refuses all 4000 draws. Quote it as "clearly above 0.5, not precisely 0.94". Only the low bucket is robustly identified.</w:t>
      </w:r>
    </w:p>
    <w:p>
      <w:pPr>
        <w:pStyle w:val="ListParagraph"/>
        <w:numPr>
          <w:ilvl w:val="0"/>
          <w:numId w:val="3"/>
        </w:numPr>
        <w:spacing w:after="90" w:line="276"/>
      </w:pPr>
      <w:r>
        <w:rPr>
          <w:b/>
          <w:bCs/>
          <w:color w:val="1a1a1a"/>
          <w:sz w:val="21"/>
          <w:szCs w:val="21"/>
        </w:rPr>
        <w:t xml:space="preserve">Two of six rungs contribute nothing. </w:t>
      </w:r>
      <w:r>
        <w:rPr>
          <w:color w:val="1a1a1a"/>
          <w:sz w:val="21"/>
          <w:szCs w:val="21"/>
        </w:rPr>
        <w:t xml:space="preserve">The pooled law rests on four points.</w:t>
      </w:r>
    </w:p>
    <w:p>
      <w:pPr>
        <w:pStyle w:val="ListParagraph"/>
        <w:numPr>
          <w:ilvl w:val="0"/>
          <w:numId w:val="3"/>
        </w:numPr>
        <w:spacing w:after="90" w:line="276"/>
      </w:pPr>
      <w:r>
        <w:rPr>
          <w:b/>
          <w:bCs/>
          <w:color w:val="1a1a1a"/>
          <w:sz w:val="21"/>
          <w:szCs w:val="21"/>
        </w:rPr>
        <w:t xml:space="preserve">The largest model here is 17.8M parameters. </w:t>
      </w:r>
      <w:r>
        <w:rPr>
          <w:color w:val="1a1a1a"/>
          <w:sz w:val="21"/>
          <w:szCs w:val="21"/>
        </w:rPr>
        <w:t xml:space="preserve">We never got near production scale, so the turn at 2.75e15 could in principle be an artefact of the size window rather than a fundamental ceiling. The counter-argument is that the same window produced a clean low-chroma law.</w:t>
      </w:r>
    </w:p>
    <w:p>
      <w:pPr>
        <w:pStyle w:val="ListParagraph"/>
        <w:numPr>
          <w:ilvl w:val="0"/>
          <w:numId w:val="3"/>
        </w:numPr>
        <w:spacing w:after="90" w:line="276"/>
      </w:pPr>
      <w:r>
        <w:rPr>
          <w:b/>
          <w:bCs/>
          <w:color w:val="1a1a1a"/>
          <w:sz w:val="21"/>
          <w:szCs w:val="21"/>
        </w:rPr>
        <w:t xml:space="preserve">Quote 10.04, not 9.17, </w:t>
      </w:r>
      <w:r>
        <w:rPr>
          <w:color w:val="1a1a1a"/>
          <w:sz w:val="21"/>
          <w:szCs w:val="21"/>
        </w:rPr>
        <w:t xml:space="preserve">for best ΔE at 2.75e15. The raw minimum over eight runs is biased downward and the bias grows with how many seeds a config had; 9.17 is one seed of a three-seed cluster whose mean is 10.04.</w:t>
      </w:r>
    </w:p>
    <w:p>
      <w:pPr>
        <w:pStyle w:val="ListParagraph"/>
        <w:numPr>
          <w:ilvl w:val="0"/>
          <w:numId w:val="3"/>
        </w:numPr>
        <w:spacing w:after="90" w:line="276"/>
      </w:pPr>
      <w:r>
        <w:rPr>
          <w:b/>
          <w:bCs/>
          <w:color w:val="1a1a1a"/>
          <w:sz w:val="21"/>
          <w:szCs w:val="21"/>
        </w:rPr>
        <w:t xml:space="preserve">The LR schedule has no D term. </w:t>
      </w:r>
      <w:r>
        <w:rPr>
          <w:color w:val="1a1a1a"/>
          <w:sz w:val="21"/>
          <w:szCs w:val="21"/>
        </w:rPr>
        <w:t xml:space="preserve">Not a confound for the turn, but it is the one unablated knob, and someone will ask.</w:t>
      </w:r>
    </w:p>
    <w:p>
      <w:pPr>
        <w:pStyle w:val="Heading1"/>
        <w:spacing w:after="140" w:before="320"/>
      </w:pPr>
      <w:r>
        <w:t xml:space="preserve">9.  Takeaway, in the order I would say it</w:t>
      </w:r>
    </w:p>
    <w:p>
      <w:pPr>
        <w:pStyle w:val="ListParagraph"/>
        <w:numPr>
          <w:ilvl w:val="0"/>
          <w:numId w:val="2"/>
        </w:numPr>
        <w:spacing w:after="90" w:line="276"/>
      </w:pPr>
      <w:r>
        <w:rPr>
          <w:color w:val="1a1a1a"/>
          <w:sz w:val="21"/>
          <w:szCs w:val="21"/>
        </w:rPr>
        <w:t xml:space="preserve">We have a real scaling study: 48 runs, Porian-corrected, aspect-controlled, on a 40M corpus.</w:t>
      </w:r>
    </w:p>
    <w:p>
      <w:pPr>
        <w:pStyle w:val="ListParagraph"/>
        <w:numPr>
          <w:ilvl w:val="0"/>
          <w:numId w:val="2"/>
        </w:numPr>
        <w:spacing w:after="90" w:line="276"/>
      </w:pPr>
      <w:r>
        <w:rPr>
          <w:color w:val="1a1a1a"/>
          <w:sz w:val="21"/>
          <w:szCs w:val="21"/>
        </w:rPr>
        <w:t xml:space="preserve">INDIGO's compute-optimal frontier is not Chinchilla's. N* ∝ C</w:t>
      </w:r>
      <w:r>
        <w:rPr>
          <w:vertAlign w:val="superscript"/>
        </w:rPr>
        <w:t xml:space="preserve">0.94</w:t>
      </w:r>
      <w:r>
        <w:rPr>
          <w:color w:val="1a1a1a"/>
          <w:sz w:val="21"/>
          <w:szCs w:val="21"/>
        </w:rPr>
        <w:t xml:space="preserve">, D* essentially flat. Extra compute goes into parameters.</w:t>
      </w:r>
    </w:p>
    <w:p>
      <w:pPr>
        <w:pStyle w:val="ListParagraph"/>
        <w:numPr>
          <w:ilvl w:val="0"/>
          <w:numId w:val="2"/>
        </w:numPr>
        <w:spacing w:after="90" w:line="276"/>
      </w:pPr>
      <w:r>
        <w:rPr>
          <w:color w:val="1a1a1a"/>
          <w:sz w:val="21"/>
          <w:szCs w:val="21"/>
        </w:rPr>
        <w:t xml:space="preserve">Past C ≈ 2.75e15, more compute makes the model worse, on both ΔE and CE.</w:t>
      </w:r>
    </w:p>
    <w:p>
      <w:pPr>
        <w:pStyle w:val="ListParagraph"/>
        <w:numPr>
          <w:ilvl w:val="0"/>
          <w:numId w:val="2"/>
        </w:numPr>
        <w:spacing w:after="90" w:line="276"/>
      </w:pPr>
      <w:r>
        <w:rPr>
          <w:color w:val="1a1a1a"/>
          <w:sz w:val="21"/>
          <w:szCs w:val="21"/>
        </w:rPr>
        <w:t xml:space="preserve">It is not repetition, not the metric, and not untuned LR.</w:t>
      </w:r>
    </w:p>
    <w:p>
      <w:pPr>
        <w:pStyle w:val="ListParagraph"/>
        <w:numPr>
          <w:ilvl w:val="0"/>
          <w:numId w:val="2"/>
        </w:numPr>
        <w:spacing w:after="90" w:line="276"/>
      </w:pPr>
      <w:r>
        <w:rPr>
          <w:color w:val="1a1a1a"/>
          <w:sz w:val="21"/>
          <w:szCs w:val="21"/>
        </w:rPr>
        <w:t xml:space="preserve">The only bucket with a clean, noise-robust law is low chroma (α = 0.65, β = 0.40, α + β ≈ 1). The method works where the problem is solvable.</w:t>
      </w:r>
    </w:p>
    <w:p>
      <w:pPr>
        <w:pStyle w:val="ListParagraph"/>
        <w:numPr>
          <w:ilvl w:val="0"/>
          <w:numId w:val="2"/>
        </w:numPr>
        <w:spacing w:after="90" w:line="276"/>
      </w:pPr>
      <w:r>
        <w:rPr>
          <w:color w:val="1a1a1a"/>
          <w:sz w:val="21"/>
          <w:szCs w:val="21"/>
        </w:rPr>
        <w:t xml:space="preserve">So the ceiling reads as problem-side. If that holds, the payoff is in inference-time search and RL against the simulator, not in a bigger pretrain. The oracle-floor eval in section 7 is what would confirm it.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88"/>
      </w:pPr>
    </w:lvl>
  </w:abstractNum>
  <w:abstractNum w:abstractNumId="3" w15:restartNumberingAfterBreak="0">
    <w:multiLevelType w:val="hybridMultilevel"/>
    <w:lvl w:ilvl="0" w: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c9c9" w:sz="6" w:space="5"/>
      </w:pBdr>
      <w:spacing w:after="140" w:before="320"/>
    </w:pPr>
    <w:rPr>
      <w:rFonts w:ascii="Calibri" w:cs="Calibri" w:eastAsia="Calibri" w:hAnsi="Calibri"/>
      <w:b/>
      <w:bCs/>
      <w:color w:val="1a1a1a"/>
      <w:sz w:val="28"/>
      <w:szCs w:val="28"/>
    </w:rPr>
  </w:style>
  <w:style w:type="paragraph" w:styleId="Heading2">
    <w:name w:val="Heading 2"/>
    <w:basedOn w:val="Normal"/>
    <w:next w:val="Normal"/>
    <w:qFormat/>
    <w:pPr>
      <w:spacing w:after="100" w:before="240"/>
    </w:pPr>
    <w:rPr>
      <w:rFonts w:ascii="Calibri" w:cs="Calibri" w:eastAsia="Calibri" w:hAnsi="Calibri"/>
      <w:b/>
      <w:bCs/>
      <w:color w:val="33475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16c77d5b022236f4d2dd14a0b2bbe99452100ee.png"/><Relationship Id="rId8" Type="http://schemas.openxmlformats.org/officeDocument/2006/relationships/image" Target="media/a8f2b98a07d65a0dccd079fd7e73d30edb3dcce4.png"/><Relationship Id="rId9" Type="http://schemas.openxmlformats.org/officeDocument/2006/relationships/image" Target="media/ebc20f3954a859e69c825821d21d7305a4e430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2026-09-30T17:32:43.150Z</dcterms:created>
  <dcterms:modified xsi:type="dcterms:W3CDTF">2026-09-30T17:32:43.150Z</dcterms:modified>
</cp:coreProperties>
</file>

<file path=docProps/custom.xml><?xml version="1.0" encoding="utf-8"?>
<Properties xmlns="http://schemas.openxmlformats.org/officeDocument/2006/custom-properties" xmlns:vt="http://schemas.openxmlformats.org/officeDocument/2006/docPropsVTypes"/>
</file>