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a1a1a"/>
          <w:sz w:val="40"/>
          <w:szCs w:val="40"/>
        </w:rPr>
        <w:t xml:space="preserve">INDIGO compute-optimal scaling</w:t>
      </w:r>
    </w:p>
    <w:p>
      <w:pPr>
        <w:pBdr>
          <w:bottom w:val="single" w:color="c9c9c9" w:sz="8" w:space="8"/>
        </w:pBdr>
        <w:spacing w:after="160"/>
      </w:pPr>
      <w:r>
        <w:rPr>
          <w:color w:val="5a5a5a"/>
          <w:sz w:val="24"/>
          <w:szCs w:val="24"/>
        </w:rPr>
        <w:t xml:space="preserve">48-run IsoFLOP sweep, 40M corpus, Porian-corrected</w:t>
      </w:r>
    </w:p>
    <w:p>
      <w:pPr>
        <w:pStyle w:val="Heading1"/>
      </w:pPr>
      <w:r>
        <w:t xml:space="preserve">1.  Headline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  <w:color w:val="1a1a1a"/>
          <w:sz w:val="21"/>
          <w:szCs w:val="21"/>
        </w:rPr>
        <w:t xml:space="preserve">N* ∝ C</w:t>
      </w:r>
      <w:r>
        <w:rPr>
          <w:color w:val="1a1a1a"/>
          <w:sz w:val="21"/>
          <w:szCs w:val="21"/>
          <w:vertAlign w:val="superscript"/>
        </w:rPr>
        <w:t xml:space="preserve">0.94</w:t>
      </w:r>
      <w:r>
        <w:rPr>
          <w:color w:val="1a1a1a"/>
          <w:sz w:val="21"/>
          <w:szCs w:val="21"/>
        </w:rPr>
        <w:t xml:space="preserve"> on ΔE₀₀, C</w:t>
      </w:r>
      <w:r>
        <w:rPr>
          <w:color w:val="1a1a1a"/>
          <w:sz w:val="21"/>
          <w:szCs w:val="21"/>
          <w:vertAlign w:val="superscript"/>
        </w:rPr>
        <w:t xml:space="preserve">0.83</w:t>
      </w:r>
      <w:r>
        <w:rPr>
          <w:color w:val="1a1a1a"/>
          <w:sz w:val="21"/>
          <w:szCs w:val="21"/>
        </w:rPr>
        <w:t xml:space="preserve"> on CE. Chinchilla is 0.50. D* is pinned at 4 to 8 Mex across 250× in C.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  <w:color w:val="1a1a1a"/>
          <w:sz w:val="21"/>
          <w:szCs w:val="21"/>
        </w:rPr>
        <w:t xml:space="preserve">Both metrics bottom at C = 2.75e15</w:t>
      </w:r>
      <w:r>
        <w:rPr>
          <w:color w:val="1a1a1a"/>
          <w:sz w:val="21"/>
          <w:szCs w:val="21"/>
        </w:rPr>
        <w:t xml:space="preserve"> and worsen after. Best pooled ΔE there: 10.04.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  <w:color w:val="1a1a1a"/>
          <w:sz w:val="21"/>
          <w:szCs w:val="21"/>
        </w:rPr>
        <w:t xml:space="preserve">CE is not the well-behaved control.</w:t>
      </w:r>
      <w:r>
        <w:rPr>
          <w:color w:val="1a1a1a"/>
          <w:sz w:val="21"/>
          <w:szCs w:val="21"/>
        </w:rPr>
        <w:t xml:space="preserve"> It breaks at the same budget, so this is not a ΔE artefact.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  <w:color w:val="1a1a1a"/>
          <w:sz w:val="21"/>
          <w:szCs w:val="21"/>
        </w:rPr>
        <w:t xml:space="preserve">Not data repetition.</w:t>
      </w:r>
      <w:r>
        <w:rPr>
          <w:color w:val="1a1a1a"/>
          <w:sz w:val="21"/>
          <w:szCs w:val="21"/>
        </w:rPr>
        <w:t xml:space="preserve"> 47 of 48 runs stayed under one epoch.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  <w:color w:val="1a1a1a"/>
          <w:sz w:val="21"/>
          <w:szCs w:val="21"/>
        </w:rPr>
        <w:t xml:space="preserve">Low chroma is the only clean law</w:t>
      </w:r>
      <w:r>
        <w:rPr>
          <w:color w:val="1a1a1a"/>
          <w:sz w:val="21"/>
          <w:szCs w:val="21"/>
        </w:rPr>
        <w:t xml:space="preserve"> (α = 0.65, β = 0.40, α + β ≈ 1).</w:t>
      </w:r>
    </w:p>
    <w:p>
      <w:pPr>
        <w:spacing w:after="150" w:before="70" w:line="276"/>
      </w:pPr>
      <w:r>
        <w:rPr>
          <w:color w:val="1a1a1a"/>
          <w:sz w:val="21"/>
          <w:szCs w:val="21"/>
        </w:rPr>
        <w:t xml:space="preserve">Working claim: the ceiling is problem-side. </w:t>
      </w:r>
      <w:r>
        <w:rPr>
          <w:b/>
          <w:bCs/>
          <w:color w:val="1a1a1a"/>
          <w:sz w:val="21"/>
          <w:szCs w:val="21"/>
        </w:rPr>
        <w:t xml:space="preserve">Section 7 is the one confound I cannot rule out, and what I would run to close it. That is the section I want your read on.</w:t>
      </w:r>
    </w:p>
    <w:p>
      <w:pPr>
        <w:pStyle w:val="Heading1"/>
      </w:pPr>
      <w:r>
        <w:t xml:space="preserve">2.  Method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color w:val="1a1a1a"/>
          <w:sz w:val="21"/>
          <w:szCs w:val="21"/>
        </w:rPr>
        <w:t xml:space="preserve">Chinchilla Approach 2. Six budgets × eight runs. Parabola in log N per budget gives N*, then a power law in C. Final checkpoint, aspect ratio held in a 28 to 72 band, D counted in examples.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b/>
          <w:bCs/>
          <w:color w:val="1a1a1a"/>
          <w:sz w:val="21"/>
          <w:szCs w:val="21"/>
        </w:rPr>
        <w:t xml:space="preserve">The compute axis is not 6ND. </w:t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src/scaling/flops.py</w:t>
      </w:r>
      <w:r>
        <w:rPr>
          <w:color w:val="1a1a1a"/>
          <w:sz w:val="21"/>
          <w:szCs w:val="21"/>
        </w:rPr>
        <w:t xml:space="preserve"> computes forward FLOPs per example analytically and sets C = 3 · F(N) · D. The pointer head runs per (position, slot), 352 times per example, and the slot encoder runs over 32 pool slots rather than the 11-position sequence. Over this ladder C/(N·D) runs from 306 down to 218, so 6ND would understate compute by 36× to 51× and the error itself drifts 1.4× across the grid. This is Porian correction #1, far larger here than in the paper.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color w:val="1a1a1a"/>
          <w:sz w:val="21"/>
          <w:szCs w:val="21"/>
        </w:rPr>
        <w:t xml:space="preserve">Porian #2: warmup as a fraction of the budget. Porian #3: LR re-tuned per scale, which is section 7.</w:t>
      </w:r>
    </w:p>
    <w:p>
      <w:pPr>
        <w:pStyle w:val="Heading1"/>
      </w:pPr>
      <w:r>
        <w:t xml:space="preserve">3.  The sweep</w:t>
      </w:r>
    </w:p>
    <w:p>
      <w:pPr>
        <w:spacing w:after="50" w:before="90"/>
        <w:jc w:val="center"/>
      </w:pPr>
      <w:r>
        <w:drawing>
          <wp:inline distT="0" distB="0" distL="0" distR="0">
            <wp:extent cx="5943600" cy="2257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70"/>
        <w:jc w:val="center"/>
      </w:pPr>
      <w:r>
        <w:rPr>
          <w:i/>
          <w:iCs/>
          <w:color w:val="5a5a5a"/>
          <w:sz w:val="17"/>
          <w:szCs w:val="17"/>
        </w:rPr>
        <w:t xml:space="preserve">Figure 1.  Left: one colour per FLOP budget, dots are the eight model sizes, star is the fitted N*. Right: N*(C) per chroma bucket.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color w:val="1a1a1a"/>
          <w:sz w:val="21"/>
          <w:szCs w:val="21"/>
        </w:rPr>
        <w:t xml:space="preserve">The parabolas flatten as C rises. At C = 8.3e15 the star sits at the edge of the window; at 2.5e16 there is no interior minimum and the fit is refused.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color w:val="1a1a1a"/>
          <w:sz w:val="21"/>
          <w:szCs w:val="21"/>
        </w:rPr>
        <w:t xml:space="preserve">The quantity being fitted, curvature in log N, is going to zero. ΔE stops caring how big the model is.</w:t>
      </w:r>
    </w:p>
    <w:p>
      <w:pPr>
        <w:spacing w:after="60" w:before="110" w:line="276"/>
      </w:pPr>
      <w:r>
        <w:rPr>
          <w:b/>
          <w:bCs/>
          <w:color w:val="1a1a1a"/>
          <w:sz w:val="21"/>
          <w:szCs w:val="21"/>
        </w:rPr>
        <w:t xml:space="preserve">Table 1.  Per-budget summary.</w:t>
      </w:r>
    </w:p>
    <w:tbl>
      <w:tblPr>
        <w:tblW w:type="dxa" w:w="9360"/>
        <w:tblBorders>
          <w:top w:val="single" w:color="c9c9c9" w:sz="4"/>
          <w:left w:val="none"/>
          <w:bottom w:val="single" w:color="c9c9c9" w:sz="4"/>
          <w:right w:val="none"/>
          <w:insideH w:val="single" w:color="e3e3e3" w:sz="2"/>
          <w:insideV w:val="none"/>
        </w:tblBorders>
      </w:tblPr>
      <w:tblGrid>
        <w:gridCol w:w="1500"/>
        <w:gridCol w:w="1760"/>
        <w:gridCol w:w="1180"/>
        <w:gridCol w:w="1100"/>
        <w:gridCol w:w="1300"/>
        <w:gridCol w:w="1160"/>
        <w:gridCol w:w="1360"/>
      </w:tblGrid>
      <w:tr>
        <w:trPr>
          <w:tblHeader/>
        </w:trPr>
        <w:tc>
          <w:tcPr>
            <w:tcW w:type="dxa" w:w="1500"/>
            <w:shd w:fill="eef2f7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C (FLOPs)</w:t>
            </w:r>
          </w:p>
        </w:tc>
        <w:tc>
          <w:tcPr>
            <w:tcW w:type="dxa" w:w="1760"/>
            <w:shd w:fill="eef2f7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N sampled</w:t>
            </w:r>
          </w:p>
        </w:tc>
        <w:tc>
          <w:tcPr>
            <w:tcW w:type="dxa" w:w="1180"/>
            <w:shd w:fill="eef2f7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N* (ΔE)</w:t>
            </w:r>
          </w:p>
        </w:tc>
        <w:tc>
          <w:tcPr>
            <w:tcW w:type="dxa" w:w="1100"/>
            <w:shd w:fill="eef2f7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D* (Mex)</w:t>
            </w:r>
          </w:p>
        </w:tc>
        <w:tc>
          <w:tcPr>
            <w:tcW w:type="dxa" w:w="1300"/>
            <w:shd w:fill="eef2f7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best ΔE₀₀</w:t>
            </w:r>
          </w:p>
        </w:tc>
        <w:tc>
          <w:tcPr>
            <w:tcW w:type="dxa" w:w="1160"/>
            <w:shd w:fill="eef2f7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best CE</w:t>
            </w:r>
          </w:p>
        </w:tc>
        <w:tc>
          <w:tcPr>
            <w:tcW w:type="dxa" w:w="1360"/>
            <w:shd w:fill="eef2f7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max epochs</w:t>
            </w:r>
          </w:p>
        </w:tc>
      </w:tr>
      <w:tr>
        <w:tc>
          <w:tcPr>
            <w:tcW w:type="dxa" w:w="1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color w:val="1a1a1a"/>
                <w:sz w:val="18"/>
                <w:szCs w:val="18"/>
              </w:rPr>
              <w:t xml:space="preserve">1.00e14</w:t>
            </w:r>
          </w:p>
        </w:tc>
        <w:tc>
          <w:tcPr>
            <w:tcW w:type="dxa" w:w="176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color w:val="1a1a1a"/>
                <w:sz w:val="18"/>
                <w:szCs w:val="18"/>
              </w:rPr>
              <w:t xml:space="preserve">0.08 - 1.16M</w:t>
            </w:r>
          </w:p>
        </w:tc>
        <w:tc>
          <w:tcPr>
            <w:tcW w:type="dxa" w:w="118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color w:val="1a1a1a"/>
                <w:sz w:val="18"/>
                <w:szCs w:val="18"/>
              </w:rPr>
              <w:t xml:space="preserve">refused</w:t>
            </w:r>
          </w:p>
        </w:tc>
        <w:tc>
          <w:tcPr>
            <w:tcW w:type="dxa" w:w="1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color w:val="1a1a1a"/>
                <w:sz w:val="18"/>
                <w:szCs w:val="18"/>
              </w:rPr>
              <w:t xml:space="preserve">–</w:t>
            </w:r>
          </w:p>
        </w:tc>
        <w:tc>
          <w:tcPr>
            <w:tcW w:type="dxa" w:w="13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color w:val="1a1a1a"/>
                <w:sz w:val="18"/>
                <w:szCs w:val="18"/>
              </w:rPr>
              <w:t xml:space="preserve">12.39</w:t>
            </w:r>
          </w:p>
        </w:tc>
        <w:tc>
          <w:tcPr>
            <w:tcW w:type="dxa" w:w="116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color w:val="1a1a1a"/>
                <w:sz w:val="18"/>
                <w:szCs w:val="18"/>
              </w:rPr>
              <w:t xml:space="preserve">6.144</w:t>
            </w:r>
          </w:p>
        </w:tc>
        <w:tc>
          <w:tcPr>
            <w:tcW w:type="dxa" w:w="136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color w:val="1a1a1a"/>
                <w:sz w:val="18"/>
                <w:szCs w:val="18"/>
              </w:rPr>
              <w:t xml:space="preserve">0.11</w:t>
            </w:r>
          </w:p>
        </w:tc>
      </w:tr>
      <w:tr>
        <w:tc>
          <w:tcPr>
            <w:tcW w:type="dxa" w:w="1500"/>
            <w:shd w:fill="f7f8fa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color w:val="1a1a1a"/>
                <w:sz w:val="18"/>
                <w:szCs w:val="18"/>
              </w:rPr>
              <w:t xml:space="preserve">3.02e14</w:t>
            </w:r>
          </w:p>
        </w:tc>
        <w:tc>
          <w:tcPr>
            <w:tcW w:type="dxa" w:w="1760"/>
            <w:shd w:fill="f7f8fa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color w:val="1a1a1a"/>
                <w:sz w:val="18"/>
                <w:szCs w:val="18"/>
              </w:rPr>
              <w:t xml:space="preserve">0.18 - 2.09M</w:t>
            </w:r>
          </w:p>
        </w:tc>
        <w:tc>
          <w:tcPr>
            <w:tcW w:type="dxa" w:w="1180"/>
            <w:shd w:fill="f7f8fa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color w:val="1a1a1a"/>
                <w:sz w:val="18"/>
                <w:szCs w:val="18"/>
              </w:rPr>
              <w:t xml:space="preserve">0.26M</w:t>
            </w:r>
          </w:p>
        </w:tc>
        <w:tc>
          <w:tcPr>
            <w:tcW w:type="dxa" w:w="1100"/>
            <w:shd w:fill="f7f8fa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color w:val="1a1a1a"/>
                <w:sz w:val="18"/>
                <w:szCs w:val="18"/>
              </w:rPr>
              <w:t xml:space="preserve">4.05</w:t>
            </w:r>
          </w:p>
        </w:tc>
        <w:tc>
          <w:tcPr>
            <w:tcW w:type="dxa" w:w="1300"/>
            <w:shd w:fill="f7f8fa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color w:val="1a1a1a"/>
                <w:sz w:val="18"/>
                <w:szCs w:val="18"/>
              </w:rPr>
              <w:t xml:space="preserve">10.84</w:t>
            </w:r>
          </w:p>
        </w:tc>
        <w:tc>
          <w:tcPr>
            <w:tcW w:type="dxa" w:w="1160"/>
            <w:shd w:fill="f7f8fa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color w:val="1a1a1a"/>
                <w:sz w:val="18"/>
                <w:szCs w:val="18"/>
              </w:rPr>
              <w:t xml:space="preserve">6.075</w:t>
            </w:r>
          </w:p>
        </w:tc>
        <w:tc>
          <w:tcPr>
            <w:tcW w:type="dxa" w:w="1360"/>
            <w:shd w:fill="f7f8fa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color w:val="1a1a1a"/>
                <w:sz w:val="18"/>
                <w:szCs w:val="18"/>
              </w:rPr>
              <w:t xml:space="preserve">0.14</w:t>
            </w:r>
          </w:p>
        </w:tc>
      </w:tr>
      <w:tr>
        <w:tc>
          <w:tcPr>
            <w:tcW w:type="dxa" w:w="1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color w:val="1a1a1a"/>
                <w:sz w:val="18"/>
                <w:szCs w:val="18"/>
              </w:rPr>
              <w:t xml:space="preserve">9.10e14</w:t>
            </w:r>
          </w:p>
        </w:tc>
        <w:tc>
          <w:tcPr>
            <w:tcW w:type="dxa" w:w="176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color w:val="1a1a1a"/>
                <w:sz w:val="18"/>
                <w:szCs w:val="18"/>
              </w:rPr>
              <w:t xml:space="preserve">0.46 - 3.42M</w:t>
            </w:r>
          </w:p>
        </w:tc>
        <w:tc>
          <w:tcPr>
            <w:tcW w:type="dxa" w:w="118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color w:val="1a1a1a"/>
                <w:sz w:val="18"/>
                <w:szCs w:val="18"/>
              </w:rPr>
              <w:t xml:space="preserve">0.80M</w:t>
            </w:r>
          </w:p>
        </w:tc>
        <w:tc>
          <w:tcPr>
            <w:tcW w:type="dxa" w:w="1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color w:val="1a1a1a"/>
                <w:sz w:val="18"/>
                <w:szCs w:val="18"/>
              </w:rPr>
              <w:t xml:space="preserve">4.25</w:t>
            </w:r>
          </w:p>
        </w:tc>
        <w:tc>
          <w:tcPr>
            <w:tcW w:type="dxa" w:w="13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color w:val="1a1a1a"/>
                <w:sz w:val="18"/>
                <w:szCs w:val="18"/>
              </w:rPr>
              <w:t xml:space="preserve">10.46</w:t>
            </w:r>
          </w:p>
        </w:tc>
        <w:tc>
          <w:tcPr>
            <w:tcW w:type="dxa" w:w="116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color w:val="1a1a1a"/>
                <w:sz w:val="18"/>
                <w:szCs w:val="18"/>
              </w:rPr>
              <w:t xml:space="preserve">6.042</w:t>
            </w:r>
          </w:p>
        </w:tc>
        <w:tc>
          <w:tcPr>
            <w:tcW w:type="dxa" w:w="136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color w:val="1a1a1a"/>
                <w:sz w:val="18"/>
                <w:szCs w:val="18"/>
              </w:rPr>
              <w:t xml:space="preserve">0.18</w:t>
            </w:r>
          </w:p>
        </w:tc>
      </w:tr>
      <w:tr>
        <w:tc>
          <w:tcPr>
            <w:tcW w:type="dxa" w:w="1500"/>
            <w:shd w:fill="f7f8fa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color w:val="1a1a1a"/>
                <w:sz w:val="18"/>
                <w:szCs w:val="18"/>
              </w:rPr>
              <w:t xml:space="preserve">2.75e15</w:t>
            </w:r>
          </w:p>
        </w:tc>
        <w:tc>
          <w:tcPr>
            <w:tcW w:type="dxa" w:w="1760"/>
            <w:shd w:fill="f7f8fa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color w:val="1a1a1a"/>
                <w:sz w:val="18"/>
                <w:szCs w:val="18"/>
              </w:rPr>
              <w:t xml:space="preserve">0.57 - 5.84M</w:t>
            </w:r>
          </w:p>
        </w:tc>
        <w:tc>
          <w:tcPr>
            <w:tcW w:type="dxa" w:w="1180"/>
            <w:shd w:fill="f7f8fa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color w:val="1a1a1a"/>
                <w:sz w:val="18"/>
                <w:szCs w:val="18"/>
              </w:rPr>
              <w:t xml:space="preserve">1.43M</w:t>
            </w:r>
          </w:p>
        </w:tc>
        <w:tc>
          <w:tcPr>
            <w:tcW w:type="dxa" w:w="1100"/>
            <w:shd w:fill="f7f8fa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color w:val="1a1a1a"/>
                <w:sz w:val="18"/>
                <w:szCs w:val="18"/>
              </w:rPr>
              <w:t xml:space="preserve">7.66</w:t>
            </w:r>
          </w:p>
        </w:tc>
        <w:tc>
          <w:tcPr>
            <w:tcW w:type="dxa" w:w="1300"/>
            <w:shd w:fill="f7f8fa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color w:val="1a1a1a"/>
                <w:sz w:val="18"/>
                <w:szCs w:val="18"/>
              </w:rPr>
              <w:t xml:space="preserve">10.04</w:t>
            </w:r>
          </w:p>
        </w:tc>
        <w:tc>
          <w:tcPr>
            <w:tcW w:type="dxa" w:w="1160"/>
            <w:shd w:fill="f7f8fa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color w:val="1a1a1a"/>
                <w:sz w:val="18"/>
                <w:szCs w:val="18"/>
              </w:rPr>
              <w:t xml:space="preserve">6.024</w:t>
            </w:r>
          </w:p>
        </w:tc>
        <w:tc>
          <w:tcPr>
            <w:tcW w:type="dxa" w:w="1360"/>
            <w:shd w:fill="f7f8fa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color w:val="1a1a1a"/>
                <w:sz w:val="18"/>
                <w:szCs w:val="18"/>
              </w:rPr>
              <w:t xml:space="preserve">0.46</w:t>
            </w:r>
          </w:p>
        </w:tc>
      </w:tr>
      <w:tr>
        <w:tc>
          <w:tcPr>
            <w:tcW w:type="dxa" w:w="1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color w:val="1a1a1a"/>
                <w:sz w:val="18"/>
                <w:szCs w:val="18"/>
              </w:rPr>
              <w:t xml:space="preserve">8.29e15</w:t>
            </w:r>
          </w:p>
        </w:tc>
        <w:tc>
          <w:tcPr>
            <w:tcW w:type="dxa" w:w="176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color w:val="1a1a1a"/>
                <w:sz w:val="18"/>
                <w:szCs w:val="18"/>
              </w:rPr>
              <w:t xml:space="preserve">0.97 - 9.82M</w:t>
            </w:r>
          </w:p>
        </w:tc>
        <w:tc>
          <w:tcPr>
            <w:tcW w:type="dxa" w:w="118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color w:val="1a1a1a"/>
                <w:sz w:val="18"/>
                <w:szCs w:val="18"/>
              </w:rPr>
              <w:t xml:space="preserve">6.85M</w:t>
            </w:r>
          </w:p>
        </w:tc>
        <w:tc>
          <w:tcPr>
            <w:tcW w:type="dxa" w:w="1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color w:val="1a1a1a"/>
                <w:sz w:val="18"/>
                <w:szCs w:val="18"/>
              </w:rPr>
              <w:t xml:space="preserve">5.31</w:t>
            </w:r>
          </w:p>
        </w:tc>
        <w:tc>
          <w:tcPr>
            <w:tcW w:type="dxa" w:w="13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color w:val="1a1a1a"/>
                <w:sz w:val="18"/>
                <w:szCs w:val="18"/>
              </w:rPr>
              <w:t xml:space="preserve">10.75</w:t>
            </w:r>
          </w:p>
        </w:tc>
        <w:tc>
          <w:tcPr>
            <w:tcW w:type="dxa" w:w="116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color w:val="1a1a1a"/>
                <w:sz w:val="18"/>
                <w:szCs w:val="18"/>
              </w:rPr>
              <w:t xml:space="preserve">6.030</w:t>
            </w:r>
          </w:p>
        </w:tc>
        <w:tc>
          <w:tcPr>
            <w:tcW w:type="dxa" w:w="136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color w:val="1a1a1a"/>
                <w:sz w:val="18"/>
                <w:szCs w:val="18"/>
              </w:rPr>
              <w:t xml:space="preserve">0.84</w:t>
            </w:r>
          </w:p>
        </w:tc>
      </w:tr>
      <w:tr>
        <w:tc>
          <w:tcPr>
            <w:tcW w:type="dxa" w:w="1500"/>
            <w:shd w:fill="f7f8fa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color w:val="1a1a1a"/>
                <w:sz w:val="18"/>
                <w:szCs w:val="18"/>
              </w:rPr>
              <w:t xml:space="preserve">2.50e16</w:t>
            </w:r>
          </w:p>
        </w:tc>
        <w:tc>
          <w:tcPr>
            <w:tcW w:type="dxa" w:w="1760"/>
            <w:shd w:fill="f7f8fa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color w:val="1a1a1a"/>
                <w:sz w:val="18"/>
                <w:szCs w:val="18"/>
              </w:rPr>
              <w:t xml:space="preserve">1.78 - 17.84M</w:t>
            </w:r>
          </w:p>
        </w:tc>
        <w:tc>
          <w:tcPr>
            <w:tcW w:type="dxa" w:w="1180"/>
            <w:shd w:fill="f7f8fa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color w:val="1a1a1a"/>
                <w:sz w:val="18"/>
                <w:szCs w:val="18"/>
              </w:rPr>
              <w:t xml:space="preserve">refused</w:t>
            </w:r>
          </w:p>
        </w:tc>
        <w:tc>
          <w:tcPr>
            <w:tcW w:type="dxa" w:w="1100"/>
            <w:shd w:fill="f7f8fa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color w:val="1a1a1a"/>
                <w:sz w:val="18"/>
                <w:szCs w:val="18"/>
              </w:rPr>
              <w:t xml:space="preserve">–</w:t>
            </w:r>
          </w:p>
        </w:tc>
        <w:tc>
          <w:tcPr>
            <w:tcW w:type="dxa" w:w="1300"/>
            <w:shd w:fill="f7f8fa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color w:val="1a1a1a"/>
                <w:sz w:val="18"/>
                <w:szCs w:val="18"/>
              </w:rPr>
              <w:t xml:space="preserve">11.40</w:t>
            </w:r>
          </w:p>
        </w:tc>
        <w:tc>
          <w:tcPr>
            <w:tcW w:type="dxa" w:w="1160"/>
            <w:shd w:fill="f7f8fa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color w:val="1a1a1a"/>
                <w:sz w:val="18"/>
                <w:szCs w:val="18"/>
              </w:rPr>
              <w:t xml:space="preserve">6.035</w:t>
            </w:r>
          </w:p>
        </w:tc>
        <w:tc>
          <w:tcPr>
            <w:tcW w:type="dxa" w:w="1360"/>
            <w:shd w:fill="f7f8fa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color w:val="1a1a1a"/>
                <w:sz w:val="18"/>
                <w:szCs w:val="18"/>
              </w:rPr>
              <w:t xml:space="preserve">1.45</w:t>
            </w:r>
          </w:p>
        </w:tc>
      </w:tr>
    </w:tbl>
    <w:p>
      <w:pPr>
        <w:spacing w:after="170"/>
        <w:jc w:val="center"/>
      </w:pPr>
      <w:r>
        <w:rPr>
          <w:i/>
          <w:iCs/>
          <w:color w:val="5a5a5a"/>
          <w:sz w:val="17"/>
          <w:szCs w:val="17"/>
        </w:rPr>
        <w:t xml:space="preserve">Seed-averaged, not min-over-runs. N* moves 26×; D* does not move.</w:t>
      </w:r>
    </w:p>
    <w:p>
      <w:r>
        <w:br w:type="page"/>
      </w:r>
    </w:p>
    <w:p>
      <w:pPr>
        <w:pStyle w:val="Heading1"/>
      </w:pPr>
      <w:r>
        <w:t xml:space="preserve">4.  Cross-entropy, same procedure</w:t>
      </w:r>
    </w:p>
    <w:p>
      <w:pPr>
        <w:spacing w:after="50" w:before="90"/>
        <w:jc w:val="center"/>
      </w:pPr>
      <w:r>
        <w:drawing>
          <wp:inline distT="0" distB="0" distL="0" distR="0">
            <wp:extent cx="5943600" cy="186690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70"/>
        <w:jc w:val="center"/>
      </w:pPr>
      <w:r>
        <w:rPr>
          <w:i/>
          <w:iCs/>
          <w:color w:val="5a5a5a"/>
          <w:sz w:val="17"/>
          <w:szCs w:val="17"/>
        </w:rPr>
        <w:t xml:space="preserve">Figure 2.  The identical IsoFLOP procedure run on val_loss. Panel A carries a Chinchilla α = 0.5 slope for reference.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color w:val="1a1a1a"/>
          <w:sz w:val="21"/>
          <w:szCs w:val="21"/>
        </w:rPr>
        <w:t xml:space="preserve">Both exponents near 0.9. Both metrics turn at 2.75e15.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color w:val="1a1a1a"/>
          <w:sz w:val="21"/>
          <w:szCs w:val="21"/>
        </w:rPr>
        <w:t xml:space="preserve">This kills anything that blames the ΔE evaluator, CIEDE2000, or the greedy decode: token-level CE turns in lockstep.</w:t>
      </w:r>
    </w:p>
    <w:p>
      <w:pPr>
        <w:pStyle w:val="Heading1"/>
      </w:pPr>
      <w:r>
        <w:t xml:space="preserve">5.  Epoch-ceiling theory, refuted</w:t>
      </w:r>
    </w:p>
    <w:p>
      <w:pPr>
        <w:spacing w:after="50" w:before="90"/>
        <w:jc w:val="center"/>
      </w:pPr>
      <w:r>
        <w:drawing>
          <wp:inline distT="0" distB="0" distL="0" distR="0">
            <wp:extent cx="5943600" cy="245745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70"/>
        <w:jc w:val="center"/>
      </w:pPr>
      <w:r>
        <w:rPr>
          <w:i/>
          <w:iCs/>
          <w:color w:val="5a5a5a"/>
          <w:sz w:val="17"/>
          <w:szCs w:val="17"/>
        </w:rPr>
        <w:t xml:space="preserve">Figure 3.  Left: epochs over the 40M corpus, all 48 runs. Right: every model size trained at two or more budgets, N held exactly fixed inside each panel.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color w:val="1a1a1a"/>
          <w:sz w:val="21"/>
          <w:szCs w:val="21"/>
        </w:rPr>
        <w:t xml:space="preserve">Degradation happens </w:t>
      </w:r>
      <w:r>
        <w:rPr>
          <w:b/>
          <w:bCs/>
          <w:color w:val="1a1a1a"/>
          <w:sz w:val="21"/>
          <w:szCs w:val="21"/>
        </w:rPr>
        <w:t xml:space="preserve">inside the first pass</w:t>
      </w:r>
      <w:r>
        <w:rPr>
          <w:color w:val="1a1a1a"/>
          <w:sz w:val="21"/>
          <w:szCs w:val="21"/>
        </w:rPr>
        <w:t xml:space="preserve">, so it is not memorisation from repeats.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color w:val="1a1a1a"/>
          <w:sz w:val="21"/>
          <w:szCs w:val="21"/>
        </w:rPr>
        <w:t xml:space="preserve">In four of the nine panels, more </w:t>
      </w:r>
      <w:r>
        <w:rPr>
          <w:b/>
          <w:bCs/>
          <w:color w:val="1a1a1a"/>
          <w:sz w:val="21"/>
          <w:szCs w:val="21"/>
        </w:rPr>
        <w:t xml:space="preserve">unique</w:t>
      </w:r>
      <w:r>
        <w:rPr>
          <w:color w:val="1a1a1a"/>
          <w:sz w:val="21"/>
          <w:szCs w:val="21"/>
        </w:rPr>
        <w:t xml:space="preserve"> data makes ΔE worse. That is the opposite of a repetition effect.</w:t>
      </w:r>
    </w:p>
    <w:p>
      <w:r>
        <w:br w:type="page"/>
      </w:r>
    </w:p>
    <w:p>
      <w:pPr>
        <w:pStyle w:val="Heading1"/>
      </w:pPr>
      <w:r>
        <w:t xml:space="preserve">6.  Where the ceiling comes from</w:t>
      </w:r>
    </w:p>
    <w:p>
      <w:pPr>
        <w:spacing w:after="60" w:before="0" w:line="276"/>
      </w:pPr>
      <w:r>
        <w:rPr>
          <w:b/>
          <w:bCs/>
          <w:color w:val="1a1a1a"/>
          <w:sz w:val="21"/>
          <w:szCs w:val="21"/>
        </w:rPr>
        <w:t xml:space="preserve">Table 2.  Fitted exponents by chroma bucket.</w:t>
      </w:r>
    </w:p>
    <w:tbl>
      <w:tblPr>
        <w:tblW w:type="dxa" w:w="9360"/>
        <w:tblBorders>
          <w:top w:val="single" w:color="c9c9c9" w:sz="4"/>
          <w:left w:val="none"/>
          <w:bottom w:val="single" w:color="c9c9c9" w:sz="4"/>
          <w:right w:val="none"/>
          <w:insideH w:val="single" w:color="e3e3e3" w:sz="2"/>
          <w:insideV w:val="none"/>
        </w:tblBorders>
      </w:tblPr>
      <w:tblGrid>
        <w:gridCol w:w="1200"/>
        <w:gridCol w:w="1180"/>
        <w:gridCol w:w="1900"/>
        <w:gridCol w:w="1180"/>
        <w:gridCol w:w="1000"/>
        <w:gridCol w:w="1200"/>
        <w:gridCol w:w="1700"/>
      </w:tblGrid>
      <w:tr>
        <w:trPr>
          <w:tblHeader/>
        </w:trPr>
        <w:tc>
          <w:tcPr>
            <w:tcW w:type="dxa" w:w="1200"/>
            <w:shd w:fill="eef2f7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Bucket</w:t>
            </w:r>
          </w:p>
        </w:tc>
        <w:tc>
          <w:tcPr>
            <w:tcW w:type="dxa" w:w="1180"/>
            <w:shd w:fill="eef2f7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α (N*)</w:t>
            </w:r>
          </w:p>
        </w:tc>
        <w:tc>
          <w:tcPr>
            <w:tcW w:type="dxa" w:w="1900"/>
            <w:shd w:fill="eef2f7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95% CI</w:t>
            </w:r>
          </w:p>
        </w:tc>
        <w:tc>
          <w:tcPr>
            <w:tcW w:type="dxa" w:w="1180"/>
            <w:shd w:fill="eef2f7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β (D*)</w:t>
            </w:r>
          </w:p>
        </w:tc>
        <w:tc>
          <w:tcPr>
            <w:tcW w:type="dxa" w:w="1000"/>
            <w:shd w:fill="eef2f7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α + β</w:t>
            </w:r>
          </w:p>
        </w:tc>
        <w:tc>
          <w:tcPr>
            <w:tcW w:type="dxa" w:w="1200"/>
            <w:shd w:fill="eef2f7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rungs fit</w:t>
            </w:r>
          </w:p>
        </w:tc>
        <w:tc>
          <w:tcPr>
            <w:tcW w:type="dxa" w:w="1700"/>
            <w:shd w:fill="eef2f7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survives noise?</w:t>
            </w:r>
          </w:p>
        </w:tc>
      </w:tr>
      <w:tr>
        <w:tc>
          <w:tcPr>
            <w:tcW w:type="dxa" w:w="12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color w:val="1a1a1a"/>
                <w:sz w:val="18"/>
                <w:szCs w:val="18"/>
              </w:rPr>
              <w:t xml:space="preserve">low</w:t>
            </w:r>
          </w:p>
        </w:tc>
        <w:tc>
          <w:tcPr>
            <w:tcW w:type="dxa" w:w="118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color w:val="1a1a1a"/>
                <w:sz w:val="18"/>
                <w:szCs w:val="18"/>
              </w:rPr>
              <w:t xml:space="preserve">+0.648</w:t>
            </w:r>
          </w:p>
        </w:tc>
        <w:tc>
          <w:tcPr>
            <w:tcW w:type="dxa" w:w="19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color w:val="1a1a1a"/>
                <w:sz w:val="18"/>
                <w:szCs w:val="18"/>
              </w:rPr>
              <w:t xml:space="preserve">0.595 to 0.713</w:t>
            </w:r>
          </w:p>
        </w:tc>
        <w:tc>
          <w:tcPr>
            <w:tcW w:type="dxa" w:w="118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color w:val="1a1a1a"/>
                <w:sz w:val="18"/>
                <w:szCs w:val="18"/>
              </w:rPr>
              <w:t xml:space="preserve">+0.403</w:t>
            </w:r>
          </w:p>
        </w:tc>
        <w:tc>
          <w:tcPr>
            <w:tcW w:type="dxa" w:w="1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color w:val="1a1a1a"/>
                <w:sz w:val="18"/>
                <w:szCs w:val="18"/>
              </w:rPr>
              <w:t xml:space="preserve">1.05</w:t>
            </w:r>
          </w:p>
        </w:tc>
        <w:tc>
          <w:tcPr>
            <w:tcW w:type="dxa" w:w="12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color w:val="1a1a1a"/>
                <w:sz w:val="18"/>
                <w:szCs w:val="18"/>
              </w:rPr>
              <w:t xml:space="preserve">6 of 6</w:t>
            </w:r>
          </w:p>
        </w:tc>
        <w:tc>
          <w:tcPr>
            <w:tcW w:type="dxa" w:w="17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color w:val="1a1a1a"/>
                <w:sz w:val="18"/>
                <w:szCs w:val="18"/>
              </w:rPr>
              <w:t xml:space="preserve">yes (0.652)</w:t>
            </w:r>
          </w:p>
        </w:tc>
      </w:tr>
      <w:tr>
        <w:tc>
          <w:tcPr>
            <w:tcW w:type="dxa" w:w="1200"/>
            <w:shd w:fill="f7f8fa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color w:val="1a1a1a"/>
                <w:sz w:val="18"/>
                <w:szCs w:val="18"/>
              </w:rPr>
              <w:t xml:space="preserve">mid</w:t>
            </w:r>
          </w:p>
        </w:tc>
        <w:tc>
          <w:tcPr>
            <w:tcW w:type="dxa" w:w="1180"/>
            <w:shd w:fill="f7f8fa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color w:val="1a1a1a"/>
                <w:sz w:val="18"/>
                <w:szCs w:val="18"/>
              </w:rPr>
              <w:t xml:space="preserve">+0.850</w:t>
            </w:r>
          </w:p>
        </w:tc>
        <w:tc>
          <w:tcPr>
            <w:tcW w:type="dxa" w:w="1900"/>
            <w:shd w:fill="f7f8fa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color w:val="1a1a1a"/>
                <w:sz w:val="18"/>
                <w:szCs w:val="18"/>
              </w:rPr>
              <w:t xml:space="preserve">0.595 to 1.105</w:t>
            </w:r>
          </w:p>
        </w:tc>
        <w:tc>
          <w:tcPr>
            <w:tcW w:type="dxa" w:w="1180"/>
            <w:shd w:fill="f7f8fa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color w:val="1a1a1a"/>
                <w:sz w:val="18"/>
                <w:szCs w:val="18"/>
              </w:rPr>
              <w:t xml:space="preserve">+0.206</w:t>
            </w:r>
          </w:p>
        </w:tc>
        <w:tc>
          <w:tcPr>
            <w:tcW w:type="dxa" w:w="1000"/>
            <w:shd w:fill="f7f8fa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color w:val="1a1a1a"/>
                <w:sz w:val="18"/>
                <w:szCs w:val="18"/>
              </w:rPr>
              <w:t xml:space="preserve">1.06</w:t>
            </w:r>
          </w:p>
        </w:tc>
        <w:tc>
          <w:tcPr>
            <w:tcW w:type="dxa" w:w="1200"/>
            <w:shd w:fill="f7f8fa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color w:val="1a1a1a"/>
                <w:sz w:val="18"/>
                <w:szCs w:val="18"/>
              </w:rPr>
              <w:t xml:space="preserve">3 of 6</w:t>
            </w:r>
          </w:p>
        </w:tc>
        <w:tc>
          <w:tcPr>
            <w:tcW w:type="dxa" w:w="1700"/>
            <w:shd w:fill="f7f8fa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color w:val="1a1a1a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2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color w:val="1a1a1a"/>
                <w:sz w:val="18"/>
                <w:szCs w:val="18"/>
              </w:rPr>
              <w:t xml:space="preserve">high</w:t>
            </w:r>
          </w:p>
        </w:tc>
        <w:tc>
          <w:tcPr>
            <w:tcW w:type="dxa" w:w="118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color w:val="1a1a1a"/>
                <w:sz w:val="18"/>
                <w:szCs w:val="18"/>
              </w:rPr>
              <w:t xml:space="preserve">+0.652</w:t>
            </w:r>
          </w:p>
        </w:tc>
        <w:tc>
          <w:tcPr>
            <w:tcW w:type="dxa" w:w="19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color w:val="1a1a1a"/>
                <w:sz w:val="18"/>
                <w:szCs w:val="18"/>
              </w:rPr>
              <w:t xml:space="preserve">0.570 to 0.735</w:t>
            </w:r>
          </w:p>
        </w:tc>
        <w:tc>
          <w:tcPr>
            <w:tcW w:type="dxa" w:w="118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color w:val="1a1a1a"/>
                <w:sz w:val="18"/>
                <w:szCs w:val="18"/>
              </w:rPr>
              <w:t xml:space="preserve">+0.403</w:t>
            </w:r>
          </w:p>
        </w:tc>
        <w:tc>
          <w:tcPr>
            <w:tcW w:type="dxa" w:w="1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color w:val="1a1a1a"/>
                <w:sz w:val="18"/>
                <w:szCs w:val="18"/>
              </w:rPr>
              <w:t xml:space="preserve">1.06</w:t>
            </w:r>
          </w:p>
        </w:tc>
        <w:tc>
          <w:tcPr>
            <w:tcW w:type="dxa" w:w="12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color w:val="1a1a1a"/>
                <w:sz w:val="18"/>
                <w:szCs w:val="18"/>
              </w:rPr>
              <w:t xml:space="preserve">3 of 6</w:t>
            </w:r>
          </w:p>
        </w:tc>
        <w:tc>
          <w:tcPr>
            <w:tcW w:type="dxa" w:w="17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color w:val="1a1a1a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200"/>
            <w:shd w:fill="f7f8fa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color w:val="1a1a1a"/>
                <w:sz w:val="18"/>
                <w:szCs w:val="18"/>
              </w:rPr>
              <w:t xml:space="preserve">pooled</w:t>
            </w:r>
          </w:p>
        </w:tc>
        <w:tc>
          <w:tcPr>
            <w:tcW w:type="dxa" w:w="1180"/>
            <w:shd w:fill="f7f8fa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color w:val="1a1a1a"/>
                <w:sz w:val="18"/>
                <w:szCs w:val="18"/>
              </w:rPr>
              <w:t xml:space="preserve">+0.937</w:t>
            </w:r>
          </w:p>
        </w:tc>
        <w:tc>
          <w:tcPr>
            <w:tcW w:type="dxa" w:w="1900"/>
            <w:shd w:fill="f7f8fa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color w:val="1a1a1a"/>
                <w:sz w:val="18"/>
                <w:szCs w:val="18"/>
              </w:rPr>
              <w:t xml:space="preserve">0.529 to 1.420</w:t>
            </w:r>
          </w:p>
        </w:tc>
        <w:tc>
          <w:tcPr>
            <w:tcW w:type="dxa" w:w="1180"/>
            <w:shd w:fill="f7f8fa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color w:val="1a1a1a"/>
                <w:sz w:val="18"/>
                <w:szCs w:val="18"/>
              </w:rPr>
              <w:t xml:space="preserve">+0.129</w:t>
            </w:r>
          </w:p>
        </w:tc>
        <w:tc>
          <w:tcPr>
            <w:tcW w:type="dxa" w:w="1000"/>
            <w:shd w:fill="f7f8fa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color w:val="1a1a1a"/>
                <w:sz w:val="18"/>
                <w:szCs w:val="18"/>
              </w:rPr>
              <w:t xml:space="preserve">1.07</w:t>
            </w:r>
          </w:p>
        </w:tc>
        <w:tc>
          <w:tcPr>
            <w:tcW w:type="dxa" w:w="1200"/>
            <w:shd w:fill="f7f8fa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color w:val="1a1a1a"/>
                <w:sz w:val="18"/>
                <w:szCs w:val="18"/>
              </w:rPr>
              <w:t xml:space="preserve">4 of 6</w:t>
            </w:r>
          </w:p>
        </w:tc>
        <w:tc>
          <w:tcPr>
            <w:tcW w:type="dxa" w:w="1700"/>
            <w:shd w:fill="f7f8fa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color w:val="1a1a1a"/>
                <w:sz w:val="18"/>
                <w:szCs w:val="18"/>
              </w:rPr>
              <w:t xml:space="preserve">no</w:t>
            </w:r>
          </w:p>
        </w:tc>
      </w:tr>
    </w:tbl>
    <w:p>
      <w:pPr>
        <w:spacing w:after="170"/>
        <w:jc w:val="center"/>
      </w:pPr>
      <w:r>
        <w:rPr>
          <w:i/>
          <w:iCs/>
          <w:color w:val="5a5a5a"/>
          <w:sz w:val="17"/>
          <w:szCs w:val="17"/>
        </w:rPr>
        <w:t xml:space="preserve">"Survives noise" is the Monte-Carlo re-fit propagating measured seed noise. Low: 43% of draws refused, median α = 0.652. Mid and pooled: 4000/4000 refused. High: 3998/4000.</w:t>
      </w:r>
    </w:p>
    <w:p>
      <w:pPr>
        <w:spacing w:after="60" w:before="130" w:line="276"/>
      </w:pPr>
      <w:r>
        <w:rPr>
          <w:b/>
          <w:bCs/>
          <w:color w:val="1a1a1a"/>
          <w:sz w:val="21"/>
          <w:szCs w:val="21"/>
        </w:rPr>
        <w:t xml:space="preserve">Table 3.  Best ΔE₀₀ by bucket, across the full 250× span.</w:t>
      </w:r>
    </w:p>
    <w:tbl>
      <w:tblPr>
        <w:tblW w:type="dxa" w:w="9360"/>
        <w:tblBorders>
          <w:top w:val="single" w:color="c9c9c9" w:sz="4"/>
          <w:left w:val="none"/>
          <w:bottom w:val="single" w:color="c9c9c9" w:sz="4"/>
          <w:right w:val="none"/>
          <w:insideH w:val="single" w:color="e3e3e3" w:sz="2"/>
          <w:insideV w:val="none"/>
        </w:tblBorders>
      </w:tblPr>
      <w:tblGrid>
        <w:gridCol w:w="1180"/>
        <w:gridCol w:w="1130"/>
        <w:gridCol w:w="1130"/>
        <w:gridCol w:w="1130"/>
        <w:gridCol w:w="1130"/>
        <w:gridCol w:w="1130"/>
        <w:gridCol w:w="1130"/>
        <w:gridCol w:w="1400"/>
      </w:tblGrid>
      <w:tr>
        <w:trPr>
          <w:tblHeader/>
        </w:trPr>
        <w:tc>
          <w:tcPr>
            <w:tcW w:type="dxa" w:w="1180"/>
            <w:shd w:fill="eef2f7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Bucket</w:t>
            </w:r>
          </w:p>
        </w:tc>
        <w:tc>
          <w:tcPr>
            <w:tcW w:type="dxa" w:w="1130"/>
            <w:shd w:fill="eef2f7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1.0e14</w:t>
            </w:r>
          </w:p>
        </w:tc>
        <w:tc>
          <w:tcPr>
            <w:tcW w:type="dxa" w:w="1130"/>
            <w:shd w:fill="eef2f7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3.0e14</w:t>
            </w:r>
          </w:p>
        </w:tc>
        <w:tc>
          <w:tcPr>
            <w:tcW w:type="dxa" w:w="1130"/>
            <w:shd w:fill="eef2f7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9.1e14</w:t>
            </w:r>
          </w:p>
        </w:tc>
        <w:tc>
          <w:tcPr>
            <w:tcW w:type="dxa" w:w="1130"/>
            <w:shd w:fill="eef2f7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2.8e15</w:t>
            </w:r>
          </w:p>
        </w:tc>
        <w:tc>
          <w:tcPr>
            <w:tcW w:type="dxa" w:w="1130"/>
            <w:shd w:fill="eef2f7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8.3e15</w:t>
            </w:r>
          </w:p>
        </w:tc>
        <w:tc>
          <w:tcPr>
            <w:tcW w:type="dxa" w:w="1130"/>
            <w:shd w:fill="eef2f7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2.5e16</w:t>
            </w:r>
          </w:p>
        </w:tc>
        <w:tc>
          <w:tcPr>
            <w:tcW w:type="dxa" w:w="1400"/>
            <w:shd w:fill="eef2f7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best / worst</w:t>
            </w:r>
          </w:p>
        </w:tc>
      </w:tr>
      <w:tr>
        <w:tc>
          <w:tcPr>
            <w:tcW w:type="dxa" w:w="118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color w:val="1a1a1a"/>
                <w:sz w:val="18"/>
                <w:szCs w:val="18"/>
              </w:rPr>
              <w:t xml:space="preserve">low</w:t>
            </w:r>
          </w:p>
        </w:tc>
        <w:tc>
          <w:tcPr>
            <w:tcW w:type="dxa" w:w="113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color w:val="1a1a1a"/>
                <w:sz w:val="18"/>
                <w:szCs w:val="18"/>
              </w:rPr>
              <w:t xml:space="preserve">6.86</w:t>
            </w:r>
          </w:p>
        </w:tc>
        <w:tc>
          <w:tcPr>
            <w:tcW w:type="dxa" w:w="113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color w:val="1a1a1a"/>
                <w:sz w:val="18"/>
                <w:szCs w:val="18"/>
              </w:rPr>
              <w:t xml:space="preserve">6.14</w:t>
            </w:r>
          </w:p>
        </w:tc>
        <w:tc>
          <w:tcPr>
            <w:tcW w:type="dxa" w:w="113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color w:val="1a1a1a"/>
                <w:sz w:val="18"/>
                <w:szCs w:val="18"/>
              </w:rPr>
              <w:t xml:space="preserve">5.62</w:t>
            </w:r>
          </w:p>
        </w:tc>
        <w:tc>
          <w:tcPr>
            <w:tcW w:type="dxa" w:w="113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color w:val="1a1a1a"/>
                <w:sz w:val="18"/>
                <w:szCs w:val="18"/>
              </w:rPr>
              <w:t xml:space="preserve">5.05</w:t>
            </w:r>
          </w:p>
        </w:tc>
        <w:tc>
          <w:tcPr>
            <w:tcW w:type="dxa" w:w="113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color w:val="1a1a1a"/>
                <w:sz w:val="18"/>
                <w:szCs w:val="18"/>
              </w:rPr>
              <w:t xml:space="preserve">5.52</w:t>
            </w:r>
          </w:p>
        </w:tc>
        <w:tc>
          <w:tcPr>
            <w:tcW w:type="dxa" w:w="113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color w:val="1a1a1a"/>
                <w:sz w:val="18"/>
                <w:szCs w:val="18"/>
              </w:rPr>
              <w:t xml:space="preserve">6.02</w:t>
            </w:r>
          </w:p>
        </w:tc>
        <w:tc>
          <w:tcPr>
            <w:tcW w:type="dxa" w:w="14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color w:val="1a1a1a"/>
                <w:sz w:val="18"/>
                <w:szCs w:val="18"/>
              </w:rPr>
              <w:t xml:space="preserve">1.36×</w:t>
            </w:r>
          </w:p>
        </w:tc>
      </w:tr>
      <w:tr>
        <w:tc>
          <w:tcPr>
            <w:tcW w:type="dxa" w:w="1180"/>
            <w:shd w:fill="f7f8fa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color w:val="1a1a1a"/>
                <w:sz w:val="18"/>
                <w:szCs w:val="18"/>
              </w:rPr>
              <w:t xml:space="preserve">mid</w:t>
            </w:r>
          </w:p>
        </w:tc>
        <w:tc>
          <w:tcPr>
            <w:tcW w:type="dxa" w:w="1130"/>
            <w:shd w:fill="f7f8fa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color w:val="1a1a1a"/>
                <w:sz w:val="18"/>
                <w:szCs w:val="18"/>
              </w:rPr>
              <w:t xml:space="preserve">15.27</w:t>
            </w:r>
          </w:p>
        </w:tc>
        <w:tc>
          <w:tcPr>
            <w:tcW w:type="dxa" w:w="1130"/>
            <w:shd w:fill="f7f8fa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color w:val="1a1a1a"/>
                <w:sz w:val="18"/>
                <w:szCs w:val="18"/>
              </w:rPr>
              <w:t xml:space="preserve">12.43</w:t>
            </w:r>
          </w:p>
        </w:tc>
        <w:tc>
          <w:tcPr>
            <w:tcW w:type="dxa" w:w="1130"/>
            <w:shd w:fill="f7f8fa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color w:val="1a1a1a"/>
                <w:sz w:val="18"/>
                <w:szCs w:val="18"/>
              </w:rPr>
              <w:t xml:space="preserve">12.16</w:t>
            </w:r>
          </w:p>
        </w:tc>
        <w:tc>
          <w:tcPr>
            <w:tcW w:type="dxa" w:w="1130"/>
            <w:shd w:fill="f7f8fa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color w:val="1a1a1a"/>
                <w:sz w:val="18"/>
                <w:szCs w:val="18"/>
              </w:rPr>
              <w:t xml:space="preserve">12.04</w:t>
            </w:r>
          </w:p>
        </w:tc>
        <w:tc>
          <w:tcPr>
            <w:tcW w:type="dxa" w:w="1130"/>
            <w:shd w:fill="f7f8fa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color w:val="1a1a1a"/>
                <w:sz w:val="18"/>
                <w:szCs w:val="18"/>
              </w:rPr>
              <w:t xml:space="preserve">12.89</w:t>
            </w:r>
          </w:p>
        </w:tc>
        <w:tc>
          <w:tcPr>
            <w:tcW w:type="dxa" w:w="1130"/>
            <w:shd w:fill="f7f8fa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color w:val="1a1a1a"/>
                <w:sz w:val="18"/>
                <w:szCs w:val="18"/>
              </w:rPr>
              <w:t xml:space="preserve">12.39</w:t>
            </w:r>
          </w:p>
        </w:tc>
        <w:tc>
          <w:tcPr>
            <w:tcW w:type="dxa" w:w="1400"/>
            <w:shd w:fill="f7f8fa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color w:val="1a1a1a"/>
                <w:sz w:val="18"/>
                <w:szCs w:val="18"/>
              </w:rPr>
              <w:t xml:space="preserve">1.27×</w:t>
            </w:r>
          </w:p>
        </w:tc>
      </w:tr>
      <w:tr>
        <w:tc>
          <w:tcPr>
            <w:tcW w:type="dxa" w:w="118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color w:val="1a1a1a"/>
                <w:sz w:val="18"/>
                <w:szCs w:val="18"/>
              </w:rPr>
              <w:t xml:space="preserve">high</w:t>
            </w:r>
          </w:p>
        </w:tc>
        <w:tc>
          <w:tcPr>
            <w:tcW w:type="dxa" w:w="113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color w:val="1a1a1a"/>
                <w:sz w:val="18"/>
                <w:szCs w:val="18"/>
              </w:rPr>
              <w:t xml:space="preserve">21.51</w:t>
            </w:r>
          </w:p>
        </w:tc>
        <w:tc>
          <w:tcPr>
            <w:tcW w:type="dxa" w:w="113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color w:val="1a1a1a"/>
                <w:sz w:val="18"/>
                <w:szCs w:val="18"/>
              </w:rPr>
              <w:t xml:space="preserve">18.83</w:t>
            </w:r>
          </w:p>
        </w:tc>
        <w:tc>
          <w:tcPr>
            <w:tcW w:type="dxa" w:w="113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color w:val="1a1a1a"/>
                <w:sz w:val="18"/>
                <w:szCs w:val="18"/>
              </w:rPr>
              <w:t xml:space="preserve">18.12</w:t>
            </w:r>
          </w:p>
        </w:tc>
        <w:tc>
          <w:tcPr>
            <w:tcW w:type="dxa" w:w="113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color w:val="1a1a1a"/>
                <w:sz w:val="18"/>
                <w:szCs w:val="18"/>
              </w:rPr>
              <w:t xml:space="preserve">18.79</w:t>
            </w:r>
          </w:p>
        </w:tc>
        <w:tc>
          <w:tcPr>
            <w:tcW w:type="dxa" w:w="113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color w:val="1a1a1a"/>
                <w:sz w:val="18"/>
                <w:szCs w:val="18"/>
              </w:rPr>
              <w:t xml:space="preserve">20.21</w:t>
            </w:r>
          </w:p>
        </w:tc>
        <w:tc>
          <w:tcPr>
            <w:tcW w:type="dxa" w:w="113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color w:val="1a1a1a"/>
                <w:sz w:val="18"/>
                <w:szCs w:val="18"/>
              </w:rPr>
              <w:t xml:space="preserve">21.55</w:t>
            </w:r>
          </w:p>
        </w:tc>
        <w:tc>
          <w:tcPr>
            <w:tcW w:type="dxa" w:w="14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color w:val="1a1a1a"/>
                <w:sz w:val="18"/>
                <w:szCs w:val="18"/>
              </w:rPr>
              <w:t xml:space="preserve">1.19×</w:t>
            </w:r>
          </w:p>
        </w:tc>
      </w:tr>
    </w:tbl>
    <w:p>
      <w:pPr>
        <w:spacing w:after="170"/>
        <w:jc w:val="center"/>
      </w:pPr>
      <w:r>
        <w:rPr>
          <w:i/>
          <w:iCs/>
          <w:color w:val="5a5a5a"/>
          <w:sz w:val="17"/>
          <w:szCs w:val="17"/>
        </w:rPr>
        <w:t xml:space="preserve">High chroma never gets below 18 ΔE, which is not a usable design, and moves 1.19× across 250× in compute.</w:t>
      </w:r>
    </w:p>
    <w:p>
      <w:pPr>
        <w:pStyle w:val="Heading2"/>
      </w:pPr>
      <w:r>
        <w:t xml:space="preserve">The M factor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color w:val="1a1a1a"/>
          <w:sz w:val="21"/>
          <w:szCs w:val="21"/>
        </w:rPr>
        <w:t xml:space="preserve">pool_size is drawn per example from [4, 32], stacks are at most 10 layers, thicknesses live on a 2 nm grid. The reachable colour set is </w:t>
      </w:r>
      <w:r>
        <w:rPr>
          <w:b/>
          <w:bCs/>
          <w:color w:val="1a1a1a"/>
          <w:sz w:val="21"/>
          <w:szCs w:val="21"/>
        </w:rPr>
        <w:t xml:space="preserve">finite and fixed by the pool</w:t>
      </w:r>
      <w:r>
        <w:rPr>
          <w:color w:val="1a1a1a"/>
          <w:sz w:val="21"/>
          <w:szCs w:val="21"/>
        </w:rPr>
        <w:t xml:space="preserve">, not by the model.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color w:val="1a1a1a"/>
          <w:sz w:val="21"/>
          <w:szCs w:val="21"/>
        </w:rPr>
        <w:t xml:space="preserve">A floor flattens the parabola: once the model finds the near-pool-optimal stack, extra N buys nothing and N* stops being identified. That is Figure 1.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color w:val="1a1a1a"/>
          <w:sz w:val="21"/>
          <w:szCs w:val="21"/>
        </w:rPr>
        <w:t xml:space="preserve">A floor should be chroma-dependent, and is. Low chroma is the only bucket with a clean, noise-robust law; high chroma is pinned at 18 to 21.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color w:val="1a1a1a"/>
          <w:sz w:val="21"/>
          <w:szCs w:val="21"/>
        </w:rPr>
        <w:t xml:space="preserve">So the pooled curve is a </w:t>
      </w:r>
      <w:r>
        <w:rPr>
          <w:b/>
          <w:bCs/>
          <w:color w:val="1a1a1a"/>
          <w:sz w:val="21"/>
          <w:szCs w:val="21"/>
        </w:rPr>
        <w:t xml:space="preserve">mixture</w:t>
      </w:r>
      <w:r>
        <w:rPr>
          <w:color w:val="1a1a1a"/>
          <w:sz w:val="21"/>
          <w:szCs w:val="21"/>
        </w:rPr>
        <w:t xml:space="preserve"> of a still-improving component and a pinned one, and mixtures do not have clean power laws.</w:t>
      </w:r>
    </w:p>
    <w:p>
      <w:pPr>
        <w:pStyle w:val="Heading2"/>
      </w:pPr>
      <w:r>
        <w:t xml:space="preserve">The alternative</w:t>
      </w:r>
    </w:p>
    <w:p>
      <w:pPr>
        <w:spacing w:after="120" w:before="0" w:line="276"/>
      </w:pPr>
      <w:r>
        <w:rPr>
          <w:color w:val="1a1a1a"/>
          <w:sz w:val="21"/>
          <w:szCs w:val="21"/>
        </w:rPr>
        <w:t xml:space="preserve">Not the pool but the degeneracy: the map from (target Lab, pool) to stack is massively one-to-many, and a point-estimate decoder on a token-level objective cannot rank that set well enough for its argmax to be good. </w:t>
      </w:r>
      <w:r>
        <w:rPr>
          <w:b/>
          <w:bCs/>
          <w:color w:val="1a1a1a"/>
          <w:sz w:val="21"/>
          <w:szCs w:val="21"/>
        </w:rPr>
        <w:t xml:space="preserve">The two differ on one testable thing: whether enlarging the pool moves the floor.</w:t>
      </w:r>
    </w:p>
    <w:p>
      <w:pPr>
        <w:spacing w:after="120" w:before="0" w:line="276"/>
      </w:pPr>
      <w:r>
        <w:rPr>
          <w:b/>
          <w:bCs/>
          <w:color w:val="1a1a1a"/>
          <w:sz w:val="21"/>
          <w:szCs w:val="21"/>
        </w:rPr>
        <w:t xml:space="preserve">Test: </w:t>
      </w:r>
      <w:r>
        <w:rPr>
          <w:color w:val="1a1a1a"/>
          <w:sz w:val="21"/>
          <w:szCs w:val="21"/>
        </w:rPr>
        <w:t xml:space="preserve">for ~2000 val examples compute the best ΔE achievable given that example's own pool, using </w:t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optical_sim.py</w:t>
      </w:r>
      <w:r>
        <w:rPr>
          <w:color w:val="1a1a1a"/>
          <w:sz w:val="21"/>
          <w:szCs w:val="21"/>
        </w:rPr>
        <w:t xml:space="preserve"> and </w:t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thickness_optimizer.py</w:t>
      </w:r>
      <w:r>
        <w:rPr>
          <w:color w:val="1a1a1a"/>
          <w:sz w:val="21"/>
          <w:szCs w:val="21"/>
        </w:rPr>
        <w:t xml:space="preserve">, then plot model ΔE against it by pool_size and chroma. M factor says the gap has already closed at large C; degeneracy says the gap is everything and never closes. A few CPU hours.</w:t>
      </w:r>
    </w:p>
    <w:p>
      <w:r>
        <w:br w:type="page"/>
      </w:r>
    </w:p>
    <w:p>
      <w:pPr>
        <w:pStyle w:val="Heading1"/>
      </w:pPr>
      <w:r>
        <w:t xml:space="preserve">7.  Learning rate: what we fit, and what I propose fitting instead</w:t>
      </w:r>
    </w:p>
    <w:p>
      <w:pPr>
        <w:pStyle w:val="Heading2"/>
      </w:pPr>
      <w:r>
        <w:t xml:space="preserve">7.1  What the sweep does now</w:t>
      </w:r>
    </w:p>
    <w:p>
      <w:pPr>
        <w:spacing w:after="120" w:before="0" w:line="276"/>
      </w:pPr>
      <w:r>
        <w:rPr>
          <w:color w:val="1a1a1a"/>
          <w:sz w:val="21"/>
          <w:szCs w:val="21"/>
        </w:rPr>
        <w:t xml:space="preserve">Porian correction #3 is to re-tune LR at every scale rather than inherit one global value. We apply it through a fitted law rather than a sweep per config: </w:t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fit_lr_law()</w:t>
      </w:r>
      <w:r>
        <w:rPr>
          <w:color w:val="1a1a1a"/>
          <w:sz w:val="21"/>
          <w:szCs w:val="21"/>
        </w:rPr>
        <w:t xml:space="preserve"> in </w:t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src/scaling/configs.py</w:t>
      </w:r>
      <w:r>
        <w:rPr>
          <w:color w:val="1a1a1a"/>
          <w:sz w:val="21"/>
          <w:szCs w:val="21"/>
        </w:rPr>
        <w:t xml:space="preserve"> fits </w:t>
      </w:r>
      <w:r>
        <w:rPr>
          <w:b/>
          <w:bCs/>
          <w:color w:val="1a1a1a"/>
          <w:sz w:val="21"/>
          <w:szCs w:val="21"/>
        </w:rPr>
        <w:t xml:space="preserve">log lr = a + b·log N</w:t>
      </w:r>
      <w:r>
        <w:rPr>
          <w:color w:val="1a1a1a"/>
          <w:sz w:val="21"/>
          <w:szCs w:val="21"/>
        </w:rPr>
        <w:t xml:space="preserve"> to three measured optima, giving </w:t>
      </w:r>
      <w:r>
        <w:rPr>
          <w:b/>
          <w:bCs/>
          <w:color w:val="1a1a1a"/>
          <w:sz w:val="21"/>
          <w:szCs w:val="21"/>
        </w:rPr>
        <w:t xml:space="preserve">lr(N) = 1.573 · N</w:t>
      </w:r>
      <w:r>
        <w:rPr>
          <w:color w:val="1a1a1a"/>
          <w:sz w:val="21"/>
          <w:szCs w:val="21"/>
          <w:vertAlign w:val="superscript"/>
        </w:rPr>
        <w:t xml:space="preserve">−0.567</w:t>
      </w:r>
      <w:r>
        <w:rPr>
          <w:color w:val="1a1a1a"/>
          <w:sz w:val="21"/>
          <w:szCs w:val="21"/>
        </w:rPr>
        <w:t xml:space="preserve">. Across the ladder's 220× range in N that runs from 2.58e-3 to 1.21e-4. It is a real improvement on the alternative: the production value of 6e-5 left every probe model untrained.</w:t>
      </w:r>
    </w:p>
    <w:p>
      <w:pPr>
        <w:pStyle w:val="Heading2"/>
      </w:pPr>
      <w:r>
        <w:t xml:space="preserve">7.2  What the law rests on</w:t>
      </w:r>
    </w:p>
    <w:p>
      <w:pPr>
        <w:spacing w:after="50" w:before="90"/>
        <w:jc w:val="center"/>
      </w:pPr>
      <w:r>
        <w:drawing>
          <wp:inline distT="0" distB="0" distL="0" distR="0">
            <wp:extent cx="5943600" cy="2276475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70"/>
        <w:jc w:val="center"/>
      </w:pPr>
      <w:r>
        <w:rPr>
          <w:i/>
          <w:iCs/>
          <w:color w:val="5a5a5a"/>
          <w:sz w:val="17"/>
          <w:szCs w:val="17"/>
        </w:rPr>
        <w:t xml:space="preserve">Figure 4.  A: the three measured optima, with every LR each grid tried shown hollow. B: the 48 sweep runs in (D, N); a horizontal line joins runs that share an N and therefore share an LR.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color w:val="1a1a1a"/>
          <w:sz w:val="21"/>
          <w:szCs w:val="21"/>
        </w:rPr>
        <w:t xml:space="preserve">Two of the three points come from a </w:t>
      </w:r>
      <w:r>
        <w:rPr>
          <w:b/>
          <w:bCs/>
          <w:color w:val="1a1a1a"/>
          <w:sz w:val="21"/>
          <w:szCs w:val="21"/>
        </w:rPr>
        <w:t xml:space="preserve">3-point</w:t>
      </w:r>
      <w:r>
        <w:rPr>
          <w:color w:val="1a1a1a"/>
          <w:sz w:val="21"/>
          <w:szCs w:val="21"/>
        </w:rPr>
        <w:t xml:space="preserve"> grid, 1e-4 to 3e-3, whose only candidates were {1e-4, 5.48e-4, 3e-3}. </w:t>
      </w:r>
      <w:r>
        <w:rPr>
          <w:b/>
          <w:bCs/>
          <w:color w:val="1a1a1a"/>
          <w:sz w:val="21"/>
          <w:szCs w:val="21"/>
        </w:rPr>
        <w:t xml:space="preserve">Both sizes returned the middle one</w:t>
      </w:r>
      <w:r>
        <w:rPr>
          <w:color w:val="1a1a1a"/>
          <w:sz w:val="21"/>
          <w:szCs w:val="21"/>
        </w:rPr>
        <w:t xml:space="preserve">, so that measurement carries no size dependence at all.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color w:val="1a1a1a"/>
          <w:sz w:val="21"/>
          <w:szCs w:val="21"/>
        </w:rPr>
        <w:t xml:space="preserve">The d512 point comes from a different 4-point grid, 1e-4 to 5e-4, and returned 1.00e-4, which is that grid's lower bound. </w:t>
      </w:r>
      <w:r>
        <w:rPr>
          <w:b/>
          <w:bCs/>
          <w:color w:val="1a1a1a"/>
          <w:sz w:val="21"/>
          <w:szCs w:val="21"/>
        </w:rPr>
        <w:t xml:space="preserve">The optimum was never bracketed</w:t>
      </w:r>
      <w:r>
        <w:rPr>
          <w:color w:val="1a1a1a"/>
          <w:sz w:val="21"/>
          <w:szCs w:val="21"/>
        </w:rPr>
        <w:t xml:space="preserve">; the true one may sit below it.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color w:val="1a1a1a"/>
          <w:sz w:val="21"/>
          <w:szCs w:val="21"/>
        </w:rPr>
        <w:t xml:space="preserve">So the slope rests entirely on one unbracketed boundary value. Leave-one-out shows the cost: dropping d256 gives b = −0.54, dropping d128 gives b = −0.94, which is </w:t>
      </w:r>
      <w:r>
        <w:rPr>
          <w:b/>
          <w:bCs/>
          <w:color w:val="1a1a1a"/>
          <w:sz w:val="21"/>
          <w:szCs w:val="21"/>
        </w:rPr>
        <w:t xml:space="preserve">8.4×</w:t>
      </w:r>
      <w:r>
        <w:rPr>
          <w:color w:val="1a1a1a"/>
          <w:sz w:val="21"/>
          <w:szCs w:val="21"/>
        </w:rPr>
        <w:t xml:space="preserve"> in the LR handed to the smallest model in the sweep.</w:t>
      </w:r>
    </w:p>
    <w:p>
      <w:pPr>
        <w:pStyle w:val="Heading2"/>
      </w:pPr>
      <w:r>
        <w:t xml:space="preserve">7.3  The larger gap: there is no D term</w:t>
      </w:r>
    </w:p>
    <w:p>
      <w:pPr>
        <w:spacing w:after="120" w:before="0" w:line="276"/>
      </w:pPr>
      <w:r>
        <w:rPr>
          <w:color w:val="1a1a1a"/>
          <w:sz w:val="21"/>
          <w:szCs w:val="21"/>
        </w:rPr>
        <w:t xml:space="preserve">All three measurements were taken at </w:t>
      </w:r>
      <w:r>
        <w:rPr>
          <w:b/>
          <w:bCs/>
          <w:color w:val="1a1a1a"/>
          <w:sz w:val="21"/>
          <w:szCs w:val="21"/>
        </w:rPr>
        <w:t xml:space="preserve">one dataset size, D = 614,400 examples</w:t>
      </w:r>
      <w:r>
        <w:rPr>
          <w:color w:val="1a1a1a"/>
          <w:sz w:val="21"/>
          <w:szCs w:val="21"/>
        </w:rPr>
        <w:t xml:space="preserve">. </w:t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lr_for()</w:t>
      </w:r>
      <w:r>
        <w:rPr>
          <w:color w:val="1a1a1a"/>
          <w:sz w:val="21"/>
          <w:szCs w:val="21"/>
        </w:rPr>
        <w:t xml:space="preserve"> takes only N, so LR is constant along lines of constant N (Figure 4B). Runs at a fixed N span up to </w:t>
      </w:r>
      <w:r>
        <w:rPr>
          <w:b/>
          <w:bCs/>
          <w:color w:val="1a1a1a"/>
          <w:sz w:val="21"/>
          <w:szCs w:val="21"/>
        </w:rPr>
        <w:t xml:space="preserve">9× in D</w:t>
      </w:r>
      <w:r>
        <w:rPr>
          <w:color w:val="1a1a1a"/>
          <w:sz w:val="21"/>
          <w:szCs w:val="21"/>
        </w:rPr>
        <w:t xml:space="preserve"> (N = 1.47M trains on 2.5M, 7.4M and 22.4M examples, all at lr = 4.98e-4), and the largest D in the sweep is </w:t>
      </w:r>
      <w:r>
        <w:rPr>
          <w:b/>
          <w:bCs/>
          <w:color w:val="1a1a1a"/>
          <w:sz w:val="21"/>
          <w:szCs w:val="21"/>
        </w:rPr>
        <w:t xml:space="preserve">95×</w:t>
      </w:r>
      <w:r>
        <w:rPr>
          <w:color w:val="1a1a1a"/>
          <w:sz w:val="21"/>
          <w:szCs w:val="21"/>
        </w:rPr>
        <w:t xml:space="preserve"> the tuned one.</w:t>
      </w:r>
    </w:p>
    <w:p>
      <w:pPr>
        <w:spacing w:after="120" w:before="0" w:line="276"/>
      </w:pPr>
      <w:r>
        <w:rPr>
          <w:color w:val="1a1a1a"/>
          <w:sz w:val="21"/>
          <w:szCs w:val="21"/>
        </w:rPr>
        <w:t xml:space="preserve">The repo already asserts the opposite premise. </w:t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scripts/fit_lr_scaling.py</w:t>
      </w:r>
      <w:r>
        <w:rPr>
          <w:color w:val="1a1a1a"/>
          <w:sz w:val="21"/>
          <w:szCs w:val="21"/>
        </w:rPr>
        <w:t xml:space="preserve"> opens with: "optimal LR depends primarily on </w:t>
      </w:r>
      <w:r>
        <w:rPr>
          <w:b/>
          <w:bCs/>
          <w:color w:val="1a1a1a"/>
          <w:sz w:val="21"/>
          <w:szCs w:val="21"/>
        </w:rPr>
        <w:t xml:space="preserve">the total number of optimization steps</w:t>
      </w:r>
      <w:r>
        <w:rPr>
          <w:color w:val="1a1a1a"/>
          <w:sz w:val="21"/>
          <w:szCs w:val="21"/>
        </w:rPr>
        <w:t xml:space="preserve">", which is D / batch_size, and fits against </w:t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train_examples</w:t>
      </w:r>
      <w:r>
        <w:rPr>
          <w:color w:val="1a1a1a"/>
          <w:sz w:val="21"/>
          <w:szCs w:val="21"/>
        </w:rPr>
        <w:t xml:space="preserve">. </w:t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configs.py</w:t>
      </w:r>
      <w:r>
        <w:rPr>
          <w:color w:val="1a1a1a"/>
          <w:sz w:val="21"/>
          <w:szCs w:val="21"/>
        </w:rPr>
        <w:t xml:space="preserve"> fits against parameter count. Two different laws; we deployed the N one.</w:t>
      </w:r>
    </w:p>
    <w:p>
      <w:pPr>
        <w:spacing w:after="120" w:before="0" w:line="276"/>
      </w:pPr>
      <w:r>
        <w:rPr>
          <w:b/>
          <w:bCs/>
          <w:color w:val="1a1a1a"/>
          <w:sz w:val="21"/>
          <w:szCs w:val="21"/>
        </w:rPr>
        <w:t xml:space="preserve">Why this is live rather than pedantic. </w:t>
      </w:r>
      <w:r>
        <w:rPr>
          <w:color w:val="1a1a1a"/>
          <w:sz w:val="21"/>
          <w:szCs w:val="21"/>
        </w:rPr>
        <w:t xml:space="preserve">Within a rung C is fixed, so N and D are anti-correlated and a missing D term is largely absorbed by the N term. </w:t>
      </w:r>
      <w:r>
        <w:rPr>
          <w:b/>
          <w:bCs/>
          <w:color w:val="1a1a1a"/>
          <w:sz w:val="21"/>
          <w:szCs w:val="21"/>
        </w:rPr>
        <w:t xml:space="preserve">Across rungs it is not</w:t>
      </w:r>
      <w:r>
        <w:rPr>
          <w:color w:val="1a1a1a"/>
          <w:sz w:val="21"/>
          <w:szCs w:val="21"/>
        </w:rPr>
        <w:t xml:space="preserve">: the same N appears at three different D. If the optimum falls with D, as the cosine-schedule argument says, then at fixed N the large-budget runs train at too high an LR and the error grows with the budget. That would produce exactly what we see: degradation switching on at high C, on both metrics, unrelated to repetition.</w:t>
      </w:r>
    </w:p>
    <w:p>
      <w:pPr>
        <w:spacing w:after="120" w:before="0" w:line="276"/>
      </w:pPr>
      <w:r>
        <w:rPr>
          <w:color w:val="1a1a1a"/>
          <w:sz w:val="21"/>
          <w:szCs w:val="21"/>
        </w:rPr>
        <w:t xml:space="preserve">Probably not the whole story, since section 6's clean low-chroma law is hard to get out of it. But it is the only remaining explanation I cannot rule out, and it is cheap to rule out.</w:t>
      </w:r>
    </w:p>
    <w:p>
      <w:pPr>
        <w:pStyle w:val="Heading2"/>
      </w:pPr>
      <w:r>
        <w:t xml:space="preserve">7.4  Proposed experiment</w:t>
      </w:r>
    </w:p>
    <w:p>
      <w:pPr>
        <w:spacing w:after="120" w:before="0" w:line="276"/>
      </w:pPr>
      <w:r>
        <w:rPr>
          <w:color w:val="1a1a1a"/>
          <w:sz w:val="21"/>
          <w:szCs w:val="21"/>
        </w:rPr>
        <w:t xml:space="preserve">Replace the 1-D law with </w:t>
      </w:r>
      <w:r>
        <w:rPr>
          <w:b/>
          <w:bCs/>
          <w:color w:val="1a1a1a"/>
          <w:sz w:val="21"/>
          <w:szCs w:val="21"/>
        </w:rPr>
        <w:t xml:space="preserve">lr_opt(N, D) = A · N</w:t>
      </w:r>
      <w:r>
        <w:rPr>
          <w:color w:val="1a1a1a"/>
          <w:sz w:val="21"/>
          <w:szCs w:val="21"/>
          <w:vertAlign w:val="superscript"/>
        </w:rPr>
        <w:t xml:space="preserve">b</w:t>
      </w:r>
      <w:r>
        <w:rPr>
          <w:b/>
          <w:bCs/>
          <w:color w:val="1a1a1a"/>
          <w:sz w:val="21"/>
          <w:szCs w:val="21"/>
        </w:rPr>
        <w:t xml:space="preserve"> · D</w:t>
      </w:r>
      <w:r>
        <w:rPr>
          <w:color w:val="1a1a1a"/>
          <w:sz w:val="21"/>
          <w:szCs w:val="21"/>
          <w:vertAlign w:val="superscript"/>
        </w:rPr>
        <w:t xml:space="preserve">c</w:t>
      </w:r>
      <w:r>
        <w:rPr>
          <w:color w:val="1a1a1a"/>
          <w:sz w:val="21"/>
          <w:szCs w:val="21"/>
        </w:rPr>
        <w:t xml:space="preserve">, fitted where both axes move independently.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b/>
          <w:bCs/>
          <w:color w:val="1a1a1a"/>
          <w:sz w:val="21"/>
          <w:szCs w:val="21"/>
        </w:rPr>
        <w:t xml:space="preserve">Minimal, 3 sweeps, ~37 GPU-hours. </w:t>
      </w:r>
      <w:r>
        <w:rPr>
          <w:color w:val="1a1a1a"/>
          <w:sz w:val="21"/>
          <w:szCs w:val="21"/>
        </w:rPr>
        <w:t xml:space="preserve">Hold N at d128/se2 (0.77M, already measured) and run </w:t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lr_tuning.py --epochs 1</w:t>
      </w:r>
      <w:r>
        <w:rPr>
          <w:color w:val="1a1a1a"/>
          <w:sz w:val="21"/>
          <w:szCs w:val="21"/>
        </w:rPr>
        <w:t xml:space="preserve"> at D ∈ {0.6M, 4M, 24M}, bracketing the sweep's real D range. Measures c directly. If |c| is inside noise of zero, the current law is fine and we say so.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b/>
          <w:bCs/>
          <w:color w:val="1a1a1a"/>
          <w:sz w:val="21"/>
          <w:szCs w:val="21"/>
        </w:rPr>
        <w:t xml:space="preserve">Full, 3×3 grid, 9 sweeps, ~110 GPU-hours. </w:t>
      </w:r>
      <w:r>
        <w:rPr>
          <w:color w:val="1a1a1a"/>
          <w:sz w:val="21"/>
          <w:szCs w:val="21"/>
        </w:rPr>
        <w:t xml:space="preserve">Only if c is clearly nonzero. Gives b and c jointly and replaces </w:t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MEASURED_LR</w:t>
      </w:r>
      <w:r>
        <w:rPr>
          <w:color w:val="1a1a1a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b/>
          <w:bCs/>
          <w:color w:val="1a1a1a"/>
          <w:sz w:val="21"/>
          <w:szCs w:val="21"/>
        </w:rPr>
        <w:t xml:space="preserve">Either way, widen the grid and require bracketing. </w:t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--n-lrs 6 --lr-min 1e-5 --lr-max 5e-3</w:t>
      </w:r>
      <w:r>
        <w:rPr>
          <w:color w:val="1a1a1a"/>
          <w:sz w:val="21"/>
          <w:szCs w:val="21"/>
        </w:rPr>
        <w:t xml:space="preserve">, and reject any result landing on an endpoint.</w:t>
      </w:r>
    </w:p>
    <w:p>
      <w:pPr>
        <w:spacing w:after="120" w:before="80" w:line="276"/>
      </w:pPr>
      <w:r>
        <w:rPr>
          <w:b/>
          <w:bCs/>
          <w:color w:val="1a1a1a"/>
          <w:sz w:val="21"/>
          <w:szCs w:val="21"/>
        </w:rPr>
        <w:t xml:space="preserve">The question: </w:t>
      </w:r>
      <w:r>
        <w:rPr>
          <w:color w:val="1a1a1a"/>
          <w:sz w:val="21"/>
          <w:szCs w:val="21"/>
        </w:rPr>
        <w:t xml:space="preserve">is ~1.5 GPU-days worth spending to close this before we commit to "the ceiling is problem-side"? My read is yes for the 3-sweep version, since it is the last mechanism that could produce budget-dependent degradation, and a measured c ≈ 0 lets us state the conclusion cleanly. The 9-sweep version only if the cheap one comes back nonzero.</w:t>
      </w:r>
    </w:p>
    <w:p>
      <w:pPr>
        <w:pStyle w:val="Heading1"/>
      </w:pPr>
      <w:r>
        <w:t xml:space="preserve">8.  Caveats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color w:val="1a1a1a"/>
          <w:sz w:val="21"/>
          <w:szCs w:val="21"/>
        </w:rPr>
        <w:t xml:space="preserve">Pooled α is a point estimate. Bootstrap CI 0.53 to 1.42; the noise-propagated fit refuses all 4000 draws. Only the low bucket is robustly identified.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color w:val="1a1a1a"/>
          <w:sz w:val="21"/>
          <w:szCs w:val="21"/>
        </w:rPr>
        <w:t xml:space="preserve">Two of six rungs contribute nothing, so the pooled law rests on four points.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color w:val="1a1a1a"/>
          <w:sz w:val="21"/>
          <w:szCs w:val="21"/>
        </w:rPr>
        <w:t xml:space="preserve">Largest model here is 17.8M. The turn could be an artefact of the size window; the counter is that the same window gave a clean low-chroma law.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color w:val="1a1a1a"/>
          <w:sz w:val="21"/>
          <w:szCs w:val="21"/>
        </w:rPr>
        <w:t xml:space="preserve">Quote 10.04, not 9.17, at 2.75e15. The min over eight runs is biased low; 9.17 is one seed of a three-seed cluster averaging 10.04.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color w:val="1a1a1a"/>
          <w:sz w:val="21"/>
          <w:szCs w:val="21"/>
        </w:rPr>
        <w:t xml:space="preserve">LR has no D term. Unablated.</w:t>
      </w:r>
    </w:p>
    <w:p>
      <w:pPr>
        <w:pStyle w:val="Heading1"/>
      </w:pPr>
      <w:r>
        <w:t xml:space="preserve">9.  Takeaway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color w:val="1a1a1a"/>
          <w:sz w:val="21"/>
          <w:szCs w:val="21"/>
        </w:rPr>
        <w:t xml:space="preserve">48 runs, Porian-corrected, aspect-controlled, 40M corpus, analytic FLOP axis.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color w:val="1a1a1a"/>
          <w:sz w:val="21"/>
          <w:szCs w:val="21"/>
        </w:rPr>
        <w:t xml:space="preserve">INDIGO's frontier is not Chinchilla's. Extra compute goes into parameters, not data.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color w:val="1a1a1a"/>
          <w:sz w:val="21"/>
          <w:szCs w:val="21"/>
        </w:rPr>
        <w:t xml:space="preserve">Past C ≈ 2.75e15 more compute makes the model worse, on both metrics.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color w:val="1a1a1a"/>
          <w:sz w:val="21"/>
          <w:szCs w:val="21"/>
        </w:rPr>
        <w:t xml:space="preserve">Not repetition, not the metric. One confound left: no D term in the LR law.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color w:val="1a1a1a"/>
          <w:sz w:val="21"/>
          <w:szCs w:val="21"/>
        </w:rPr>
        <w:t xml:space="preserve">Low chroma is the only clean, noise-robust law. The method works where the problem is solvable.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color w:val="1a1a1a"/>
          <w:sz w:val="21"/>
          <w:szCs w:val="21"/>
        </w:rPr>
        <w:t xml:space="preserve">If that holds, the payoff is inference-time search and RL against the simulator, not a bigger pretrain. Two cheap experiments decide it: the oracle-floor eval (section 6) and the D-term LR sweep (section 7).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31" w:hanging="288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9c9c9" w:sz="6" w:space="5"/>
      </w:pBdr>
      <w:spacing w:after="130" w:before="300"/>
    </w:pPr>
    <w:rPr>
      <w:rFonts w:ascii="Calibri" w:cs="Calibri" w:eastAsia="Calibri" w:hAnsi="Calibri"/>
      <w:b/>
      <w:bCs/>
      <w:color w:val="1a1a1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95" w:before="230"/>
    </w:pPr>
    <w:rPr>
      <w:rFonts w:ascii="Calibri" w:cs="Calibri" w:eastAsia="Calibri" w:hAnsi="Calibri"/>
      <w:b/>
      <w:bCs/>
      <w:color w:val="33475b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616c77d5b022236f4d2dd14a0b2bbe99452100ee.png"/><Relationship Id="rId8" Type="http://schemas.openxmlformats.org/officeDocument/2006/relationships/image" Target="media/a8f2b98a07d65a0dccd079fd7e73d30edb3dcce4.png"/><Relationship Id="rId9" Type="http://schemas.openxmlformats.org/officeDocument/2006/relationships/image" Target="media/ebc20f3954a859e69c825821d21d7305a4e430a2.png"/><Relationship Id="rId10" Type="http://schemas.openxmlformats.org/officeDocument/2006/relationships/image" Target="media/e54817af372a9e50e796f3653490160c7a13063f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2026-09-30T19:32:00.676Z</dcterms:created>
  <dcterms:modified xsi:type="dcterms:W3CDTF">2026-09-30T19:32:00.676Z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