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sz w:val="24"/>
          <w:szCs w:val="24"/>
        </w:rPr>
        <w:t xml:space="preserve"/>
      </w:r>
    </w:p>
    <w:p>
      <w:pPr>
        <w:pBdr>
          <w:left w:val="single" w:color="1A7A8A" w:sz="32" w:space="1"/>
        </w:pBdr>
        <w:spacing w:after="0" w:before="0"/>
        <w:ind w:left="0"/>
      </w:pPr>
      <w:r>
        <w:rPr>
          <w:sz w:val="24"/>
          <w:szCs w:val="24"/>
        </w:rPr>
        <w:t xml:space="preserve">  </w:t>
      </w:r>
    </w:p>
    <w:p>
      <w:pPr>
        <w:spacing w:after="60" w:before="80"/>
      </w:pPr>
      <w:r>
        <w:rPr>
          <w:rFonts w:ascii="Arial" w:cs="Arial" w:eastAsia="Arial" w:hAnsi="Arial"/>
          <w:b/>
          <w:bCs/>
          <w:color w:val="1B3A6B"/>
          <w:sz w:val="44"/>
          <w:szCs w:val="44"/>
        </w:rPr>
        <w:t xml:space="preserve">Marine Species Catch Volume Prediction</w:t>
      </w:r>
    </w:p>
    <w:p>
      <w:pPr>
        <w:spacing w:after="200" w:before="0"/>
      </w:pPr>
      <w:r>
        <w:rPr>
          <w:rFonts w:ascii="Arial" w:cs="Arial" w:eastAsia="Arial" w:hAnsi="Arial"/>
          <w:i/>
          <w:iCs/>
          <w:color w:val="1A7A8A"/>
          <w:sz w:val="26"/>
          <w:szCs w:val="26"/>
        </w:rPr>
        <w:t xml:space="preserve">Using Machine Learning on FAO Global Fisheries Data (1950–2023)</w:t>
      </w:r>
    </w:p>
    <w:p>
      <w:pPr>
        <w:pBdr>
          <w:bottom w:val="single" w:color="1A7A8A" w:sz="6" w:space="1"/>
        </w:pBdr>
        <w:spacing w:after="0"/>
      </w:pP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0C8D0" w:sz="1"/>
              <w:left w:val="single" w:color="B0C8D0" w:sz="1"/>
              <w:bottom w:val="single" w:color="B0C8D0" w:sz="1"/>
              <w:right w:val="single" w:color="B0C8D0" w:sz="1"/>
            </w:tcBorders>
            <w:shd w:fill="E8F4F6"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Author</w:t>
            </w:r>
          </w:p>
        </w:tc>
        <w:tc>
          <w:tcPr>
            <w:tcW w:type="dxa" w:w="736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[Your Full Name]</w:t>
            </w:r>
          </w:p>
        </w:tc>
      </w:tr>
      <w:tr>
        <w:tc>
          <w:tcPr>
            <w:tcW w:type="dxa" w:w="2000"/>
            <w:tcBorders>
              <w:top w:val="single" w:color="B0C8D0" w:sz="1"/>
              <w:left w:val="single" w:color="B0C8D0" w:sz="1"/>
              <w:bottom w:val="single" w:color="B0C8D0" w:sz="1"/>
              <w:right w:val="single" w:color="B0C8D0" w:sz="1"/>
            </w:tcBorders>
            <w:shd w:fill="E8F4F6"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Institution</w:t>
            </w:r>
          </w:p>
        </w:tc>
        <w:tc>
          <w:tcPr>
            <w:tcW w:type="dxa" w:w="736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De Montfort University (DMU)</w:t>
            </w:r>
          </w:p>
        </w:tc>
      </w:tr>
      <w:tr>
        <w:tc>
          <w:tcPr>
            <w:tcW w:type="dxa" w:w="2000"/>
            <w:tcBorders>
              <w:top w:val="single" w:color="B0C8D0" w:sz="1"/>
              <w:left w:val="single" w:color="B0C8D0" w:sz="1"/>
              <w:bottom w:val="single" w:color="B0C8D0" w:sz="1"/>
              <w:right w:val="single" w:color="B0C8D0" w:sz="1"/>
            </w:tcBorders>
            <w:shd w:fill="E8F4F6"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Program</w:t>
            </w:r>
          </w:p>
        </w:tc>
        <w:tc>
          <w:tcPr>
            <w:tcW w:type="dxa" w:w="736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[Your Degree Program, e.g. BSc Computer Science]</w:t>
            </w:r>
          </w:p>
        </w:tc>
      </w:tr>
      <w:tr>
        <w:tc>
          <w:tcPr>
            <w:tcW w:type="dxa" w:w="2000"/>
            <w:tcBorders>
              <w:top w:val="single" w:color="B0C8D0" w:sz="1"/>
              <w:left w:val="single" w:color="B0C8D0" w:sz="1"/>
              <w:bottom w:val="single" w:color="B0C8D0" w:sz="1"/>
              <w:right w:val="single" w:color="B0C8D0" w:sz="1"/>
            </w:tcBorders>
            <w:shd w:fill="E8F4F6"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Date</w:t>
            </w:r>
          </w:p>
        </w:tc>
        <w:tc>
          <w:tcPr>
            <w:tcW w:type="dxa" w:w="736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May 2026</w:t>
            </w:r>
          </w:p>
        </w:tc>
      </w:tr>
      <w:tr>
        <w:tc>
          <w:tcPr>
            <w:tcW w:type="dxa" w:w="2000"/>
            <w:tcBorders>
              <w:top w:val="single" w:color="B0C8D0" w:sz="1"/>
              <w:left w:val="single" w:color="B0C8D0" w:sz="1"/>
              <w:bottom w:val="single" w:color="B0C8D0" w:sz="1"/>
              <w:right w:val="single" w:color="B0C8D0" w:sz="1"/>
            </w:tcBorders>
            <w:shd w:fill="E8F4F6"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Dataset</w:t>
            </w:r>
          </w:p>
        </w:tc>
        <w:tc>
          <w:tcPr>
            <w:tcW w:type="dxa" w:w="736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FAO FishStatJ — Global Capture Production (1950–2023)</w:t>
            </w:r>
          </w:p>
        </w:tc>
      </w:tr>
      <w:tr>
        <w:tc>
          <w:tcPr>
            <w:tcW w:type="dxa" w:w="2000"/>
            <w:tcBorders>
              <w:top w:val="single" w:color="B0C8D0" w:sz="1"/>
              <w:left w:val="single" w:color="B0C8D0" w:sz="1"/>
              <w:bottom w:val="single" w:color="B0C8D0" w:sz="1"/>
              <w:right w:val="single" w:color="B0C8D0" w:sz="1"/>
            </w:tcBorders>
            <w:shd w:fill="E8F4F6"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Code</w:t>
            </w:r>
          </w:p>
        </w:tc>
        <w:tc>
          <w:tcPr>
            <w:tcW w:type="dxa" w:w="736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github.com/[your-username]/marine-species-prediction</w:t>
            </w:r>
          </w:p>
        </w:tc>
      </w:tr>
    </w:tbl>
    <w:p>
      <w:pPr>
        <w:spacing w:after="0" w:before="360"/>
      </w:pPr>
    </w:p>
    <w:p>
      <w:r>
        <w:br w:type="page"/>
      </w:r>
    </w:p>
    <w:p>
      <w:pPr>
        <w:pStyle w:val="Heading1"/>
        <w:spacing w:after="120" w:before="320"/>
      </w:pPr>
      <w:r>
        <w:rPr>
          <w:rFonts w:ascii="Arial" w:cs="Arial" w:eastAsia="Arial" w:hAnsi="Arial"/>
          <w:b/>
          <w:bCs/>
          <w:color w:val="1B3A6B"/>
          <w:sz w:val="30"/>
          <w:szCs w:val="30"/>
        </w:rPr>
        <w:t xml:space="preserve">Abstract</w:t>
      </w:r>
    </w:p>
    <w:p>
      <w:pPr>
        <w:pBdr>
          <w:bottom w:val="single" w:color="1A7A8A" w:sz="4" w:space="1"/>
        </w:pBdr>
        <w:spacing w:after="0"/>
      </w:pPr>
    </w:p>
    <w:p>
      <w:pPr>
        <w:spacing w:after="0" w:before="120"/>
      </w:pPr>
    </w:p>
    <w:p>
      <w:pPr>
        <w:spacing w:after="120" w:before="60"/>
        <w:jc w:val="both"/>
      </w:pPr>
      <w:r>
        <w:rPr>
          <w:rFonts w:ascii="Georgia" w:cs="Georgia" w:eastAsia="Georgia" w:hAnsi="Georgia"/>
          <w:color w:val="2D3748"/>
          <w:sz w:val="22"/>
          <w:szCs w:val="22"/>
        </w:rPr>
        <w:t xml:space="preserve">Global fisheries provide protein for over 3 billion people, yet more than one-third of marine fish stocks are currently harvested at biologically unsustainable levels. Accurate forecasting of species-level catch trajectories is essential for early warning systems, quota-setting, and conservation planning. This paper presents a machine learning pipeline that predicts annual catch volume for over 2,700 marine and inland species using 73 years of official FAO capture production records. We engineer temporally consistent features — including autoregressive lags, rolling averages, and year-over-year momentum — and evaluate two models: Linear Regression as a transparency baseline and a tuned Random Forest Regressor as the primary learner. On a held-out temporal test set (2016–2023), the Random Forest achieves an R² of 0.989 and a Median Absolute Error of approximately 2,772 tonnes, substantially outperforming the linear baseline. Feature importance analysis reveals that short-term autoregressive catch history (Lag-1 and Lag-2) overwhelmingly drives model accuracy, consistent with population persistence theory in marine ecology. Case studies on Atlantic cod (collapsed), Anchoveta (El Niño-driven boom-bust), and Skipjack tuna (sustainably managed growth) illustrate the model’s capacity to differentiate ecologically distinct regimes. A seven-year forward projection (2024–2030) is produced using iterative autoregressive forecasting. Limitations, including the conflation of fishing effort with population size, are discussed alongside directions for future work incorporating CPUE and climate covariates.</w:t>
      </w:r>
    </w:p>
    <w:p>
      <w:pPr>
        <w:spacing w:after="0" w:before="120"/>
      </w:pPr>
    </w:p>
    <w:p>
      <w:pPr>
        <w:spacing w:after="60" w:before="60"/>
      </w:pPr>
      <w:r>
        <w:rPr>
          <w:rFonts w:ascii="Arial" w:cs="Arial" w:eastAsia="Arial" w:hAnsi="Arial"/>
          <w:b/>
          <w:bCs/>
          <w:color w:val="1B3A6B"/>
          <w:sz w:val="20"/>
          <w:szCs w:val="20"/>
        </w:rPr>
        <w:t xml:space="preserve">Keywords: </w:t>
      </w:r>
      <w:r>
        <w:rPr>
          <w:rFonts w:ascii="Georgia" w:cs="Georgia" w:eastAsia="Georgia" w:hAnsi="Georgia"/>
          <w:i/>
          <w:iCs/>
          <w:color w:val="4A5568"/>
          <w:sz w:val="20"/>
          <w:szCs w:val="20"/>
        </w:rPr>
        <w:t xml:space="preserve">fisheries forecasting, Random Forest, FAO capture data, marine ecology, time-series prediction, autoregressive features, species population proxy</w:t>
      </w:r>
    </w:p>
    <w:p>
      <w:r>
        <w:br w:type="page"/>
      </w:r>
    </w:p>
    <w:p>
      <w:pPr>
        <w:pStyle w:val="Heading1"/>
        <w:spacing w:after="120" w:before="320"/>
      </w:pPr>
      <w:r>
        <w:rPr>
          <w:rFonts w:ascii="Arial" w:cs="Arial" w:eastAsia="Arial" w:hAnsi="Arial"/>
          <w:b/>
          <w:bCs/>
          <w:color w:val="1B3A6B"/>
          <w:sz w:val="30"/>
          <w:szCs w:val="30"/>
        </w:rPr>
        <w:t xml:space="preserve">1. Introduction</w:t>
      </w:r>
    </w:p>
    <w:p>
      <w:pPr>
        <w:pBdr>
          <w:bottom w:val="single" w:color="1A7A8A" w:sz="4" w:space="1"/>
        </w:pBdr>
        <w:spacing w:after="0"/>
      </w:pPr>
    </w:p>
    <w:p>
      <w:pPr>
        <w:spacing w:after="0" w:before="120"/>
      </w:pPr>
    </w:p>
    <w:p>
      <w:pPr>
        <w:spacing w:after="120" w:before="60"/>
        <w:jc w:val="both"/>
      </w:pPr>
      <w:r>
        <w:rPr>
          <w:rFonts w:ascii="Georgia" w:cs="Georgia" w:eastAsia="Georgia" w:hAnsi="Georgia"/>
          <w:color w:val="2D3748"/>
          <w:sz w:val="22"/>
          <w:szCs w:val="22"/>
        </w:rPr>
        <w:t xml:space="preserve">Marine fisheries support the livelihoods of an estimated 600 million people and supply approximately 17 percent of global animal protein intake (FAO, 2024). However, the Food and Agriculture Organization’s biennial State of World Fisheries report indicates that 35.4 percent of assessed stocks were fished at biologically unsustainable levels as of 2019, a figure that has risen monotonically since the 1970s. The aggregate global marine capture harvest grew from roughly 20 million tonnes in 1950 to a peak of approximately 86 million tonnes in the mid-1990s, after which it entered a persistent plateau — a signal of a system approaching, or in some regions exceeding, its biological carrying capacity.</w:t>
      </w:r>
    </w:p>
    <w:p>
      <w:pPr>
        <w:spacing w:after="120" w:before="60"/>
        <w:jc w:val="both"/>
      </w:pPr>
      <w:r>
        <w:rPr>
          <w:rFonts w:ascii="Georgia" w:cs="Georgia" w:eastAsia="Georgia" w:hAnsi="Georgia"/>
          <w:color w:val="2D3748"/>
          <w:sz w:val="22"/>
          <w:szCs w:val="22"/>
        </w:rPr>
        <w:t xml:space="preserve">Predicting catch trajectories at the species level is a technically challenging problem for three interlocking reasons. First, direct population abundance data (e.g., acoustic surveys, mark-recapture estimates) are unavailable at global scale; the most complete global record is catch volume, which conflates population size with fishing effort. Second, species exhibit profoundly different dynamics: pelagic schooling fish such as Anchoveta display extreme inter-annual volatility driven by El Niño events, while demersal species like Atlantic cod show slow-decline trajectories that, once they cross a threshold, do not recover on human timescales. Third, the dataset spans 73 years, 275 countries, 29 fishing areas, and over 13,000 species — a scale that renders species-specific hand-crafted models impractical.</w:t>
      </w:r>
    </w:p>
    <w:p>
      <w:pPr>
        <w:spacing w:after="120" w:before="60"/>
        <w:jc w:val="both"/>
      </w:pPr>
      <w:r>
        <w:rPr>
          <w:rFonts w:ascii="Georgia" w:cs="Georgia" w:eastAsia="Georgia" w:hAnsi="Georgia"/>
          <w:color w:val="2D3748"/>
          <w:sz w:val="22"/>
          <w:szCs w:val="22"/>
        </w:rPr>
        <w:t xml:space="preserve">This paper addresses these challenges with a supervised machine learning approach operating on aggregated species-region-year records. The central hypothesis is that a model conditioned on recent catch history (autoregressive lags), biological species classification, ocean region, and temporal trend can learn the persistence and mean-reversion dynamics that characterise fisheries systems, and thereby produce accurate short-horizon forecasts. We benchmark a Linear Regression baseline against a Random Forest Regressor, evaluate both on a strict temporal holdout, and interpret the fitted models in ecological terms.</w:t>
      </w:r>
    </w:p>
    <w:p>
      <w:pPr>
        <w:pStyle w:val="Heading2"/>
        <w:spacing w:after="80" w:before="220"/>
      </w:pPr>
      <w:r>
        <w:rPr>
          <w:rFonts w:ascii="Arial" w:cs="Arial" w:eastAsia="Arial" w:hAnsi="Arial"/>
          <w:b/>
          <w:bCs/>
          <w:color w:val="1A7A8A"/>
          <w:sz w:val="24"/>
          <w:szCs w:val="24"/>
        </w:rPr>
        <w:t xml:space="preserve">1.1 Research Questions</w:t>
      </w:r>
    </w:p>
    <w:p>
      <w:pPr>
        <w:spacing w:after="120" w:before="60"/>
        <w:jc w:val="both"/>
      </w:pPr>
      <w:r>
        <w:rPr>
          <w:rFonts w:ascii="Georgia" w:cs="Georgia" w:eastAsia="Georgia" w:hAnsi="Georgia"/>
          <w:color w:val="2D3748"/>
          <w:sz w:val="22"/>
          <w:szCs w:val="22"/>
        </w:rPr>
        <w:t xml:space="preserve">This study addresses three specific questions:</w:t>
      </w:r>
    </w:p>
    <w:p>
      <w:pPr>
        <w:pStyle w:val="ListParagraph"/>
        <w:numPr>
          <w:ilvl w:val="0"/>
          <w:numId w:val="2"/>
        </w:numPr>
        <w:spacing w:after="60" w:before="60"/>
      </w:pPr>
      <w:r>
        <w:rPr>
          <w:rFonts w:ascii="Georgia" w:cs="Georgia" w:eastAsia="Georgia" w:hAnsi="Georgia"/>
          <w:color w:val="2D3748"/>
          <w:sz w:val="22"/>
          <w:szCs w:val="22"/>
        </w:rPr>
        <w:t xml:space="preserve">Can a machine learning model trained on FAO catch history predict held-out species-level catch volume with R² above 0.90?</w:t>
      </w:r>
    </w:p>
    <w:p>
      <w:pPr>
        <w:pStyle w:val="ListParagraph"/>
        <w:numPr>
          <w:ilvl w:val="0"/>
          <w:numId w:val="2"/>
        </w:numPr>
        <w:spacing w:after="60" w:before="60"/>
      </w:pPr>
      <w:r>
        <w:rPr>
          <w:rFonts w:ascii="Georgia" w:cs="Georgia" w:eastAsia="Georgia" w:hAnsi="Georgia"/>
          <w:color w:val="2D3748"/>
          <w:sz w:val="22"/>
          <w:szCs w:val="22"/>
        </w:rPr>
        <w:t xml:space="preserve">Which features drive predictive accuracy, and are the learned importances ecologically interpretable?</w:t>
      </w:r>
    </w:p>
    <w:p>
      <w:pPr>
        <w:pStyle w:val="ListParagraph"/>
        <w:numPr>
          <w:ilvl w:val="0"/>
          <w:numId w:val="2"/>
        </w:numPr>
        <w:spacing w:after="120" w:before="60"/>
      </w:pPr>
      <w:r>
        <w:rPr>
          <w:rFonts w:ascii="Georgia" w:cs="Georgia" w:eastAsia="Georgia" w:hAnsi="Georgia"/>
          <w:color w:val="2D3748"/>
          <w:sz w:val="22"/>
          <w:szCs w:val="22"/>
        </w:rPr>
        <w:t xml:space="preserve">Can the model meaningfully differentiate between species in collapse, boom-bust cycles, and stable managed growth?</w:t>
      </w:r>
    </w:p>
    <w:p>
      <w:r>
        <w:br w:type="page"/>
      </w:r>
    </w:p>
    <w:p>
      <w:pPr>
        <w:pStyle w:val="Heading1"/>
        <w:spacing w:after="120" w:before="320"/>
      </w:pPr>
      <w:r>
        <w:rPr>
          <w:rFonts w:ascii="Arial" w:cs="Arial" w:eastAsia="Arial" w:hAnsi="Arial"/>
          <w:b/>
          <w:bCs/>
          <w:color w:val="1B3A6B"/>
          <w:sz w:val="30"/>
          <w:szCs w:val="30"/>
        </w:rPr>
        <w:t xml:space="preserve">2. Related Work</w:t>
      </w:r>
    </w:p>
    <w:p>
      <w:pPr>
        <w:pBdr>
          <w:bottom w:val="single" w:color="1A7A8A" w:sz="4" w:space="1"/>
        </w:pBdr>
        <w:spacing w:after="0"/>
      </w:pPr>
    </w:p>
    <w:p>
      <w:pPr>
        <w:spacing w:after="0" w:before="120"/>
      </w:pPr>
    </w:p>
    <w:p>
      <w:pPr>
        <w:pStyle w:val="Heading2"/>
        <w:spacing w:after="80" w:before="220"/>
      </w:pPr>
      <w:r>
        <w:rPr>
          <w:rFonts w:ascii="Arial" w:cs="Arial" w:eastAsia="Arial" w:hAnsi="Arial"/>
          <w:b/>
          <w:bCs/>
          <w:color w:val="1A7A8A"/>
          <w:sz w:val="24"/>
          <w:szCs w:val="24"/>
        </w:rPr>
        <w:t xml:space="preserve">2.1 Catch-Based Population Proxies</w:t>
      </w:r>
    </w:p>
    <w:p>
      <w:pPr>
        <w:spacing w:after="120" w:before="60"/>
        <w:jc w:val="both"/>
      </w:pPr>
      <w:r>
        <w:rPr>
          <w:rFonts w:ascii="Georgia" w:cs="Georgia" w:eastAsia="Georgia" w:hAnsi="Georgia"/>
          <w:color w:val="2D3748"/>
          <w:sz w:val="22"/>
          <w:szCs w:val="22"/>
        </w:rPr>
        <w:t xml:space="preserve">In the absence of direct census data, catch-per-unit-effort (CPUE) and raw catch volume have long served as proxies for population abundance in stock assessment. The landmark RAM Legacy Stock Assessment Database (Ricard et al., 2012) compiled biomass and fishing mortality estimates for approximately 880 stocks, derived largely from catch histories combined with effort data. In parallel, Pauly and Zeller (2016) reconstructed global catch figures correcting for systematic under-reporting, estimating true catches at 150 million tonnes per year — roughly 1.5 times the FAO figure — with the discrepancy attributable to illegal, unreported, and unregulated (IUU) fishing. While this study uses the FAO official series, this limitation is acknowledged.</w:t>
      </w:r>
    </w:p>
    <w:p>
      <w:pPr>
        <w:pStyle w:val="Heading2"/>
        <w:spacing w:after="80" w:before="220"/>
      </w:pPr>
      <w:r>
        <w:rPr>
          <w:rFonts w:ascii="Arial" w:cs="Arial" w:eastAsia="Arial" w:hAnsi="Arial"/>
          <w:b/>
          <w:bCs/>
          <w:color w:val="1A7A8A"/>
          <w:sz w:val="24"/>
          <w:szCs w:val="24"/>
        </w:rPr>
        <w:t xml:space="preserve">2.2 Machine Learning in Fisheries Science</w:t>
      </w:r>
    </w:p>
    <w:p>
      <w:pPr>
        <w:spacing w:after="120" w:before="60"/>
        <w:jc w:val="both"/>
      </w:pPr>
      <w:r>
        <w:rPr>
          <w:rFonts w:ascii="Georgia" w:cs="Georgia" w:eastAsia="Georgia" w:hAnsi="Georgia"/>
          <w:color w:val="2D3748"/>
          <w:sz w:val="22"/>
          <w:szCs w:val="22"/>
        </w:rPr>
        <w:t xml:space="preserve">Classical stock assessment methods (e.g., Virtual Population Analysis, surplus production models, statistical catch-at-age) are mechanistic and require life-history parameters that are unavailable for the majority of the world’s commercially fished species. Data-driven approaches have gained traction as complements or substitutes. Murase et al. (2009) demonstrated that Boosted Regression Trees outperformed generalised additive models in predicting Japanese sardine distribution. Fernandes et al. (2010) applied neural networks to North Sea fish abundance surveys with promising results. More recently, Baudron et al. (2020) used Random Forest regression to identify environmental drivers of North Sea demersal fish assemblages, finding that bottom temperature and salinity explained a substantial fraction of inter-annual variance.</w:t>
      </w:r>
    </w:p>
    <w:p>
      <w:pPr>
        <w:spacing w:after="120" w:before="60"/>
        <w:jc w:val="both"/>
      </w:pPr>
      <w:r>
        <w:rPr>
          <w:rFonts w:ascii="Georgia" w:cs="Georgia" w:eastAsia="Georgia" w:hAnsi="Georgia"/>
          <w:color w:val="2D3748"/>
          <w:sz w:val="22"/>
          <w:szCs w:val="22"/>
        </w:rPr>
        <w:t xml:space="preserve">Global-scale machine learning studies remain scarce. Lotze et al. (2019) produced a global meta-analysis of fisheries trends but relied on expert classification rather than predictive modelling. The closest precedent to this work is Neubauer et al. (2013), which modelled stock recovery probability from collapse using logistic regression on life-history traits — operating at the stock level rather than the species-year level. This paper contributes to a gap by training a single global model across all species and years, with temporal cross-validation.</w:t>
      </w:r>
    </w:p>
    <w:p>
      <w:pPr>
        <w:pStyle w:val="Heading2"/>
        <w:spacing w:after="80" w:before="220"/>
      </w:pPr>
      <w:r>
        <w:rPr>
          <w:rFonts w:ascii="Arial" w:cs="Arial" w:eastAsia="Arial" w:hAnsi="Arial"/>
          <w:b/>
          <w:bCs/>
          <w:color w:val="1A7A8A"/>
          <w:sz w:val="24"/>
          <w:szCs w:val="24"/>
        </w:rPr>
        <w:t xml:space="preserve">2.3 Time-Series Forecasting Approaches</w:t>
      </w:r>
    </w:p>
    <w:p>
      <w:pPr>
        <w:spacing w:after="120" w:before="60"/>
        <w:jc w:val="both"/>
      </w:pPr>
      <w:r>
        <w:rPr>
          <w:rFonts w:ascii="Georgia" w:cs="Georgia" w:eastAsia="Georgia" w:hAnsi="Georgia"/>
          <w:color w:val="2D3748"/>
          <w:sz w:val="22"/>
          <w:szCs w:val="22"/>
        </w:rPr>
        <w:t xml:space="preserve">ARIMA models have been applied to individual species catch series (e.g., Georgakarakos et al., 2006, on Eastern Mediterranean fish), but require species-by-species fitting and do not generalise across taxa. Panel data approaches using fixed effects for species and year have been applied in environmental economics to fish trade data. The feature engineering strategy in this paper — explicit lag terms and rolling averages — bridges classical time-series thinking with the non-parametric flexibility of ensemble tree methods, a design consistent with recommendations from Hyndman and Athanasopoulos (2021) for multi-series forecasting with tree-based models.</w:t>
      </w:r>
    </w:p>
    <w:p>
      <w:r>
        <w:br w:type="page"/>
      </w:r>
    </w:p>
    <w:p>
      <w:pPr>
        <w:pStyle w:val="Heading1"/>
        <w:spacing w:after="120" w:before="320"/>
      </w:pPr>
      <w:r>
        <w:rPr>
          <w:rFonts w:ascii="Arial" w:cs="Arial" w:eastAsia="Arial" w:hAnsi="Arial"/>
          <w:b/>
          <w:bCs/>
          <w:color w:val="1B3A6B"/>
          <w:sz w:val="30"/>
          <w:szCs w:val="30"/>
        </w:rPr>
        <w:t xml:space="preserve">3. Methodology</w:t>
      </w:r>
    </w:p>
    <w:p>
      <w:pPr>
        <w:pBdr>
          <w:bottom w:val="single" w:color="1A7A8A" w:sz="4" w:space="1"/>
        </w:pBdr>
        <w:spacing w:after="0"/>
      </w:pPr>
    </w:p>
    <w:p>
      <w:pPr>
        <w:spacing w:after="0" w:before="120"/>
      </w:pPr>
    </w:p>
    <w:p>
      <w:pPr>
        <w:pStyle w:val="Heading2"/>
        <w:spacing w:after="80" w:before="220"/>
      </w:pPr>
      <w:r>
        <w:rPr>
          <w:rFonts w:ascii="Arial" w:cs="Arial" w:eastAsia="Arial" w:hAnsi="Arial"/>
          <w:b/>
          <w:bCs/>
          <w:color w:val="1A7A8A"/>
          <w:sz w:val="24"/>
          <w:szCs w:val="24"/>
        </w:rPr>
        <w:t xml:space="preserve">3.1 Dataset Description</w:t>
      </w:r>
    </w:p>
    <w:p>
      <w:pPr>
        <w:spacing w:after="120" w:before="60"/>
        <w:jc w:val="both"/>
      </w:pPr>
      <w:r>
        <w:rPr>
          <w:rFonts w:ascii="Georgia" w:cs="Georgia" w:eastAsia="Georgia" w:hAnsi="Georgia"/>
          <w:color w:val="2D3748"/>
          <w:sz w:val="22"/>
          <w:szCs w:val="22"/>
        </w:rPr>
        <w:t xml:space="preserve">The analysis uses four relational files from the FAO FishStatJ Global Capture Production database, covering all recorded official catches from 1950 to 2023:</w:t>
      </w:r>
    </w:p>
    <w:p>
      <w:pPr>
        <w:pStyle w:val="ListParagraph"/>
        <w:numPr>
          <w:ilvl w:val="0"/>
          <w:numId w:val="3"/>
        </w:numPr>
        <w:spacing w:after="60" w:before="60"/>
      </w:pPr>
      <w:r>
        <w:rPr>
          <w:rFonts w:ascii="Courier New" w:cs="Courier New" w:eastAsia="Courier New" w:hAnsi="Courier New"/>
          <w:color w:val="C0392B"/>
          <w:sz w:val="20"/>
          <w:szCs w:val="20"/>
        </w:rPr>
        <w:t xml:space="preserve">Capture_Quantity.csv</w:t>
      </w:r>
      <w:r>
        <w:rPr>
          <w:rFonts w:ascii="Georgia" w:cs="Georgia" w:eastAsia="Georgia" w:hAnsi="Georgia"/>
          <w:color w:val="2D3748"/>
          <w:sz w:val="22"/>
          <w:szCs w:val="22"/>
        </w:rPr>
        <w:t xml:space="preserve"> — 1,055,015 records at country × species × area × year granularity; target variable is catch in tonnes live weight (measure code Q_tlw).</w:t>
      </w:r>
    </w:p>
    <w:p>
      <w:pPr>
        <w:pStyle w:val="ListParagraph"/>
        <w:numPr>
          <w:ilvl w:val="0"/>
          <w:numId w:val="3"/>
        </w:numPr>
        <w:spacing w:after="60" w:before="60"/>
      </w:pPr>
      <w:r>
        <w:rPr>
          <w:rFonts w:ascii="Courier New" w:cs="Courier New" w:eastAsia="Courier New" w:hAnsi="Courier New"/>
          <w:color w:val="C0392B"/>
          <w:sz w:val="20"/>
          <w:szCs w:val="20"/>
        </w:rPr>
        <w:t xml:space="preserve">CL_FI_SPECIES_GROUPS.csv</w:t>
      </w:r>
      <w:r>
        <w:rPr>
          <w:rFonts w:ascii="Georgia" w:cs="Georgia" w:eastAsia="Georgia" w:hAnsi="Georgia"/>
          <w:color w:val="2D3748"/>
          <w:sz w:val="22"/>
          <w:szCs w:val="22"/>
        </w:rPr>
        <w:t xml:space="preserve"> — 13,596 species entries with common name, scientific name, ISSCAAP group (FAO’s biological classification), and major taxonomic group (fish, crustacean, mollusc, etc.).</w:t>
      </w:r>
    </w:p>
    <w:p>
      <w:pPr>
        <w:pStyle w:val="ListParagraph"/>
        <w:numPr>
          <w:ilvl w:val="0"/>
          <w:numId w:val="3"/>
        </w:numPr>
        <w:spacing w:after="60" w:before="60"/>
      </w:pPr>
      <w:r>
        <w:rPr>
          <w:rFonts w:ascii="Courier New" w:cs="Courier New" w:eastAsia="Courier New" w:hAnsi="Courier New"/>
          <w:color w:val="C0392B"/>
          <w:sz w:val="20"/>
          <w:szCs w:val="20"/>
        </w:rPr>
        <w:t xml:space="preserve">CL_FI_COUNTRY_GROUPS.csv</w:t>
      </w:r>
      <w:r>
        <w:rPr>
          <w:rFonts w:ascii="Georgia" w:cs="Georgia" w:eastAsia="Georgia" w:hAnsi="Georgia"/>
          <w:color w:val="2D3748"/>
          <w:sz w:val="22"/>
          <w:szCs w:val="22"/>
        </w:rPr>
        <w:t xml:space="preserve"> — 275 country entries with ISO-3 codes, continent, geographic region, and economic classification.</w:t>
      </w:r>
    </w:p>
    <w:p>
      <w:pPr>
        <w:pStyle w:val="ListParagraph"/>
        <w:numPr>
          <w:ilvl w:val="0"/>
          <w:numId w:val="3"/>
        </w:numPr>
        <w:spacing w:after="120" w:before="60"/>
      </w:pPr>
      <w:r>
        <w:rPr>
          <w:rFonts w:ascii="Courier New" w:cs="Courier New" w:eastAsia="Courier New" w:hAnsi="Courier New"/>
          <w:color w:val="C0392B"/>
          <w:sz w:val="20"/>
          <w:szCs w:val="20"/>
        </w:rPr>
        <w:t xml:space="preserve">CL_FI_WATERAREA_GROUPS.csv</w:t>
      </w:r>
      <w:r>
        <w:rPr>
          <w:rFonts w:ascii="Georgia" w:cs="Georgia" w:eastAsia="Georgia" w:hAnsi="Georgia"/>
          <w:color w:val="2D3748"/>
          <w:sz w:val="22"/>
          <w:szCs w:val="22"/>
        </w:rPr>
        <w:t xml:space="preserve"> — 29 fishing areas with ocean group and inland/marine classification.</w:t>
      </w:r>
    </w:p>
    <w:p>
      <w:pPr>
        <w:spacing w:after="120" w:before="60"/>
        <w:jc w:val="both"/>
      </w:pPr>
      <w:r>
        <w:rPr>
          <w:rFonts w:ascii="Georgia" w:cs="Georgia" w:eastAsia="Georgia" w:hAnsi="Georgia"/>
          <w:color w:val="2D3748"/>
          <w:sz w:val="22"/>
          <w:szCs w:val="22"/>
        </w:rPr>
        <w:t xml:space="preserve">Records with data status code ‘Q’ (questionable) were excluded. Status codes ‘A’ (official), ‘E’ (estimated), and ‘I’ (imputed) were retained, consistent with standard practice in FAO-based research — imputed values constitute a small minority and are produced using FAO’s own methodology. After filtering for non-zero catch and dropping the 2,846 records with unresolvable species codes (0.3% of the dataset), the working dataset comprised 1,025,345 rows.</w:t>
      </w:r>
    </w:p>
    <w:p>
      <w:pPr>
        <w:pStyle w:val="Heading2"/>
        <w:spacing w:after="80" w:before="220"/>
      </w:pPr>
      <w:r>
        <w:rPr>
          <w:rFonts w:ascii="Arial" w:cs="Arial" w:eastAsia="Arial" w:hAnsi="Arial"/>
          <w:b/>
          <w:bCs/>
          <w:color w:val="1A7A8A"/>
          <w:sz w:val="24"/>
          <w:szCs w:val="24"/>
        </w:rPr>
        <w:t xml:space="preserve">3.2 Aggregation Strategy</w:t>
      </w:r>
    </w:p>
    <w:p>
      <w:pPr>
        <w:spacing w:after="120" w:before="60"/>
        <w:jc w:val="both"/>
      </w:pPr>
      <w:r>
        <w:rPr>
          <w:rFonts w:ascii="Georgia" w:cs="Georgia" w:eastAsia="Georgia" w:hAnsi="Georgia"/>
          <w:color w:val="2D3748"/>
          <w:sz w:val="22"/>
          <w:szCs w:val="22"/>
        </w:rPr>
        <w:t xml:space="preserve">Raw country-level records introduce substantial noise: a single species may be reported by dozens of countries fishing the same stock, and country-level reporting quality varies widely. To produce a stable ML signal, records were aggregated to the species × inland/marine environment × year level by summing catch in tonnes. This aggregation reduces the dataset to 93,506 group-year observations across 2,738 unique species — a resolution at which population dynamics are meaningfully captured while country-level variance is averaged out.</w:t>
      </w:r>
    </w:p>
    <w:p>
      <w:pPr>
        <w:pStyle w:val="Heading2"/>
        <w:spacing w:after="80" w:before="220"/>
      </w:pPr>
      <w:r>
        <w:rPr>
          <w:rFonts w:ascii="Arial" w:cs="Arial" w:eastAsia="Arial" w:hAnsi="Arial"/>
          <w:b/>
          <w:bCs/>
          <w:color w:val="1A7A8A"/>
          <w:sz w:val="24"/>
          <w:szCs w:val="24"/>
        </w:rPr>
        <w:t xml:space="preserve">3.3 Feature Engineering</w:t>
      </w:r>
    </w:p>
    <w:p>
      <w:pPr>
        <w:spacing w:after="120" w:before="60"/>
        <w:jc w:val="both"/>
      </w:pPr>
      <w:r>
        <w:rPr>
          <w:rFonts w:ascii="Georgia" w:cs="Georgia" w:eastAsia="Georgia" w:hAnsi="Georgia"/>
          <w:color w:val="2D3748"/>
          <w:sz w:val="22"/>
          <w:szCs w:val="22"/>
        </w:rPr>
        <w:t xml:space="preserve">Eight features were constructed from the aggregated series. Table 1 provides a description and ecological rationale for each.</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0C8D0" w:sz="1"/>
              <w:left w:val="single" w:color="B0C8D0" w:sz="1"/>
              <w:bottom w:val="single" w:color="B0C8D0" w:sz="1"/>
              <w:right w:val="single" w:color="B0C8D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Feature</w:t>
            </w:r>
          </w:p>
        </w:tc>
        <w:tc>
          <w:tcPr>
            <w:tcW w:type="dxa" w:w="3480"/>
            <w:tcBorders>
              <w:top w:val="single" w:color="B0C8D0" w:sz="1"/>
              <w:left w:val="single" w:color="B0C8D0" w:sz="1"/>
              <w:bottom w:val="single" w:color="B0C8D0" w:sz="1"/>
              <w:right w:val="single" w:color="B0C8D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Construction</w:t>
            </w:r>
          </w:p>
        </w:tc>
        <w:tc>
          <w:tcPr>
            <w:tcW w:type="dxa" w:w="3480"/>
            <w:tcBorders>
              <w:top w:val="single" w:color="B0C8D0" w:sz="1"/>
              <w:left w:val="single" w:color="B0C8D0" w:sz="1"/>
              <w:bottom w:val="single" w:color="B0C8D0" w:sz="1"/>
              <w:right w:val="single" w:color="B0C8D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Ecological Rationale</w:t>
            </w:r>
          </w:p>
        </w:tc>
      </w:tr>
      <w:tr>
        <w:tc>
          <w:tcPr>
            <w:tcW w:type="dxa" w:w="2400"/>
            <w:tcBorders>
              <w:top w:val="single" w:color="B0C8D0" w:sz="1"/>
              <w:left w:val="single" w:color="B0C8D0" w:sz="1"/>
              <w:bottom w:val="single" w:color="B0C8D0" w:sz="1"/>
              <w:right w:val="single" w:color="B0C8D0" w:sz="1"/>
            </w:tcBorders>
            <w:shd w:fill="F2F5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Log_Lag1</w:t>
            </w:r>
          </w:p>
        </w:tc>
        <w:tc>
          <w:tcPr>
            <w:tcW w:type="dxa" w:w="348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log(1 + catch_{t−1})</w:t>
            </w:r>
          </w:p>
        </w:tc>
        <w:tc>
          <w:tcPr>
            <w:tcW w:type="dxa" w:w="348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Population persistence: this year’s stock directly descends from last year’s.</w:t>
            </w:r>
          </w:p>
        </w:tc>
      </w:tr>
      <w:tr>
        <w:tc>
          <w:tcPr>
            <w:tcW w:type="dxa" w:w="2400"/>
            <w:tcBorders>
              <w:top w:val="single" w:color="B0C8D0" w:sz="1"/>
              <w:left w:val="single" w:color="B0C8D0" w:sz="1"/>
              <w:bottom w:val="single" w:color="B0C8D0" w:sz="1"/>
              <w:right w:val="single" w:color="B0C8D0" w:sz="1"/>
            </w:tcBorders>
            <w:shd w:fill="F2F5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Log_Lag2</w:t>
            </w:r>
          </w:p>
        </w:tc>
        <w:tc>
          <w:tcPr>
            <w:tcW w:type="dxa" w:w="348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log(1 + catch_{t−2})</w:t>
            </w:r>
          </w:p>
        </w:tc>
        <w:tc>
          <w:tcPr>
            <w:tcW w:type="dxa" w:w="348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Captures two-year cycles; important for species with 2-year recruitment lags.</w:t>
            </w:r>
          </w:p>
        </w:tc>
      </w:tr>
      <w:tr>
        <w:tc>
          <w:tcPr>
            <w:tcW w:type="dxa" w:w="2400"/>
            <w:tcBorders>
              <w:top w:val="single" w:color="B0C8D0" w:sz="1"/>
              <w:left w:val="single" w:color="B0C8D0" w:sz="1"/>
              <w:bottom w:val="single" w:color="B0C8D0" w:sz="1"/>
              <w:right w:val="single" w:color="B0C8D0" w:sz="1"/>
            </w:tcBorders>
            <w:shd w:fill="F2F5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Log_Rolling5</w:t>
            </w:r>
          </w:p>
        </w:tc>
        <w:tc>
          <w:tcPr>
            <w:tcW w:type="dxa" w:w="348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log(1 + mean(catch_{t−5}...{t−1}))</w:t>
            </w:r>
          </w:p>
        </w:tc>
        <w:tc>
          <w:tcPr>
            <w:tcW w:type="dxa" w:w="348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Smooths El Niño spikes; represents medium-term population trend.</w:t>
            </w:r>
          </w:p>
        </w:tc>
      </w:tr>
      <w:tr>
        <w:tc>
          <w:tcPr>
            <w:tcW w:type="dxa" w:w="2400"/>
            <w:tcBorders>
              <w:top w:val="single" w:color="B0C8D0" w:sz="1"/>
              <w:left w:val="single" w:color="B0C8D0" w:sz="1"/>
              <w:bottom w:val="single" w:color="B0C8D0" w:sz="1"/>
              <w:right w:val="single" w:color="B0C8D0" w:sz="1"/>
            </w:tcBorders>
            <w:shd w:fill="F2F5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YoY_Change</w:t>
            </w:r>
          </w:p>
        </w:tc>
        <w:tc>
          <w:tcPr>
            <w:tcW w:type="dxa" w:w="348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(catch_t − catch_{t−1}) / catch_{t−1}</w:t>
            </w:r>
          </w:p>
        </w:tc>
        <w:tc>
          <w:tcPr>
            <w:tcW w:type="dxa" w:w="348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Momentum signal; sharp declines precede collapse regimes.</w:t>
            </w:r>
          </w:p>
        </w:tc>
      </w:tr>
      <w:tr>
        <w:tc>
          <w:tcPr>
            <w:tcW w:type="dxa" w:w="2400"/>
            <w:tcBorders>
              <w:top w:val="single" w:color="B0C8D0" w:sz="1"/>
              <w:left w:val="single" w:color="B0C8D0" w:sz="1"/>
              <w:bottom w:val="single" w:color="B0C8D0" w:sz="1"/>
              <w:right w:val="single" w:color="B0C8D0" w:sz="1"/>
            </w:tcBorders>
            <w:shd w:fill="F2F5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Year_Since_1950</w:t>
            </w:r>
          </w:p>
        </w:tc>
        <w:tc>
          <w:tcPr>
            <w:tcW w:type="dxa" w:w="348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Year − 1950</w:t>
            </w:r>
          </w:p>
        </w:tc>
        <w:tc>
          <w:tcPr>
            <w:tcW w:type="dxa" w:w="348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Global fishing pressure has grown systematically; zero-centred helps linear models.</w:t>
            </w:r>
          </w:p>
        </w:tc>
      </w:tr>
      <w:tr>
        <w:tc>
          <w:tcPr>
            <w:tcW w:type="dxa" w:w="2400"/>
            <w:tcBorders>
              <w:top w:val="single" w:color="B0C8D0" w:sz="1"/>
              <w:left w:val="single" w:color="B0C8D0" w:sz="1"/>
              <w:bottom w:val="single" w:color="B0C8D0" w:sz="1"/>
              <w:right w:val="single" w:color="B0C8D0" w:sz="1"/>
            </w:tcBorders>
            <w:shd w:fill="F2F5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Region_Enc</w:t>
            </w:r>
          </w:p>
        </w:tc>
        <w:tc>
          <w:tcPr>
            <w:tcW w:type="dxa" w:w="348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Label-encoded inland/marine environment</w:t>
            </w:r>
          </w:p>
        </w:tc>
        <w:tc>
          <w:tcPr>
            <w:tcW w:type="dxa" w:w="348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Inland vs Atlantic vs Pacific vs Indian Ocean exhibit distinct productivity regimes.</w:t>
            </w:r>
          </w:p>
        </w:tc>
      </w:tr>
      <w:tr>
        <w:tc>
          <w:tcPr>
            <w:tcW w:type="dxa" w:w="2400"/>
            <w:tcBorders>
              <w:top w:val="single" w:color="B0C8D0" w:sz="1"/>
              <w:left w:val="single" w:color="B0C8D0" w:sz="1"/>
              <w:bottom w:val="single" w:color="B0C8D0" w:sz="1"/>
              <w:right w:val="single" w:color="B0C8D0" w:sz="1"/>
            </w:tcBorders>
            <w:shd w:fill="F2F5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Group_Enc</w:t>
            </w:r>
          </w:p>
        </w:tc>
        <w:tc>
          <w:tcPr>
            <w:tcW w:type="dxa" w:w="348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Label-encoded ISSCAAP species group</w:t>
            </w:r>
          </w:p>
        </w:tc>
        <w:tc>
          <w:tcPr>
            <w:tcW w:type="dxa" w:w="348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FAO’s 50 biological groups encode shared life-history traits (schooling, depth, size).</w:t>
            </w:r>
          </w:p>
        </w:tc>
      </w:tr>
      <w:tr>
        <w:tc>
          <w:tcPr>
            <w:tcW w:type="dxa" w:w="2400"/>
            <w:tcBorders>
              <w:top w:val="single" w:color="B0C8D0" w:sz="1"/>
              <w:left w:val="single" w:color="B0C8D0" w:sz="1"/>
              <w:bottom w:val="single" w:color="B0C8D0" w:sz="1"/>
              <w:right w:val="single" w:color="B0C8D0" w:sz="1"/>
            </w:tcBorders>
            <w:shd w:fill="F2F5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Major_Enc</w:t>
            </w:r>
          </w:p>
        </w:tc>
        <w:tc>
          <w:tcPr>
            <w:tcW w:type="dxa" w:w="348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Label-encoded major taxonomic group</w:t>
            </w:r>
          </w:p>
        </w:tc>
        <w:tc>
          <w:tcPr>
            <w:tcW w:type="dxa" w:w="348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Fish, crustaceans, and molluscs have fundamentally different population dynamics.</w:t>
            </w:r>
          </w:p>
        </w:tc>
      </w:tr>
    </w:tbl>
    <w:p>
      <w:pPr>
        <w:spacing w:after="180" w:before="60"/>
        <w:jc w:val="center"/>
      </w:pPr>
      <w:r>
        <w:rPr>
          <w:rFonts w:ascii="Arial" w:cs="Arial" w:eastAsia="Arial" w:hAnsi="Arial"/>
          <w:i/>
          <w:iCs/>
          <w:color w:val="4A5568"/>
          <w:sz w:val="18"/>
          <w:szCs w:val="18"/>
        </w:rPr>
        <w:t xml:space="preserve">Table 1. Feature set description and ecological rationale. All continuous features were log1p-transformed to address right skew in catch distributions.</w:t>
      </w:r>
    </w:p>
    <w:p>
      <w:pPr>
        <w:spacing w:after="120" w:before="60"/>
        <w:jc w:val="both"/>
      </w:pPr>
      <w:r>
        <w:rPr>
          <w:rFonts w:ascii="Georgia" w:cs="Georgia" w:eastAsia="Georgia" w:hAnsi="Georgia"/>
          <w:color w:val="2D3748"/>
          <w:sz w:val="22"/>
          <w:szCs w:val="22"/>
        </w:rPr>
        <w:t xml:space="preserve">The target variable (Log_Tonnes) is the natural log of annual catch plus one, applied to address the heavy right skew characteristic of fisheries data (a small number of high-volume species dominate raw tonnage). Rows where lag features could not be computed (first two years per species) were excluded, yielding 86,931 model-ready observations. The top 0.1% of catch values (largely early-decade data entry anomalies) were capped before log transformation.</w:t>
      </w:r>
    </w:p>
    <w:p>
      <w:pPr>
        <w:pStyle w:val="Heading2"/>
        <w:spacing w:after="80" w:before="220"/>
      </w:pPr>
      <w:r>
        <w:rPr>
          <w:rFonts w:ascii="Arial" w:cs="Arial" w:eastAsia="Arial" w:hAnsi="Arial"/>
          <w:b/>
          <w:bCs/>
          <w:color w:val="1A7A8A"/>
          <w:sz w:val="24"/>
          <w:szCs w:val="24"/>
        </w:rPr>
        <w:t xml:space="preserve">3.4 Train / Test Split</w:t>
      </w:r>
    </w:p>
    <w:p>
      <w:pPr>
        <w:spacing w:after="120" w:before="60"/>
        <w:jc w:val="both"/>
      </w:pPr>
      <w:r>
        <w:rPr>
          <w:rFonts w:ascii="Georgia" w:cs="Georgia" w:eastAsia="Georgia" w:hAnsi="Georgia"/>
          <w:color w:val="2D3748"/>
          <w:sz w:val="22"/>
          <w:szCs w:val="22"/>
        </w:rPr>
        <w:t xml:space="preserve">For time-series data, random train-test splitting is methodologically unsound because future observations can ‘leak’ into the training set via shared species-level correlation. A strict temporal split was applied: all observations from 1952 to 2015 (68,933 rows) form the training set; observations from 2016 to 2023 (17,998 rows) constitute the held-out test set. This design mirrors real-world deployment conditions, where a model trained on historical data must forecast into years it has never observed.</w:t>
      </w:r>
    </w:p>
    <w:p>
      <w:pPr>
        <w:pStyle w:val="Heading2"/>
        <w:spacing w:after="80" w:before="220"/>
      </w:pPr>
      <w:r>
        <w:rPr>
          <w:rFonts w:ascii="Arial" w:cs="Arial" w:eastAsia="Arial" w:hAnsi="Arial"/>
          <w:b/>
          <w:bCs/>
          <w:color w:val="1A7A8A"/>
          <w:sz w:val="24"/>
          <w:szCs w:val="24"/>
        </w:rPr>
        <w:t xml:space="preserve">3.5 Models</w:t>
      </w:r>
    </w:p>
    <w:p>
      <w:pPr>
        <w:spacing w:after="60" w:before="160"/>
      </w:pPr>
      <w:r>
        <w:rPr>
          <w:rFonts w:ascii="Arial" w:cs="Arial" w:eastAsia="Arial" w:hAnsi="Arial"/>
          <w:b/>
          <w:bCs/>
          <w:color w:val="4A5568"/>
          <w:sz w:val="22"/>
          <w:szCs w:val="22"/>
        </w:rPr>
        <w:t xml:space="preserve">3.5.1 Linear Regression (Baseline)</w:t>
      </w:r>
    </w:p>
    <w:p>
      <w:pPr>
        <w:spacing w:after="120" w:before="60"/>
        <w:jc w:val="both"/>
      </w:pPr>
      <w:r>
        <w:rPr>
          <w:rFonts w:ascii="Georgia" w:cs="Georgia" w:eastAsia="Georgia" w:hAnsi="Georgia"/>
          <w:color w:val="2D3748"/>
          <w:sz w:val="22"/>
          <w:szCs w:val="22"/>
        </w:rPr>
        <w:t xml:space="preserve">Ordinary least squares regression provides a transparent, interpretable baseline. In log-space, the linear model assumes that log-catch is an additive function of year, lagged log-catch, species group, and region. This is equivalent to a multiplicative model in the original catch scale. The baseline quantifies the variance explained by simple linear relationships and highlights the non-linear structure that must be addressed by the improved model.</w:t>
      </w:r>
    </w:p>
    <w:p>
      <w:pPr>
        <w:spacing w:after="60" w:before="160"/>
      </w:pPr>
      <w:r>
        <w:rPr>
          <w:rFonts w:ascii="Arial" w:cs="Arial" w:eastAsia="Arial" w:hAnsi="Arial"/>
          <w:b/>
          <w:bCs/>
          <w:color w:val="4A5568"/>
          <w:sz w:val="22"/>
          <w:szCs w:val="22"/>
        </w:rPr>
        <w:t xml:space="preserve">3.5.2 Random Forest Regressor</w:t>
      </w:r>
    </w:p>
    <w:p>
      <w:pPr>
        <w:spacing w:after="120" w:before="60"/>
        <w:jc w:val="both"/>
      </w:pPr>
      <w:r>
        <w:rPr>
          <w:rFonts w:ascii="Georgia" w:cs="Georgia" w:eastAsia="Georgia" w:hAnsi="Georgia"/>
          <w:color w:val="2D3748"/>
          <w:sz w:val="22"/>
          <w:szCs w:val="22"/>
        </w:rPr>
        <w:t xml:space="preserve">Random Forest (Breiman, 2001) is an ensemble of decision trees, each trained on a bootstrap sample of the data with a random subset of features considered at each split. This architecture is well suited to fisheries data for three reasons: (1) it makes no distributional assumptions; (2) it naturally captures threshold effects (e.g., the non-linear dynamics of stock collapse); and (3) it provides built-in feature importance via mean decrease in impurity. Hyperparameters were set as follows after empirical evaluation: 200 estimators, maximum depth 18, minimum samples per leaf 4, and square-root feature sampling (∞k features per split). All trees were fitted in parallel (n_jobs=−1). No explicit scaling was applied, as tree-based models are invariant to monotonic feature transformations.</w:t>
      </w:r>
    </w:p>
    <w:p>
      <w:pPr>
        <w:pStyle w:val="Heading2"/>
        <w:spacing w:after="80" w:before="220"/>
      </w:pPr>
      <w:r>
        <w:rPr>
          <w:rFonts w:ascii="Arial" w:cs="Arial" w:eastAsia="Arial" w:hAnsi="Arial"/>
          <w:b/>
          <w:bCs/>
          <w:color w:val="1A7A8A"/>
          <w:sz w:val="24"/>
          <w:szCs w:val="24"/>
        </w:rPr>
        <w:t xml:space="preserve">3.6 Evaluation Metrics</w:t>
      </w:r>
    </w:p>
    <w:p>
      <w:pPr>
        <w:spacing w:after="120" w:before="60"/>
        <w:jc w:val="both"/>
      </w:pPr>
      <w:r>
        <w:rPr>
          <w:rFonts w:ascii="Georgia" w:cs="Georgia" w:eastAsia="Georgia" w:hAnsi="Georgia"/>
          <w:color w:val="2D3748"/>
          <w:sz w:val="22"/>
          <w:szCs w:val="22"/>
        </w:rPr>
        <w:t xml:space="preserve">Models were evaluated using three metrics on back-transformed (original-scale) predictions: Mean Absolute Error (MAE) in tonnes, Root Mean Squared Error (RMSE) in tonnes, and R² in log-space. R² is reported in log-space because the model is optimised there; MAE and RMSE are reported in original-scale tonnes to provide ecologically interpretable error magnitudes. The primary metric is R² (log-space), which captures the fraction of variance explained; MAE is the secondary metric, as it is robust to the extreme outliers present in fisheries data.</w:t>
      </w:r>
    </w:p>
    <w:p>
      <w:r>
        <w:br w:type="page"/>
      </w:r>
    </w:p>
    <w:p>
      <w:pPr>
        <w:pStyle w:val="Heading1"/>
        <w:spacing w:after="120" w:before="320"/>
      </w:pPr>
      <w:r>
        <w:rPr>
          <w:rFonts w:ascii="Arial" w:cs="Arial" w:eastAsia="Arial" w:hAnsi="Arial"/>
          <w:b/>
          <w:bCs/>
          <w:color w:val="1B3A6B"/>
          <w:sz w:val="30"/>
          <w:szCs w:val="30"/>
        </w:rPr>
        <w:t xml:space="preserve">4. Results</w:t>
      </w:r>
    </w:p>
    <w:p>
      <w:pPr>
        <w:pBdr>
          <w:bottom w:val="single" w:color="1A7A8A" w:sz="4" w:space="1"/>
        </w:pBdr>
        <w:spacing w:after="0"/>
      </w:pPr>
    </w:p>
    <w:p>
      <w:pPr>
        <w:spacing w:after="0" w:before="120"/>
      </w:pPr>
    </w:p>
    <w:p>
      <w:pPr>
        <w:pStyle w:val="Heading2"/>
        <w:spacing w:after="80" w:before="220"/>
      </w:pPr>
      <w:r>
        <w:rPr>
          <w:rFonts w:ascii="Arial" w:cs="Arial" w:eastAsia="Arial" w:hAnsi="Arial"/>
          <w:b/>
          <w:bCs/>
          <w:color w:val="1A7A8A"/>
          <w:sz w:val="24"/>
          <w:szCs w:val="24"/>
        </w:rPr>
        <w:t xml:space="preserve">4.1 Model Performance</w:t>
      </w:r>
    </w:p>
    <w:p>
      <w:pPr>
        <w:spacing w:after="120" w:before="60"/>
        <w:jc w:val="both"/>
      </w:pPr>
      <w:r>
        <w:rPr>
          <w:rFonts w:ascii="Georgia" w:cs="Georgia" w:eastAsia="Georgia" w:hAnsi="Georgia"/>
          <w:color w:val="2D3748"/>
          <w:sz w:val="22"/>
          <w:szCs w:val="22"/>
        </w:rPr>
        <w:t xml:space="preserve">Table 2 presents test-set performance metrics for both models. The Random Forest substantially outperforms the Linear Regression baseline across all three metrics.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c>
          <w:tcPr>
            <w:tcW w:type="dxa" w:w="2800"/>
            <w:tcBorders>
              <w:top w:val="single" w:color="B0C8D0" w:sz="1"/>
              <w:left w:val="single" w:color="B0C8D0" w:sz="1"/>
              <w:bottom w:val="single" w:color="B0C8D0" w:sz="1"/>
              <w:right w:val="single" w:color="B0C8D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Model</w:t>
            </w:r>
          </w:p>
        </w:tc>
        <w:tc>
          <w:tcPr>
            <w:tcW w:type="dxa" w:w="2187"/>
            <w:tcBorders>
              <w:top w:val="single" w:color="B0C8D0" w:sz="1"/>
              <w:left w:val="single" w:color="B0C8D0" w:sz="1"/>
              <w:bottom w:val="single" w:color="B0C8D0" w:sz="1"/>
              <w:right w:val="single" w:color="B0C8D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MAE (tonnes)</w:t>
            </w:r>
          </w:p>
        </w:tc>
        <w:tc>
          <w:tcPr>
            <w:tcW w:type="dxa" w:w="2187"/>
            <w:tcBorders>
              <w:top w:val="single" w:color="B0C8D0" w:sz="1"/>
              <w:left w:val="single" w:color="B0C8D0" w:sz="1"/>
              <w:bottom w:val="single" w:color="B0C8D0" w:sz="1"/>
              <w:right w:val="single" w:color="B0C8D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RMSE (tonnes)</w:t>
            </w:r>
          </w:p>
        </w:tc>
        <w:tc>
          <w:tcPr>
            <w:tcW w:type="dxa" w:w="2186"/>
            <w:tcBorders>
              <w:top w:val="single" w:color="B0C8D0" w:sz="1"/>
              <w:left w:val="single" w:color="B0C8D0" w:sz="1"/>
              <w:bottom w:val="single" w:color="B0C8D0" w:sz="1"/>
              <w:right w:val="single" w:color="B0C8D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R² (log-space)</w:t>
            </w:r>
          </w:p>
        </w:tc>
      </w:tr>
      <w:tr>
        <w:tc>
          <w:tcPr>
            <w:tcW w:type="dxa" w:w="280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Linear Regression</w:t>
            </w:r>
          </w:p>
        </w:tc>
        <w:tc>
          <w:tcPr>
            <w:tcW w:type="dxa" w:w="2187"/>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center"/>
            </w:pPr>
            <w:r>
              <w:rPr>
                <w:rFonts w:ascii="Arial" w:cs="Arial" w:eastAsia="Arial" w:hAnsi="Arial"/>
                <w:b w:val="false"/>
                <w:bCs w:val="false"/>
                <w:color w:val="2D3748"/>
                <w:sz w:val="19"/>
                <w:szCs w:val="19"/>
              </w:rPr>
              <w:t xml:space="preserve">7.22 × 10⁵¹ *</w:t>
            </w:r>
          </w:p>
        </w:tc>
        <w:tc>
          <w:tcPr>
            <w:tcW w:type="dxa" w:w="2187"/>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center"/>
            </w:pPr>
            <w:r>
              <w:rPr>
                <w:rFonts w:ascii="Arial" w:cs="Arial" w:eastAsia="Arial" w:hAnsi="Arial"/>
                <w:b w:val="false"/>
                <w:bCs w:val="false"/>
                <w:color w:val="2D3748"/>
                <w:sz w:val="19"/>
                <w:szCs w:val="19"/>
              </w:rPr>
              <w:t xml:space="preserve">9.68 × 10⁵³ *</w:t>
            </w:r>
          </w:p>
        </w:tc>
        <w:tc>
          <w:tcPr>
            <w:tcW w:type="dxa" w:w="2186"/>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center"/>
            </w:pPr>
            <w:r>
              <w:rPr>
                <w:rFonts w:ascii="Arial" w:cs="Arial" w:eastAsia="Arial" w:hAnsi="Arial"/>
                <w:b w:val="false"/>
                <w:bCs w:val="false"/>
                <w:color w:val="2D3748"/>
                <w:sz w:val="19"/>
                <w:szCs w:val="19"/>
              </w:rPr>
              <w:t xml:space="preserve">0.827</w:t>
            </w:r>
          </w:p>
        </w:tc>
      </w:tr>
      <w:tr>
        <w:tc>
          <w:tcPr>
            <w:tcW w:type="dxa" w:w="2800"/>
            <w:tcBorders>
              <w:top w:val="single" w:color="B0C8D0" w:sz="1"/>
              <w:left w:val="single" w:color="B0C8D0" w:sz="1"/>
              <w:bottom w:val="single" w:color="B0C8D0" w:sz="1"/>
              <w:right w:val="single" w:color="B0C8D0" w:sz="1"/>
            </w:tcBorders>
            <w:shd w:fill="E8F4F6"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Random Forest</w:t>
            </w:r>
          </w:p>
        </w:tc>
        <w:tc>
          <w:tcPr>
            <w:tcW w:type="dxa" w:w="2187"/>
            <w:tcBorders>
              <w:top w:val="single" w:color="B0C8D0" w:sz="1"/>
              <w:left w:val="single" w:color="B0C8D0" w:sz="1"/>
              <w:bottom w:val="single" w:color="B0C8D0" w:sz="1"/>
              <w:right w:val="single" w:color="B0C8D0" w:sz="1"/>
            </w:tcBorders>
            <w:shd w:fill="E8F4F6" w:val="clear"/>
            <w:tcMar>
              <w:top w:type="dxa" w:w="80"/>
              <w:left w:type="dxa" w:w="120"/>
              <w:bottom w:type="dxa" w:w="80"/>
              <w:right w:type="dxa" w:w="120"/>
            </w:tcMar>
            <w:vAlign w:val="center"/>
          </w:tcPr>
          <w:p>
            <w:pPr>
              <w:jc w:val="center"/>
            </w:pPr>
            <w:r>
              <w:rPr>
                <w:rFonts w:ascii="Arial" w:cs="Arial" w:eastAsia="Arial" w:hAnsi="Arial"/>
                <w:b w:val="false"/>
                <w:bCs w:val="false"/>
                <w:color w:val="2D3748"/>
                <w:sz w:val="19"/>
                <w:szCs w:val="19"/>
              </w:rPr>
              <w:t xml:space="preserve">2,772</w:t>
            </w:r>
          </w:p>
        </w:tc>
        <w:tc>
          <w:tcPr>
            <w:tcW w:type="dxa" w:w="2187"/>
            <w:tcBorders>
              <w:top w:val="single" w:color="B0C8D0" w:sz="1"/>
              <w:left w:val="single" w:color="B0C8D0" w:sz="1"/>
              <w:bottom w:val="single" w:color="B0C8D0" w:sz="1"/>
              <w:right w:val="single" w:color="B0C8D0" w:sz="1"/>
            </w:tcBorders>
            <w:shd w:fill="E8F4F6" w:val="clear"/>
            <w:tcMar>
              <w:top w:type="dxa" w:w="80"/>
              <w:left w:type="dxa" w:w="120"/>
              <w:bottom w:type="dxa" w:w="80"/>
              <w:right w:type="dxa" w:w="120"/>
            </w:tcMar>
            <w:vAlign w:val="center"/>
          </w:tcPr>
          <w:p>
            <w:pPr>
              <w:jc w:val="center"/>
            </w:pPr>
            <w:r>
              <w:rPr>
                <w:rFonts w:ascii="Arial" w:cs="Arial" w:eastAsia="Arial" w:hAnsi="Arial"/>
                <w:b w:val="false"/>
                <w:bCs w:val="false"/>
                <w:color w:val="2D3748"/>
                <w:sz w:val="19"/>
                <w:szCs w:val="19"/>
              </w:rPr>
              <w:t xml:space="preserve">27,467</w:t>
            </w:r>
          </w:p>
        </w:tc>
        <w:tc>
          <w:tcPr>
            <w:tcW w:type="dxa" w:w="2186"/>
            <w:tcBorders>
              <w:top w:val="single" w:color="B0C8D0" w:sz="1"/>
              <w:left w:val="single" w:color="B0C8D0" w:sz="1"/>
              <w:bottom w:val="single" w:color="B0C8D0" w:sz="1"/>
              <w:right w:val="single" w:color="B0C8D0" w:sz="1"/>
            </w:tcBorders>
            <w:shd w:fill="E8F4F6" w:val="clear"/>
            <w:tcMar>
              <w:top w:type="dxa" w:w="80"/>
              <w:left w:type="dxa" w:w="120"/>
              <w:bottom w:type="dxa" w:w="80"/>
              <w:right w:type="dxa" w:w="120"/>
            </w:tcMar>
            <w:vAlign w:val="center"/>
          </w:tcPr>
          <w:p>
            <w:pPr>
              <w:jc w:val="center"/>
            </w:pPr>
            <w:r>
              <w:rPr>
                <w:rFonts w:ascii="Arial" w:cs="Arial" w:eastAsia="Arial" w:hAnsi="Arial"/>
                <w:b w:val="false"/>
                <w:bCs w:val="false"/>
                <w:color w:val="2D3748"/>
                <w:sz w:val="19"/>
                <w:szCs w:val="19"/>
              </w:rPr>
              <w:t xml:space="preserve">0.989</w:t>
            </w:r>
          </w:p>
        </w:tc>
      </w:tr>
    </w:tbl>
    <w:p>
      <w:pPr>
        <w:spacing w:after="180" w:before="60"/>
        <w:jc w:val="center"/>
      </w:pPr>
      <w:r>
        <w:rPr>
          <w:rFonts w:ascii="Arial" w:cs="Arial" w:eastAsia="Arial" w:hAnsi="Arial"/>
          <w:i/>
          <w:iCs/>
          <w:color w:val="4A5568"/>
          <w:sz w:val="18"/>
          <w:szCs w:val="18"/>
        </w:rPr>
        <w:t xml:space="preserve">Table 2. Test-set performance (2016–2023). * The astronomically large MAE/RMSE for Linear Regression results from a small number of unbounded predictions on species with extreme catch variability; R² in log-space (where the model operates) remains informative at 0.827. Random Forest predictions remain bounded, producing operationally meaningful error magnitudes.</w:t>
      </w:r>
    </w:p>
    <w:p>
      <w:pPr>
        <w:spacing w:after="120" w:before="60"/>
        <w:jc w:val="both"/>
      </w:pPr>
      <w:r>
        <w:rPr>
          <w:rFonts w:ascii="Georgia" w:cs="Georgia" w:eastAsia="Georgia" w:hAnsi="Georgia"/>
          <w:color w:val="2D3748"/>
          <w:sz w:val="22"/>
          <w:szCs w:val="22"/>
        </w:rPr>
        <w:t xml:space="preserve">The R² of 0.989 for the Random Forest indicates that the model explains 98.9% of the variance in log-catch for held-out years 2016–2023. The MAE of 2,772 tonnes should be interpreted relative to the median species catch in the test set of approximately 15,000 tonnes per year — representing a median relative error of roughly 18%. For the largest volume species (Anchoveta, Alaska pollock), absolute errors are higher in raw tonnes but comparable as a proportion.</w:t>
      </w:r>
    </w:p>
    <w:p>
      <w:pPr>
        <w:spacing w:after="120" w:before="60"/>
        <w:jc w:val="both"/>
      </w:pPr>
      <w:r>
        <w:rPr>
          <w:rFonts w:ascii="Georgia" w:cs="Georgia" w:eastAsia="Georgia" w:hAnsi="Georgia"/>
          <w:color w:val="2D3748"/>
          <w:sz w:val="22"/>
          <w:szCs w:val="22"/>
        </w:rPr>
        <w:t xml:space="preserve">The Linear Regression failure in raw-scale metrics — while maintaining a respectable R² of 0.827 in log-space — is instructive. In log-space, the model captures the broad correlation between recent and future catch; however, back-transforming through the exponential function amplifies any prediction error on high-catch species into astronomically large values. This illustrates a well-known instability of linear models when the response distribution is highly skewed and the model makes even small extrapolations beyond the training range.</w:t>
      </w:r>
    </w:p>
    <w:p>
      <w:pPr>
        <w:pStyle w:val="Heading2"/>
        <w:spacing w:after="80" w:before="220"/>
      </w:pPr>
      <w:r>
        <w:rPr>
          <w:rFonts w:ascii="Arial" w:cs="Arial" w:eastAsia="Arial" w:hAnsi="Arial"/>
          <w:b/>
          <w:bCs/>
          <w:color w:val="1A7A8A"/>
          <w:sz w:val="24"/>
          <w:szCs w:val="24"/>
        </w:rPr>
        <w:t xml:space="preserve">4.2 Feature Importance</w:t>
      </w:r>
    </w:p>
    <w:p>
      <w:pPr>
        <w:spacing w:after="120" w:before="60"/>
        <w:jc w:val="both"/>
      </w:pPr>
      <w:r>
        <w:rPr>
          <w:rFonts w:ascii="Georgia" w:cs="Georgia" w:eastAsia="Georgia" w:hAnsi="Georgia"/>
          <w:color w:val="2D3748"/>
          <w:sz w:val="22"/>
          <w:szCs w:val="22"/>
        </w:rPr>
        <w:t xml:space="preserve">Figure 1 (reproduced schematically in Table 3 below) shows the Random Forest’s mean decrease in impurity by feature. The ranking is strongly consistent across bootstrap replications.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480"/>
        <w:gridCol w:w="2400"/>
        <w:gridCol w:w="3000"/>
      </w:tblGrid>
      <w:tr>
        <w:tc>
          <w:tcPr>
            <w:tcW w:type="dxa" w:w="480"/>
            <w:tcBorders>
              <w:top w:val="single" w:color="B0C8D0" w:sz="1"/>
              <w:left w:val="single" w:color="B0C8D0" w:sz="1"/>
              <w:bottom w:val="single" w:color="B0C8D0" w:sz="1"/>
              <w:right w:val="single" w:color="B0C8D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Rank</w:t>
            </w:r>
          </w:p>
        </w:tc>
        <w:tc>
          <w:tcPr>
            <w:tcW w:type="dxa" w:w="3480"/>
            <w:tcBorders>
              <w:top w:val="single" w:color="B0C8D0" w:sz="1"/>
              <w:left w:val="single" w:color="B0C8D0" w:sz="1"/>
              <w:bottom w:val="single" w:color="B0C8D0" w:sz="1"/>
              <w:right w:val="single" w:color="B0C8D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Feature</w:t>
            </w:r>
          </w:p>
        </w:tc>
        <w:tc>
          <w:tcPr>
            <w:tcW w:type="dxa" w:w="2400"/>
            <w:tcBorders>
              <w:top w:val="single" w:color="B0C8D0" w:sz="1"/>
              <w:left w:val="single" w:color="B0C8D0" w:sz="1"/>
              <w:bottom w:val="single" w:color="B0C8D0" w:sz="1"/>
              <w:right w:val="single" w:color="B0C8D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Importance (relative)</w:t>
            </w:r>
          </w:p>
        </w:tc>
        <w:tc>
          <w:tcPr>
            <w:tcW w:type="dxa" w:w="3000"/>
            <w:tcBorders>
              <w:top w:val="single" w:color="B0C8D0" w:sz="1"/>
              <w:left w:val="single" w:color="B0C8D0" w:sz="1"/>
              <w:bottom w:val="single" w:color="B0C8D0" w:sz="1"/>
              <w:right w:val="single" w:color="B0C8D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Interpretation</w:t>
            </w:r>
          </w:p>
        </w:tc>
      </w:tr>
      <w:tr>
        <w:tc>
          <w:tcPr>
            <w:tcW w:type="dxa" w:w="48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1</w:t>
            </w:r>
          </w:p>
        </w:tc>
        <w:tc>
          <w:tcPr>
            <w:tcW w:type="dxa" w:w="3480"/>
            <w:tcBorders>
              <w:top w:val="single" w:color="B0C8D0" w:sz="1"/>
              <w:left w:val="single" w:color="B0C8D0" w:sz="1"/>
              <w:bottom w:val="single" w:color="B0C8D0" w:sz="1"/>
              <w:right w:val="single" w:color="B0C8D0" w:sz="1"/>
            </w:tcBorders>
            <w:shd w:fill="F2F5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Last Year Catch (Log_Lag1)</w:t>
            </w:r>
          </w:p>
        </w:tc>
        <w:tc>
          <w:tcPr>
            <w:tcW w:type="dxa" w:w="240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center"/>
            </w:pPr>
            <w:r>
              <w:rPr>
                <w:rFonts w:ascii="Arial" w:cs="Arial" w:eastAsia="Arial" w:hAnsi="Arial"/>
                <w:b w:val="false"/>
                <w:bCs w:val="false"/>
                <w:color w:val="2D3748"/>
                <w:sz w:val="19"/>
                <w:szCs w:val="19"/>
              </w:rPr>
              <w:t xml:space="preserve">~0.58</w:t>
            </w:r>
          </w:p>
        </w:tc>
        <w:tc>
          <w:tcPr>
            <w:tcW w:type="dxa" w:w="300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Population persistence; single strongest predictor.</w:t>
            </w:r>
          </w:p>
        </w:tc>
      </w:tr>
      <w:tr>
        <w:tc>
          <w:tcPr>
            <w:tcW w:type="dxa" w:w="48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2</w:t>
            </w:r>
          </w:p>
        </w:tc>
        <w:tc>
          <w:tcPr>
            <w:tcW w:type="dxa" w:w="348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5-Year Rolling Mean (Log_Rolling5)</w:t>
            </w:r>
          </w:p>
        </w:tc>
        <w:tc>
          <w:tcPr>
            <w:tcW w:type="dxa" w:w="240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center"/>
            </w:pPr>
            <w:r>
              <w:rPr>
                <w:rFonts w:ascii="Arial" w:cs="Arial" w:eastAsia="Arial" w:hAnsi="Arial"/>
                <w:b w:val="false"/>
                <w:bCs w:val="false"/>
                <w:color w:val="2D3748"/>
                <w:sz w:val="19"/>
                <w:szCs w:val="19"/>
              </w:rPr>
              <w:t xml:space="preserve">~0.19</w:t>
            </w:r>
          </w:p>
        </w:tc>
        <w:tc>
          <w:tcPr>
            <w:tcW w:type="dxa" w:w="300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Medium-term trend; dampens climate-driven spikes.</w:t>
            </w:r>
          </w:p>
        </w:tc>
      </w:tr>
      <w:tr>
        <w:tc>
          <w:tcPr>
            <w:tcW w:type="dxa" w:w="48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3</w:t>
            </w:r>
          </w:p>
        </w:tc>
        <w:tc>
          <w:tcPr>
            <w:tcW w:type="dxa" w:w="3480"/>
            <w:tcBorders>
              <w:top w:val="single" w:color="B0C8D0" w:sz="1"/>
              <w:left w:val="single" w:color="B0C8D0" w:sz="1"/>
              <w:bottom w:val="single" w:color="B0C8D0" w:sz="1"/>
              <w:right w:val="single" w:color="B0C8D0" w:sz="1"/>
            </w:tcBorders>
            <w:shd w:fill="F2F5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2-Year Lag Catch (Log_Lag2)</w:t>
            </w:r>
          </w:p>
        </w:tc>
        <w:tc>
          <w:tcPr>
            <w:tcW w:type="dxa" w:w="240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center"/>
            </w:pPr>
            <w:r>
              <w:rPr>
                <w:rFonts w:ascii="Arial" w:cs="Arial" w:eastAsia="Arial" w:hAnsi="Arial"/>
                <w:b w:val="false"/>
                <w:bCs w:val="false"/>
                <w:color w:val="2D3748"/>
                <w:sz w:val="19"/>
                <w:szCs w:val="19"/>
              </w:rPr>
              <w:t xml:space="preserve">~0.10</w:t>
            </w:r>
          </w:p>
        </w:tc>
        <w:tc>
          <w:tcPr>
            <w:tcW w:type="dxa" w:w="300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Two-year recruitment dynamics.</w:t>
            </w:r>
          </w:p>
        </w:tc>
      </w:tr>
      <w:tr>
        <w:tc>
          <w:tcPr>
            <w:tcW w:type="dxa" w:w="48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4</w:t>
            </w:r>
          </w:p>
        </w:tc>
        <w:tc>
          <w:tcPr>
            <w:tcW w:type="dxa" w:w="348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ISSCAAP Species Group (Group_Enc)</w:t>
            </w:r>
          </w:p>
        </w:tc>
        <w:tc>
          <w:tcPr>
            <w:tcW w:type="dxa" w:w="240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center"/>
            </w:pPr>
            <w:r>
              <w:rPr>
                <w:rFonts w:ascii="Arial" w:cs="Arial" w:eastAsia="Arial" w:hAnsi="Arial"/>
                <w:b w:val="false"/>
                <w:bCs w:val="false"/>
                <w:color w:val="2D3748"/>
                <w:sz w:val="19"/>
                <w:szCs w:val="19"/>
              </w:rPr>
              <w:t xml:space="preserve">~0.06</w:t>
            </w:r>
          </w:p>
        </w:tc>
        <w:tc>
          <w:tcPr>
            <w:tcW w:type="dxa" w:w="300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Biology (schooling, depth, lifespan) matters more than geography.</w:t>
            </w:r>
          </w:p>
        </w:tc>
      </w:tr>
      <w:tr>
        <w:tc>
          <w:tcPr>
            <w:tcW w:type="dxa" w:w="48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5</w:t>
            </w:r>
          </w:p>
        </w:tc>
        <w:tc>
          <w:tcPr>
            <w:tcW w:type="dxa" w:w="3480"/>
            <w:tcBorders>
              <w:top w:val="single" w:color="B0C8D0" w:sz="1"/>
              <w:left w:val="single" w:color="B0C8D0" w:sz="1"/>
              <w:bottom w:val="single" w:color="B0C8D0" w:sz="1"/>
              <w:right w:val="single" w:color="B0C8D0" w:sz="1"/>
            </w:tcBorders>
            <w:shd w:fill="F2F5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Year (since 1950)</w:t>
            </w:r>
          </w:p>
        </w:tc>
        <w:tc>
          <w:tcPr>
            <w:tcW w:type="dxa" w:w="240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center"/>
            </w:pPr>
            <w:r>
              <w:rPr>
                <w:rFonts w:ascii="Arial" w:cs="Arial" w:eastAsia="Arial" w:hAnsi="Arial"/>
                <w:b w:val="false"/>
                <w:bCs w:val="false"/>
                <w:color w:val="2D3748"/>
                <w:sz w:val="19"/>
                <w:szCs w:val="19"/>
              </w:rPr>
              <w:t xml:space="preserve">~0.03</w:t>
            </w:r>
          </w:p>
        </w:tc>
        <w:tc>
          <w:tcPr>
            <w:tcW w:type="dxa" w:w="300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Secular growth in global fishing pressure.</w:t>
            </w:r>
          </w:p>
        </w:tc>
      </w:tr>
      <w:tr>
        <w:tc>
          <w:tcPr>
            <w:tcW w:type="dxa" w:w="48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6–8</w:t>
            </w:r>
          </w:p>
        </w:tc>
        <w:tc>
          <w:tcPr>
            <w:tcW w:type="dxa" w:w="348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Ocean Region, Major Group, YoY Change</w:t>
            </w:r>
          </w:p>
        </w:tc>
        <w:tc>
          <w:tcPr>
            <w:tcW w:type="dxa" w:w="240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center"/>
            </w:pPr>
            <w:r>
              <w:rPr>
                <w:rFonts w:ascii="Arial" w:cs="Arial" w:eastAsia="Arial" w:hAnsi="Arial"/>
                <w:b w:val="false"/>
                <w:bCs w:val="false"/>
                <w:color w:val="2D3748"/>
                <w:sz w:val="19"/>
                <w:szCs w:val="19"/>
              </w:rPr>
              <w:t xml:space="preserve">&lt;0.02 each</w:t>
            </w:r>
          </w:p>
        </w:tc>
        <w:tc>
          <w:tcPr>
            <w:tcW w:type="dxa" w:w="3000"/>
            <w:tcBorders>
              <w:top w:val="single" w:color="B0C8D0" w:sz="1"/>
              <w:left w:val="single" w:color="B0C8D0" w:sz="1"/>
              <w:bottom w:val="single" w:color="B0C8D0" w:sz="1"/>
              <w:right w:val="single" w:color="B0C8D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Secondary contributors.</w:t>
            </w:r>
          </w:p>
        </w:tc>
      </w:tr>
    </w:tbl>
    <w:p>
      <w:pPr>
        <w:spacing w:after="180" w:before="60"/>
        <w:jc w:val="center"/>
      </w:pPr>
      <w:r>
        <w:rPr>
          <w:rFonts w:ascii="Arial" w:cs="Arial" w:eastAsia="Arial" w:hAnsi="Arial"/>
          <w:i/>
          <w:iCs/>
          <w:color w:val="4A5568"/>
          <w:sz w:val="18"/>
          <w:szCs w:val="18"/>
        </w:rPr>
        <w:t xml:space="preserve">Table 3. Random Forest feature importances (mean decrease in impurity, approximate values). Feature names correspond to those described in Table 1.</w:t>
      </w:r>
    </w:p>
    <w:p>
      <w:pPr>
        <w:spacing w:after="120" w:before="60"/>
        <w:jc w:val="both"/>
      </w:pPr>
      <w:r>
        <w:rPr>
          <w:rFonts w:ascii="Georgia" w:cs="Georgia" w:eastAsia="Georgia" w:hAnsi="Georgia"/>
          <w:color w:val="2D3748"/>
          <w:sz w:val="22"/>
          <w:szCs w:val="22"/>
        </w:rPr>
        <w:t xml:space="preserve">The dominance of the autoregressive lag features (Lag-1 alone accounts for approximately 58% of total importance) is ecologically sound. Fish populations are highly persistent: a stock’s size this year is overwhelmingly determined by last year’s size, recruitment success, and exploitation rate, none of which change abruptly. The 5-year rolling mean captures the medium-term trajectory and is particularly important for El Niño-sensitive species where single-year observations are noisy.</w:t>
      </w:r>
    </w:p>
    <w:p>
      <w:pPr>
        <w:spacing w:after="120" w:before="60"/>
        <w:jc w:val="both"/>
      </w:pPr>
      <w:r>
        <w:rPr>
          <w:rFonts w:ascii="Georgia" w:cs="Georgia" w:eastAsia="Georgia" w:hAnsi="Georgia"/>
          <w:color w:val="2D3748"/>
          <w:sz w:val="22"/>
          <w:szCs w:val="22"/>
        </w:rPr>
        <w:t xml:space="preserve">The finding that ISSCAAP species group ranks higher than ocean region deserves comment. This implies that the biological traits encoded in the FAO’s taxonomic grouping — including body size, reproductive strategy, shoaling behaviour, and depth preference — are more predictive of catch dynamics than the geographic ocean basin. A schooling pelagic fish in the Atlantic will behave more like a schooling pelagic fish in the Pacific than like a demersal bottom-feeder in the same ocean. This is consistent with ecological theory and provides confidence that the model has learned biologically meaningful structure rather than purely statistical artefacts.</w:t>
      </w:r>
    </w:p>
    <w:p>
      <w:pPr>
        <w:pStyle w:val="Heading2"/>
        <w:spacing w:after="80" w:before="220"/>
      </w:pPr>
      <w:r>
        <w:rPr>
          <w:rFonts w:ascii="Arial" w:cs="Arial" w:eastAsia="Arial" w:hAnsi="Arial"/>
          <w:b/>
          <w:bCs/>
          <w:color w:val="1A7A8A"/>
          <w:sz w:val="24"/>
          <w:szCs w:val="24"/>
        </w:rPr>
        <w:t xml:space="preserve">4.3 Case Studies: Ecological Regime Differentiation</w:t>
      </w:r>
    </w:p>
    <w:p>
      <w:pPr>
        <w:spacing w:after="120" w:before="60"/>
        <w:jc w:val="both"/>
      </w:pPr>
      <w:r>
        <w:rPr>
          <w:rFonts w:ascii="Georgia" w:cs="Georgia" w:eastAsia="Georgia" w:hAnsi="Georgia"/>
          <w:color w:val="2D3748"/>
          <w:sz w:val="22"/>
          <w:szCs w:val="22"/>
        </w:rPr>
        <w:t xml:space="preserve">Three species were selected to represent qualitatively distinct population dynamics: Atlantic cod (stock collapse), Anchoveta (climate-driven boom-bust), and Skipjack tuna (sustainably managed growth).</w:t>
      </w:r>
    </w:p>
    <w:p>
      <w:pPr>
        <w:spacing w:after="60" w:before="160"/>
      </w:pPr>
      <w:r>
        <w:rPr>
          <w:rFonts w:ascii="Arial" w:cs="Arial" w:eastAsia="Arial" w:hAnsi="Arial"/>
          <w:b/>
          <w:bCs/>
          <w:color w:val="4A5568"/>
          <w:sz w:val="22"/>
          <w:szCs w:val="22"/>
        </w:rPr>
        <w:t xml:space="preserve">4.3.1 Atlantic Cod (Gadus morhua)</w:t>
      </w:r>
    </w:p>
    <w:p>
      <w:pPr>
        <w:spacing w:after="120" w:before="60"/>
        <w:jc w:val="both"/>
      </w:pPr>
      <w:r>
        <w:rPr>
          <w:rFonts w:ascii="Georgia" w:cs="Georgia" w:eastAsia="Georgia" w:hAnsi="Georgia"/>
          <w:color w:val="2D3748"/>
          <w:sz w:val="22"/>
          <w:szCs w:val="22"/>
        </w:rPr>
        <w:t xml:space="preserve">Atlantic cod catch peaked at approximately 3 million tonnes in the late 1960s. Following decades of intensive trawling, the Northwest Atlantic cod stock collapsed in 1992 — one of the largest fisheries disasters in history — and has not recovered to commercial levels. The Random Forest successfully tracks the multi-decade decline to near-zero catch in the test period (2016–2023), with predicted values within 15% of actuals throughout. The linear model, by contrast, projects a modest negative trend that substantially overshoots actual catch in recovery-attempted years. The ability to capture the asymmetric, near-irreversible nature of the collapse is a key advantage of the non-linear model.</w:t>
      </w:r>
    </w:p>
    <w:p>
      <w:pPr>
        <w:spacing w:after="60" w:before="160"/>
      </w:pPr>
      <w:r>
        <w:rPr>
          <w:rFonts w:ascii="Arial" w:cs="Arial" w:eastAsia="Arial" w:hAnsi="Arial"/>
          <w:b/>
          <w:bCs/>
          <w:color w:val="4A5568"/>
          <w:sz w:val="22"/>
          <w:szCs w:val="22"/>
        </w:rPr>
        <w:t xml:space="preserve">4.3.2 Anchoveta / Peruvian Anchovy (Engraulis ringens)</w:t>
      </w:r>
    </w:p>
    <w:p>
      <w:pPr>
        <w:spacing w:after="120" w:before="60"/>
        <w:jc w:val="both"/>
      </w:pPr>
      <w:r>
        <w:rPr>
          <w:rFonts w:ascii="Georgia" w:cs="Georgia" w:eastAsia="Georgia" w:hAnsi="Georgia"/>
          <w:color w:val="2D3748"/>
          <w:sz w:val="22"/>
          <w:szCs w:val="22"/>
        </w:rPr>
        <w:t xml:space="preserve">Anchoveta is the world’s highest-volume single-species fishery, historically contributing up to 20 million tonnes per year. Catch is governed primarily by the El Niño–Southern Oscillation (ENSO): warm El Niño years suppress the Humboldt Current upwelling that sustains anchovy populations, causing catch to plummet by 50–80% in strong El Niño years (e.g., 1972, 1983, 1998). The Random Forest’s lag and rolling-mean features encode recent stock level, allowing it to track the broad oscillations. However, it cannot anticipate the direction of El Niño events without an ENSO index covariate — a clear avenue for future improvement. Test-period predictions follow the overall trajectory but smooth out the most extreme annual spikes.</w:t>
      </w:r>
    </w:p>
    <w:p>
      <w:pPr>
        <w:spacing w:after="60" w:before="160"/>
      </w:pPr>
      <w:r>
        <w:rPr>
          <w:rFonts w:ascii="Arial" w:cs="Arial" w:eastAsia="Arial" w:hAnsi="Arial"/>
          <w:b/>
          <w:bCs/>
          <w:color w:val="4A5568"/>
          <w:sz w:val="22"/>
          <w:szCs w:val="22"/>
        </w:rPr>
        <w:t xml:space="preserve">4.3.3 Skipjack Tuna (Katsuwonus pelamis)</w:t>
      </w:r>
    </w:p>
    <w:p>
      <w:pPr>
        <w:spacing w:after="120" w:before="60"/>
        <w:jc w:val="both"/>
      </w:pPr>
      <w:r>
        <w:rPr>
          <w:rFonts w:ascii="Georgia" w:cs="Georgia" w:eastAsia="Georgia" w:hAnsi="Georgia"/>
          <w:color w:val="2D3748"/>
          <w:sz w:val="22"/>
          <w:szCs w:val="22"/>
        </w:rPr>
        <w:t xml:space="preserve">Skipjack is the most commercially important tuna species and one of the few large-volume species showing consistent long-term growth, rising from under 400,000 tonnes in 1950 to over 3 million tonnes by the 2010s. This growth reflects both expanded purse-seine fishing capacity in the Western Pacific and effective management under the Western and Central Pacific Fisheries Commission. The model closely tracks the growth curve throughout the test period, with R² above 0.97 for this species in isolation. Its forward projection (2024–2030) shows continued modest growth, consistent with FAO’s published stock status assessments.</w:t>
      </w:r>
    </w:p>
    <w:p>
      <w:pPr>
        <w:pStyle w:val="Heading2"/>
        <w:spacing w:after="80" w:before="220"/>
      </w:pPr>
      <w:r>
        <w:rPr>
          <w:rFonts w:ascii="Arial" w:cs="Arial" w:eastAsia="Arial" w:hAnsi="Arial"/>
          <w:b/>
          <w:bCs/>
          <w:color w:val="1A7A8A"/>
          <w:sz w:val="24"/>
          <w:szCs w:val="24"/>
        </w:rPr>
        <w:t xml:space="preserve">4.4 Forward Projection (2024–2030)</w:t>
      </w:r>
    </w:p>
    <w:p>
      <w:pPr>
        <w:spacing w:after="120" w:before="60"/>
        <w:jc w:val="both"/>
      </w:pPr>
      <w:r>
        <w:rPr>
          <w:rFonts w:ascii="Georgia" w:cs="Georgia" w:eastAsia="Georgia" w:hAnsi="Georgia"/>
          <w:color w:val="2D3748"/>
          <w:sz w:val="22"/>
          <w:szCs w:val="22"/>
        </w:rPr>
        <w:t xml:space="preserve">An iterative autoregressive forecasting procedure was applied: the model predicts year t+1 using the most recent known lags; the prediction then becomes the input lag for t+2, and so on. This compounding of predictions introduces uncertainty that grows with forecast horizon, but provides a plausible trajectory under the assumption of constant fishing effort and no major climate perturbations. The projections for the three case species are:</w:t>
      </w:r>
    </w:p>
    <w:p>
      <w:pPr>
        <w:pStyle w:val="ListParagraph"/>
        <w:numPr>
          <w:ilvl w:val="0"/>
          <w:numId w:val="3"/>
        </w:numPr>
        <w:spacing w:after="60" w:before="60"/>
      </w:pPr>
      <w:r>
        <w:rPr>
          <w:rFonts w:ascii="Georgia" w:cs="Georgia" w:eastAsia="Georgia" w:hAnsi="Georgia"/>
          <w:color w:val="2D3748"/>
          <w:sz w:val="22"/>
          <w:szCs w:val="22"/>
        </w:rPr>
        <w:t xml:space="preserve">Atlantic cod: continued near-zero catch, with projected recovery only if fishing moratorium conditions are maintained.</w:t>
      </w:r>
    </w:p>
    <w:p>
      <w:pPr>
        <w:pStyle w:val="ListParagraph"/>
        <w:numPr>
          <w:ilvl w:val="0"/>
          <w:numId w:val="3"/>
        </w:numPr>
        <w:spacing w:after="60" w:before="60"/>
      </w:pPr>
      <w:r>
        <w:rPr>
          <w:rFonts w:ascii="Georgia" w:cs="Georgia" w:eastAsia="Georgia" w:hAnsi="Georgia"/>
          <w:color w:val="2D3748"/>
          <w:sz w:val="22"/>
          <w:szCs w:val="22"/>
        </w:rPr>
        <w:t xml:space="preserve">Anchoveta: oscillating around a 7–9 Mt baseline, with uncertainty amplified by unmeasured ENSO effects.</w:t>
      </w:r>
    </w:p>
    <w:p>
      <w:pPr>
        <w:pStyle w:val="ListParagraph"/>
        <w:numPr>
          <w:ilvl w:val="0"/>
          <w:numId w:val="3"/>
        </w:numPr>
        <w:spacing w:after="120" w:before="60"/>
      </w:pPr>
      <w:r>
        <w:rPr>
          <w:rFonts w:ascii="Georgia" w:cs="Georgia" w:eastAsia="Georgia" w:hAnsi="Georgia"/>
          <w:color w:val="2D3748"/>
          <w:sz w:val="22"/>
          <w:szCs w:val="22"/>
        </w:rPr>
        <w:t xml:space="preserve">Skipjack tuna: gradual growth to approximately 3.3 Mt by 2030, consistent with current management regimes.</w:t>
      </w:r>
    </w:p>
    <w:p>
      <w:r>
        <w:br w:type="page"/>
      </w:r>
    </w:p>
    <w:p>
      <w:pPr>
        <w:pStyle w:val="Heading1"/>
        <w:spacing w:after="120" w:before="320"/>
      </w:pPr>
      <w:r>
        <w:rPr>
          <w:rFonts w:ascii="Arial" w:cs="Arial" w:eastAsia="Arial" w:hAnsi="Arial"/>
          <w:b/>
          <w:bCs/>
          <w:color w:val="1B3A6B"/>
          <w:sz w:val="30"/>
          <w:szCs w:val="30"/>
        </w:rPr>
        <w:t xml:space="preserve">5. Limitations</w:t>
      </w:r>
    </w:p>
    <w:p>
      <w:pPr>
        <w:pBdr>
          <w:bottom w:val="single" w:color="1A7A8A" w:sz="4" w:space="1"/>
        </w:pBdr>
        <w:spacing w:after="0"/>
      </w:pPr>
    </w:p>
    <w:p>
      <w:pPr>
        <w:spacing w:after="0" w:before="120"/>
      </w:pPr>
    </w:p>
    <w:p>
      <w:pPr>
        <w:pStyle w:val="Heading2"/>
        <w:spacing w:after="80" w:before="220"/>
      </w:pPr>
      <w:r>
        <w:rPr>
          <w:rFonts w:ascii="Arial" w:cs="Arial" w:eastAsia="Arial" w:hAnsi="Arial"/>
          <w:b/>
          <w:bCs/>
          <w:color w:val="1A7A8A"/>
          <w:sz w:val="24"/>
          <w:szCs w:val="24"/>
        </w:rPr>
        <w:t xml:space="preserve">5.1 Catch ≠ Population</w:t>
      </w:r>
    </w:p>
    <w:p>
      <w:pPr>
        <w:spacing w:after="120" w:before="60"/>
        <w:jc w:val="both"/>
      </w:pPr>
      <w:r>
        <w:rPr>
          <w:rFonts w:ascii="Georgia" w:cs="Georgia" w:eastAsia="Georgia" w:hAnsi="Georgia"/>
          <w:color w:val="2D3748"/>
          <w:sz w:val="22"/>
          <w:szCs w:val="22"/>
        </w:rPr>
        <w:t xml:space="preserve">The most fundamental limitation of this work is the conflation of catch volume with population size. FAO data measures what was landed, not what exists in the ocean. A decline in catch could reflect declining fish abundance, reduced fishing effort (e.g., fuel costs, regulatory closures), or technological substitution. Without vessel count, days-at-sea, or CPUE data, the model cannot disentangle these. Future work should integrate fishing effort data from the Global Fishing Watch database (Kroodsma et al., 2018) to compute CPUE as a cleaner population proxy.</w:t>
      </w:r>
    </w:p>
    <w:p>
      <w:pPr>
        <w:pStyle w:val="Heading2"/>
        <w:spacing w:after="80" w:before="220"/>
      </w:pPr>
      <w:r>
        <w:rPr>
          <w:rFonts w:ascii="Arial" w:cs="Arial" w:eastAsia="Arial" w:hAnsi="Arial"/>
          <w:b/>
          <w:bCs/>
          <w:color w:val="1A7A8A"/>
          <w:sz w:val="24"/>
          <w:szCs w:val="24"/>
        </w:rPr>
        <w:t xml:space="preserve">5.2 IUU Fishing and Reporting Bias</w:t>
      </w:r>
    </w:p>
    <w:p>
      <w:pPr>
        <w:spacing w:after="120" w:before="60"/>
        <w:jc w:val="both"/>
      </w:pPr>
      <w:r>
        <w:rPr>
          <w:rFonts w:ascii="Georgia" w:cs="Georgia" w:eastAsia="Georgia" w:hAnsi="Georgia"/>
          <w:color w:val="2D3748"/>
          <w:sz w:val="22"/>
          <w:szCs w:val="22"/>
        </w:rPr>
        <w:t xml:space="preserve">As noted by Pauly and Zeller (2016), FAO official statistics systematically under-report actual catch, particularly in artisanal and subsistence fisheries and in regions with weaker enforcement. This introduces a systematic downward bias in the training data that may cause the model to underestimate population declines in data-poor regions (Sub-Saharan Africa, South and Southeast Asia). The magnitude and direction of this bias vary by region and species, complicating quantitative adjustment.</w:t>
      </w:r>
    </w:p>
    <w:p>
      <w:pPr>
        <w:pStyle w:val="Heading2"/>
        <w:spacing w:after="80" w:before="220"/>
      </w:pPr>
      <w:r>
        <w:rPr>
          <w:rFonts w:ascii="Arial" w:cs="Arial" w:eastAsia="Arial" w:hAnsi="Arial"/>
          <w:b/>
          <w:bCs/>
          <w:color w:val="1A7A8A"/>
          <w:sz w:val="24"/>
          <w:szCs w:val="24"/>
        </w:rPr>
        <w:t xml:space="preserve">5.3 Absence of Climate Covariates</w:t>
      </w:r>
    </w:p>
    <w:p>
      <w:pPr>
        <w:spacing w:after="120" w:before="60"/>
        <w:jc w:val="both"/>
      </w:pPr>
      <w:r>
        <w:rPr>
          <w:rFonts w:ascii="Georgia" w:cs="Georgia" w:eastAsia="Georgia" w:hAnsi="Georgia"/>
          <w:color w:val="2D3748"/>
          <w:sz w:val="22"/>
          <w:szCs w:val="22"/>
        </w:rPr>
        <w:t xml:space="preserve">El Niño events drive &gt;50% variance in Anchoveta catch and materially affect sardine, mackerel, and herring populations across the Pacific. Without Sea Surface Temperature (SST) anomaly or ENSO index as a feature, the model treats these as unpredictable noise. Incorporating the Multivariate ENSO Index (MEI) or NOAA extended SST records would substantially improve accuracy for climate-sensitive species. Similarly, ocean acidification trends (rising pCO2) affect calcifying organisms such as molluscs and crustaceans in ways not captured by the temporal trend feature alone.</w:t>
      </w:r>
    </w:p>
    <w:p>
      <w:pPr>
        <w:pStyle w:val="Heading2"/>
        <w:spacing w:after="80" w:before="220"/>
      </w:pPr>
      <w:r>
        <w:rPr>
          <w:rFonts w:ascii="Arial" w:cs="Arial" w:eastAsia="Arial" w:hAnsi="Arial"/>
          <w:b/>
          <w:bCs/>
          <w:color w:val="1A7A8A"/>
          <w:sz w:val="24"/>
          <w:szCs w:val="24"/>
        </w:rPr>
        <w:t xml:space="preserve">5.4 Species-Agnostic Architecture</w:t>
      </w:r>
    </w:p>
    <w:p>
      <w:pPr>
        <w:spacing w:after="120" w:before="60"/>
        <w:jc w:val="both"/>
      </w:pPr>
      <w:r>
        <w:rPr>
          <w:rFonts w:ascii="Georgia" w:cs="Georgia" w:eastAsia="Georgia" w:hAnsi="Georgia"/>
          <w:color w:val="2D3748"/>
          <w:sz w:val="22"/>
          <w:szCs w:val="22"/>
        </w:rPr>
        <w:t xml:space="preserve">Training a single global model across 2,738 species with a shared feature space is computationally efficient but biologically crude. A hierarchical approach — separate models for pelagic fish, demersal fish, crustaceans, and molluscs, each trained on biologically homogeneous subsets — would likely improve species-group-level accuracy. Alternatively, multi-task learning frameworks could share a common representation layer while maintaining species-specific output heads.</w:t>
      </w:r>
    </w:p>
    <w:p>
      <w:pPr>
        <w:pStyle w:val="Heading2"/>
        <w:spacing w:after="80" w:before="220"/>
      </w:pPr>
      <w:r>
        <w:rPr>
          <w:rFonts w:ascii="Arial" w:cs="Arial" w:eastAsia="Arial" w:hAnsi="Arial"/>
          <w:b/>
          <w:bCs/>
          <w:color w:val="1A7A8A"/>
          <w:sz w:val="24"/>
          <w:szCs w:val="24"/>
        </w:rPr>
        <w:t xml:space="preserve">5.5 No Uncertainty Quantification</w:t>
      </w:r>
    </w:p>
    <w:p>
      <w:pPr>
        <w:spacing w:after="120" w:before="60"/>
        <w:jc w:val="both"/>
      </w:pPr>
      <w:r>
        <w:rPr>
          <w:rFonts w:ascii="Georgia" w:cs="Georgia" w:eastAsia="Georgia" w:hAnsi="Georgia"/>
          <w:color w:val="2D3748"/>
          <w:sz w:val="22"/>
          <w:szCs w:val="22"/>
        </w:rPr>
        <w:t xml:space="preserve">The current implementation produces point predictions without confidence intervals. Quantile regression forests or conformal prediction wrappers would provide probabilistic output appropriate for decision-making in fisheries management (e.g., probability that catch will fall below a quota threshold).</w:t>
      </w:r>
    </w:p>
    <w:p>
      <w:pPr>
        <w:pStyle w:val="Heading1"/>
        <w:spacing w:after="120" w:before="320"/>
      </w:pPr>
      <w:r>
        <w:rPr>
          <w:rFonts w:ascii="Arial" w:cs="Arial" w:eastAsia="Arial" w:hAnsi="Arial"/>
          <w:b/>
          <w:bCs/>
          <w:color w:val="1B3A6B"/>
          <w:sz w:val="30"/>
          <w:szCs w:val="30"/>
        </w:rPr>
        <w:t xml:space="preserve">6. Conclusion</w:t>
      </w:r>
    </w:p>
    <w:p>
      <w:pPr>
        <w:pBdr>
          <w:bottom w:val="single" w:color="1A7A8A" w:sz="4" w:space="1"/>
        </w:pBdr>
        <w:spacing w:after="0"/>
      </w:pPr>
    </w:p>
    <w:p>
      <w:pPr>
        <w:spacing w:after="0" w:before="120"/>
      </w:pPr>
    </w:p>
    <w:p>
      <w:pPr>
        <w:spacing w:after="120" w:before="60"/>
        <w:jc w:val="both"/>
      </w:pPr>
      <w:r>
        <w:rPr>
          <w:rFonts w:ascii="Georgia" w:cs="Georgia" w:eastAsia="Georgia" w:hAnsi="Georgia"/>
          <w:color w:val="2D3748"/>
          <w:sz w:val="22"/>
          <w:szCs w:val="22"/>
        </w:rPr>
        <w:t xml:space="preserve">This paper demonstrates that a Random Forest Regressor trained on 63 years of FAO fisheries history can predict species-level catch volume for held-out years (2016–2023) with R² = 0.989 and MAE ≈ 2,772 tonnes, substantially outperforming a linear baseline. The model’s learned feature importances — dominated by autoregressive catch lags, with species biology ranking above ocean geography — are ecologically interpretable and consistent with marine ecology theory. Case studies on Atlantic cod, Anchoveta, and Skipjack tuna confirm the model’s capacity to differentiate between collapse, climate-driven oscillation, and managed growth regimes.</w:t>
      </w:r>
    </w:p>
    <w:p>
      <w:pPr>
        <w:spacing w:after="120" w:before="60"/>
        <w:jc w:val="both"/>
      </w:pPr>
      <w:r>
        <w:rPr>
          <w:rFonts w:ascii="Georgia" w:cs="Georgia" w:eastAsia="Georgia" w:hAnsi="Georgia"/>
          <w:color w:val="2D3748"/>
          <w:sz w:val="22"/>
          <w:szCs w:val="22"/>
        </w:rPr>
        <w:t xml:space="preserve">The primary contribution is methodological: a reproducible pipeline from raw multi-table FAO data to temporally validated forecasting, with explicit documentation of every design choice and its ecological justification. The result bridges a gap between exploratory data analysis of global fisheries trends and research-grade predictive modelling.</w:t>
      </w:r>
    </w:p>
    <w:p>
      <w:pPr>
        <w:spacing w:after="120" w:before="60"/>
        <w:jc w:val="both"/>
      </w:pPr>
      <w:r>
        <w:rPr>
          <w:rFonts w:ascii="Georgia" w:cs="Georgia" w:eastAsia="Georgia" w:hAnsi="Georgia"/>
          <w:color w:val="2D3748"/>
          <w:sz w:val="22"/>
          <w:szCs w:val="22"/>
        </w:rPr>
        <w:t xml:space="preserve">Future priorities include: (1) integrating fishing effort data to construct CPUE as the response variable; (2) adding ENSO index and SST anomaly as climate covariates; (3) replacing label-encoded species groups with pre-trained biological embeddings; and (4) deploying quantile regression forests to produce uncertainty-aware projections suitable for quota-setting applications.</w:t>
      </w:r>
    </w:p>
    <w:p>
      <w:r>
        <w:br w:type="page"/>
      </w:r>
    </w:p>
    <w:p>
      <w:pPr>
        <w:pStyle w:val="Heading1"/>
        <w:spacing w:after="120" w:before="320"/>
      </w:pPr>
      <w:r>
        <w:rPr>
          <w:rFonts w:ascii="Arial" w:cs="Arial" w:eastAsia="Arial" w:hAnsi="Arial"/>
          <w:b/>
          <w:bCs/>
          <w:color w:val="1B3A6B"/>
          <w:sz w:val="30"/>
          <w:szCs w:val="30"/>
        </w:rPr>
        <w:t xml:space="preserve">References</w:t>
      </w:r>
    </w:p>
    <w:p>
      <w:pPr>
        <w:pBdr>
          <w:bottom w:val="single" w:color="1A7A8A" w:sz="4" w:space="1"/>
        </w:pBdr>
        <w:spacing w:after="0"/>
      </w:pPr>
    </w:p>
    <w:p>
      <w:pPr>
        <w:spacing w:after="0" w:before="120"/>
      </w:pPr>
    </w:p>
    <w:p>
      <w:pPr>
        <w:spacing w:after="140" w:before="0"/>
        <w:ind w:left="720" w:hanging="720"/>
      </w:pPr>
      <w:r>
        <w:rPr>
          <w:rFonts w:ascii="Georgia" w:cs="Georgia" w:eastAsia="Georgia" w:hAnsi="Georgia"/>
          <w:color w:val="2D3748"/>
          <w:sz w:val="20"/>
          <w:szCs w:val="20"/>
        </w:rPr>
        <w:t xml:space="preserve">Baudron, A. R., Needle, C. L., Rijnsdorp, A. D., and Marshall, C. T. (2020). Warming temperatures and smaller body sizes: synchronous changes in growth of North Sea fishes. Global Change Biology, 20(4), 1023–1031.</w:t>
      </w:r>
    </w:p>
    <w:p>
      <w:pPr>
        <w:spacing w:after="140" w:before="0"/>
        <w:ind w:left="720" w:hanging="720"/>
      </w:pPr>
      <w:r>
        <w:rPr>
          <w:rFonts w:ascii="Georgia" w:cs="Georgia" w:eastAsia="Georgia" w:hAnsi="Georgia"/>
          <w:color w:val="2D3748"/>
          <w:sz w:val="20"/>
          <w:szCs w:val="20"/>
        </w:rPr>
        <w:t xml:space="preserve">Breiman, L. (2001). Random forests. Machine Learning, 45(1), 5–32.</w:t>
      </w:r>
    </w:p>
    <w:p>
      <w:pPr>
        <w:spacing w:after="140" w:before="0"/>
        <w:ind w:left="720" w:hanging="720"/>
      </w:pPr>
      <w:r>
        <w:rPr>
          <w:rFonts w:ascii="Georgia" w:cs="Georgia" w:eastAsia="Georgia" w:hAnsi="Georgia"/>
          <w:color w:val="2D3748"/>
          <w:sz w:val="20"/>
          <w:szCs w:val="20"/>
        </w:rPr>
        <w:t xml:space="preserve">FAO (2024). The State of World Fisheries and Aquaculture 2024. Food and Agriculture Organization of the United Nations, Rome.</w:t>
      </w:r>
    </w:p>
    <w:p>
      <w:pPr>
        <w:spacing w:after="140" w:before="0"/>
        <w:ind w:left="720" w:hanging="720"/>
      </w:pPr>
      <w:r>
        <w:rPr>
          <w:rFonts w:ascii="Georgia" w:cs="Georgia" w:eastAsia="Georgia" w:hAnsi="Georgia"/>
          <w:color w:val="2D3748"/>
          <w:sz w:val="20"/>
          <w:szCs w:val="20"/>
        </w:rPr>
        <w:t xml:space="preserve">Fernandes, P. G., Korneliussen, R. J., Lebourges-Dhaussy, A., Masse, J., Iglesias, M., Diner, N., ... &amp; Ona, E. (2010). The SIMFAMI project: species identification methods from acoustic multifrequency information. ICES Journal of Marine Science, 63(7), 1345–1357.</w:t>
      </w:r>
    </w:p>
    <w:p>
      <w:pPr>
        <w:spacing w:after="140" w:before="0"/>
        <w:ind w:left="720" w:hanging="720"/>
      </w:pPr>
      <w:r>
        <w:rPr>
          <w:rFonts w:ascii="Georgia" w:cs="Georgia" w:eastAsia="Georgia" w:hAnsi="Georgia"/>
          <w:color w:val="2D3748"/>
          <w:sz w:val="20"/>
          <w:szCs w:val="20"/>
        </w:rPr>
        <w:t xml:space="preserve">Georgakarakos, S., Koutsoubas, D., and Valavanis, V. (2006). Time series analysis and forecasting techniques applied on loliginid and ommastrephid landings in Greek waters. Fisheries Research, 78(1), 55–71.</w:t>
      </w:r>
    </w:p>
    <w:p>
      <w:pPr>
        <w:spacing w:after="140" w:before="0"/>
        <w:ind w:left="720" w:hanging="720"/>
      </w:pPr>
      <w:r>
        <w:rPr>
          <w:rFonts w:ascii="Georgia" w:cs="Georgia" w:eastAsia="Georgia" w:hAnsi="Georgia"/>
          <w:color w:val="2D3748"/>
          <w:sz w:val="20"/>
          <w:szCs w:val="20"/>
        </w:rPr>
        <w:t xml:space="preserve">Hyndman, R. J., and Athanasopoulos, G. (2021). Forecasting: Principles and Practice (3rd ed.). OTexts, Melbourne.</w:t>
      </w:r>
    </w:p>
    <w:p>
      <w:pPr>
        <w:spacing w:after="140" w:before="0"/>
        <w:ind w:left="720" w:hanging="720"/>
      </w:pPr>
      <w:r>
        <w:rPr>
          <w:rFonts w:ascii="Georgia" w:cs="Georgia" w:eastAsia="Georgia" w:hAnsi="Georgia"/>
          <w:color w:val="2D3748"/>
          <w:sz w:val="20"/>
          <w:szCs w:val="20"/>
        </w:rPr>
        <w:t xml:space="preserve">Kroodsma, D. A., Mayorga, J., Hochberg, T., Miller, N. A., Boerder, K., Ferretti, F., ... &amp; Worm, B. (2018). Tracking the global footprint of fisheries. Science, 359(6378), 904–908.</w:t>
      </w:r>
    </w:p>
    <w:p>
      <w:pPr>
        <w:spacing w:after="140" w:before="0"/>
        <w:ind w:left="720" w:hanging="720"/>
      </w:pPr>
      <w:r>
        <w:rPr>
          <w:rFonts w:ascii="Georgia" w:cs="Georgia" w:eastAsia="Georgia" w:hAnsi="Georgia"/>
          <w:color w:val="2D3748"/>
          <w:sz w:val="20"/>
          <w:szCs w:val="20"/>
        </w:rPr>
        <w:t xml:space="preserve">Lotze, H. K., Tittensor, D. P., Bryndum-Buchholz, A., Eddy, T. D., Cheung, W. W., Galbraith, E. D., ... &amp; Worm, B. (2019). Global ensemble projections reveal trophic amplification of ocean biomass declines with climate change. Proceedings of the National Academy of Sciences, 116(26), 12907–12912.</w:t>
      </w:r>
    </w:p>
    <w:p>
      <w:pPr>
        <w:spacing w:after="140" w:before="0"/>
        <w:ind w:left="720" w:hanging="720"/>
      </w:pPr>
      <w:r>
        <w:rPr>
          <w:rFonts w:ascii="Georgia" w:cs="Georgia" w:eastAsia="Georgia" w:hAnsi="Georgia"/>
          <w:color w:val="2D3748"/>
          <w:sz w:val="20"/>
          <w:szCs w:val="20"/>
        </w:rPr>
        <w:t xml:space="preserve">Murase, H., Nagashima, H., Yonezaki, S., Matsukura, R., and Kitakado, T. (2009). Application of a generalized additive model (GAM) to reveal relationships between environmental factors and distributions of pelagic fish and krill: a case study in Sendai Bay, Japan. ICES Journal of Marine Science, 66(6), 1417–1424.</w:t>
      </w:r>
    </w:p>
    <w:p>
      <w:pPr>
        <w:spacing w:after="140" w:before="0"/>
        <w:ind w:left="720" w:hanging="720"/>
      </w:pPr>
      <w:r>
        <w:rPr>
          <w:rFonts w:ascii="Georgia" w:cs="Georgia" w:eastAsia="Georgia" w:hAnsi="Georgia"/>
          <w:color w:val="2D3748"/>
          <w:sz w:val="20"/>
          <w:szCs w:val="20"/>
        </w:rPr>
        <w:t xml:space="preserve">Neubauer, P., Jensen, O. P., Hutchings, J. A., and Baum, J. K. (2013). Resilience and recovery of overexploited marine populations. Science, 340(6130), 347–349.</w:t>
      </w:r>
    </w:p>
    <w:p>
      <w:pPr>
        <w:spacing w:after="140" w:before="0"/>
        <w:ind w:left="720" w:hanging="720"/>
      </w:pPr>
      <w:r>
        <w:rPr>
          <w:rFonts w:ascii="Georgia" w:cs="Georgia" w:eastAsia="Georgia" w:hAnsi="Georgia"/>
          <w:color w:val="2D3748"/>
          <w:sz w:val="20"/>
          <w:szCs w:val="20"/>
        </w:rPr>
        <w:t xml:space="preserve">Pauly, D., and Zeller, D. (2016). Catch reconstructions reveal that global marine fisheries catches are higher than reported and declining. Nature Communications, 7(1), 10244.</w:t>
      </w:r>
    </w:p>
    <w:p>
      <w:pPr>
        <w:spacing w:after="140" w:before="0"/>
        <w:ind w:left="720" w:hanging="720"/>
      </w:pPr>
      <w:r>
        <w:rPr>
          <w:rFonts w:ascii="Georgia" w:cs="Georgia" w:eastAsia="Georgia" w:hAnsi="Georgia"/>
          <w:color w:val="2D3748"/>
          <w:sz w:val="20"/>
          <w:szCs w:val="20"/>
        </w:rPr>
        <w:t xml:space="preserve">Ricard, D., Minto, C., Jensen, O. P., and Baum, J. K. (2012). Examining the knowledge base and status of commercially exploited marine species with the RAM Legacy Stock Assessment Database. Fish and Fisheries, 13(4), 380–398.</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A8A" w:sz="4" w:space="1"/>
      </w:pBdr>
      <w:spacing w:before="120"/>
      <w:jc w:val="center"/>
    </w:pPr>
    <w:r>
      <w:rPr>
        <w:rFonts w:ascii="Arial" w:cs="Arial" w:eastAsia="Arial" w:hAnsi="Arial"/>
        <w:color w:val="4A5568"/>
        <w:sz w:val="17"/>
        <w:szCs w:val="17"/>
      </w:rPr>
      <w:t xml:space="preserve">DMU Research Intern Application  ·  </w:t>
    </w:r>
    <w:r>
      <w:rPr>
        <w:rFonts w:ascii="Arial" w:cs="Arial" w:eastAsia="Arial" w:hAnsi="Arial"/>
        <w:color w:val="4A5568"/>
        <w:sz w:val="17"/>
        <w:szCs w:val="17"/>
      </w:rPr>
      <w:fldChar w:fldCharType="begin"/>
      <w:instrText xml:space="preserve">PAGE</w:instrText>
      <w:fldChar w:fldCharType="separate"/>
      <w:fldChar w:fldCharType="end"/>
    </w:r>
    <w:r>
      <w:rPr>
        <w:rFonts w:ascii="Arial" w:cs="Arial" w:eastAsia="Arial" w:hAnsi="Arial"/>
        <w:color w:val="4A5568"/>
        <w:sz w:val="17"/>
        <w:szCs w:val="17"/>
      </w:rPr>
      <w:t xml:space="preserve"> of </w:t>
    </w:r>
    <w:r>
      <w:rPr>
        <w:rFonts w:ascii="Arial" w:cs="Arial" w:eastAsia="Arial" w:hAnsi="Arial"/>
        <w:color w:val="4A556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8A" w:sz="4" w:space="1"/>
      </w:pBdr>
      <w:spacing w:after="120"/>
    </w:pPr>
    <w:r>
      <w:rPr>
        <w:rFonts w:ascii="Arial" w:cs="Arial" w:eastAsia="Arial" w:hAnsi="Arial"/>
        <w:color w:val="4A5568"/>
        <w:sz w:val="17"/>
        <w:szCs w:val="17"/>
      </w:rPr>
      <w:t xml:space="preserve">Marine Species Catch Volume Prediction  ·  FAO Global Fisheries Data (1950–2023)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3A6B"/>
      <w:sz w:val="30"/>
      <w:szCs w:val="30"/>
    </w:rPr>
  </w:style>
  <w:style w:type="paragraph" w:styleId="Heading2">
    <w:name w:val="Heading 2"/>
    <w:basedOn w:val="Normal"/>
    <w:next w:val="Normal"/>
    <w:qFormat/>
    <w:pPr>
      <w:spacing w:after="80" w:before="220"/>
      <w:outlineLvl w:val="1"/>
    </w:pPr>
    <w:rPr>
      <w:rFonts w:ascii="Arial" w:cs="Arial" w:eastAsia="Arial" w:hAnsi="Arial"/>
      <w:b/>
      <w:bCs/>
      <w:color w:val="1A7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2026-05-16T16:43:14.334Z</dcterms:created>
  <dcterms:modified xsi:type="dcterms:W3CDTF">2026-05-16T16:43:14.335Z</dcterms:modified>
</cp:coreProperties>
</file>

<file path=docProps/custom.xml><?xml version="1.0" encoding="utf-8"?>
<Properties xmlns="http://schemas.openxmlformats.org/officeDocument/2006/custom-properties" xmlns:vt="http://schemas.openxmlformats.org/officeDocument/2006/docPropsVTypes"/>
</file>