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[1377] サカタのタネ【肥料高騰受益×今から買うのは遅いか検証】</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[1377] サカタのタネ【肥料高騰受益×今から買うのは遅いか検証】</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深井 DeepResearch レポート</w:t>
      </w:r>
    </w:p>
    <w:p>
      <w:pPr>
        <w:pStyle w:val="Heading2"/>
      </w:pPr>
      <w:r>
        <w:rPr>
          <w:rFonts w:ascii="Meiryo UI" w:hAnsi="Meiryo UI"/>
          <w:color w:val="2E74B5"/>
        </w:rPr>
        <w:t>サカタのタネ（1377.T）｜肥料高騰受益×「今から買うのは遅いか」検証</w:t>
      </w:r>
    </w:p>
    <w:p>
      <w:r>
        <w:rPr>
          <w:rFonts w:ascii="Meiryo UI" w:hAnsi="Meiryo UI"/>
          <w:sz w:val="20"/>
        </w:rPr>
        <w:t>作成者：深井（竹村トレードカンパニー アナリスト）</w:t>
      </w:r>
    </w:p>
    <w:p>
      <w:r>
        <w:rPr>
          <w:rFonts w:ascii="Meiryo UI" w:hAnsi="Meiryo UI"/>
          <w:sz w:val="20"/>
        </w:rPr>
        <w:t>分析日：2026年4月6日 14:34 JST</w:t>
      </w:r>
    </w:p>
    <w:p>
      <w:r>
        <w:rPr>
          <w:rFonts w:ascii="Meiryo UI" w:hAnsi="Meiryo UI"/>
          <w:sz w:val="20"/>
        </w:rPr>
        <w:t>優先度：社長指示優先度2｜「今から買うのは遅いか」の直感を株価の織込み度で検証せよ</w:t>
      </w:r>
    </w:p>
    <w:p/>
    <w:p>
      <w:r>
        <w:t>──────────────────────────────────────────────────</w:t>
      </w:r>
    </w:p>
    <w:p/>
    <w:p>
      <w:r>
        <w:rPr>
          <w:rFonts w:ascii="Meiryo UI" w:hAnsi="Meiryo UI"/>
          <w:sz w:val="20"/>
        </w:rPr>
        <w:t>&gt; ⚠️ データ整合性確認</w:t>
      </w:r>
    </w:p>
    <w:p>
      <w:r>
        <w:rPr>
          <w:rFonts w:ascii="Meiryo UI" w:hAnsi="Meiryo UI"/>
          <w:sz w:val="20"/>
        </w:rPr>
        <w:t>&gt; - 現在株価：¥4,615（Yahoo Finance 2026-04-06 14:34 JST確認値）</w:t>
      </w:r>
    </w:p>
    <w:p>
      <w:r>
        <w:rPr>
          <w:rFonts w:ascii="Meiryo UI" w:hAnsi="Meiryo UI"/>
          <w:sz w:val="20"/>
        </w:rPr>
        <w:t>&gt; - BPS：¥3,931｜PBR：1.17倍｜ROE：7.0%（yfinance確認値 — 学習データ上書き禁止）</w:t>
      </w:r>
    </w:p>
    <w:p>
      <w:r>
        <w:rPr>
          <w:rFonts w:ascii="Meiryo UI" w:hAnsi="Meiryo UI"/>
          <w:sz w:val="20"/>
        </w:rPr>
        <w:t>&gt; - PER：17.3倍｜EPS：¥267（同上）</w:t>
      </w:r>
    </w:p>
    <w:p>
      <w:r>
        <w:rPr>
          <w:rFonts w:ascii="Meiryo UI" w:hAnsi="Meiryo UI"/>
          <w:sz w:val="20"/>
        </w:rPr>
        <w:t>&gt; - Rf：2.380%（JGB10Y 社長確認値）</w:t>
      </w:r>
    </w:p>
    <w:p>
      <w:r>
        <w:rPr>
          <w:rFonts w:ascii="Meiryo UI" w:hAnsi="Meiryo UI"/>
          <w:sz w:val="20"/>
        </w:rPr>
        <w:t>&gt; - 天然ガス（Henry Hub）：2.79 USD/MMBtu（リアルタイム取得値）</w:t>
      </w:r>
    </w:p>
    <w:p/>
    <w:p>
      <w:r>
        <w:t>──────────────────────────────────────────────────</w:t>
      </w:r>
    </w:p>
    <w:p/>
    <w:p>
      <w:pPr>
        <w:pStyle w:val="Heading2"/>
      </w:pPr>
      <w:r>
        <w:rPr>
          <w:rFonts w:ascii="Meiryo UI" w:hAnsi="Meiryo UI"/>
          <w:color w:val="2E74B5"/>
        </w:rPr>
        <w:t>📋 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中立（NEUTRAL） — 条件付き押し目買い</w:t>
            </w:r>
          </w:p>
        </w:tc>
      </w:tr>
      <w:tr>
        <w:tc>
          <w:tcPr>
            <w:tcW w:type="dxa" w:w="4703"/>
            <w:shd w:val="clear" w:color="auto" w:fill="DDEBF7"/>
          </w:tcPr>
          <w:p>
            <w:r>
              <w:rPr>
                <w:rFonts w:ascii="Meiryo UI" w:hAnsi="Meiryo UI"/>
                <w:sz w:val="18"/>
              </w:rPr>
              <w:t>理論株価（基本シナリオ）</w:t>
            </w:r>
          </w:p>
        </w:tc>
        <w:tc>
          <w:tcPr>
            <w:tcW w:type="dxa" w:w="4703"/>
            <w:shd w:val="clear" w:color="auto" w:fill="DDEBF7"/>
          </w:tcPr>
          <w:p>
            <w:r>
              <w:rPr>
                <w:rFonts w:ascii="Meiryo UI" w:hAnsi="Meiryo UI"/>
                <w:sz w:val="18"/>
              </w:rPr>
              <w:t>¥4,820（DCF中央値）</w:t>
            </w:r>
          </w:p>
        </w:tc>
      </w:tr>
      <w:tr>
        <w:tc>
          <w:tcPr>
            <w:tcW w:type="dxa" w:w="4703"/>
          </w:tcPr>
          <w:p>
            <w:r>
              <w:rPr>
                <w:rFonts w:ascii="Meiryo UI" w:hAnsi="Meiryo UI"/>
                <w:sz w:val="18"/>
              </w:rPr>
              <w:t>現在株価比乖離</w:t>
            </w:r>
          </w:p>
        </w:tc>
        <w:tc>
          <w:tcPr>
            <w:tcW w:type="dxa" w:w="4703"/>
          </w:tcPr>
          <w:p>
            <w:r>
              <w:rPr>
                <w:rFonts w:ascii="Meiryo UI" w:hAnsi="Meiryo UI"/>
                <w:sz w:val="18"/>
              </w:rPr>
              <w:t>+4.4%（上値余地は限定的）</w:t>
            </w:r>
          </w:p>
        </w:tc>
      </w:tr>
      <w:tr>
        <w:tc>
          <w:tcPr>
            <w:tcW w:type="dxa" w:w="4703"/>
            <w:shd w:val="clear" w:color="auto" w:fill="DDEBF7"/>
          </w:tcPr>
          <w:p>
            <w:r>
              <w:rPr>
                <w:rFonts w:ascii="Meiryo UI" w:hAnsi="Meiryo UI"/>
                <w:sz w:val="18"/>
              </w:rPr>
              <w:t>理論株価レンジ</w:t>
            </w:r>
          </w:p>
        </w:tc>
        <w:tc>
          <w:tcPr>
            <w:tcW w:type="dxa" w:w="4703"/>
            <w:shd w:val="clear" w:color="auto" w:fill="DDEBF7"/>
          </w:tcPr>
          <w:p>
            <w:r>
              <w:rPr>
                <w:rFonts w:ascii="Meiryo UI" w:hAnsi="Meiryo UI"/>
                <w:sz w:val="18"/>
              </w:rPr>
              <w:t>¥3,950（弱気）〜 ¥6,200（強気）</w:t>
            </w:r>
          </w:p>
        </w:tc>
      </w:tr>
      <w:tr>
        <w:tc>
          <w:tcPr>
            <w:tcW w:type="dxa" w:w="4703"/>
          </w:tcPr>
          <w:p>
            <w:r>
              <w:rPr>
                <w:rFonts w:ascii="Meiryo UI" w:hAnsi="Meiryo UI"/>
                <w:sz w:val="18"/>
              </w:rPr>
              <w:t>安全域バッファ後の推奨エントリー</w:t>
            </w:r>
          </w:p>
        </w:tc>
        <w:tc>
          <w:tcPr>
            <w:tcW w:type="dxa" w:w="4703"/>
          </w:tcPr>
          <w:p>
            <w:r>
              <w:rPr>
                <w:rFonts w:ascii="Meiryo UI" w:hAnsi="Meiryo UI"/>
                <w:sz w:val="18"/>
              </w:rPr>
              <w:t>¥4,200以下での押し目</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12〜24ヶ月</w:t>
            </w:r>
          </w:p>
        </w:tc>
      </w:tr>
      <w:tr>
        <w:tc>
          <w:tcPr>
            <w:tcW w:type="dxa" w:w="4703"/>
          </w:tcPr>
          <w:p>
            <w:r>
              <w:rPr>
                <w:rFonts w:ascii="Meiryo UI" w:hAnsi="Meiryo UI"/>
                <w:sz w:val="18"/>
              </w:rPr>
              <w:t>コアテーゼ</w:t>
            </w:r>
          </w:p>
        </w:tc>
        <w:tc>
          <w:tcPr>
            <w:tcW w:type="dxa" w:w="4703"/>
          </w:tcPr>
          <w:p>
            <w:r>
              <w:rPr>
                <w:rFonts w:ascii="Meiryo UI" w:hAnsi="Meiryo UI"/>
                <w:sz w:val="18"/>
              </w:rPr>
              <w:t>肥料高騰のメガトレンドは本物だが、株価はPER17.3倍・PBR1.17倍で相当程度織り込み済み。「テーマ後追い」より「構造的成長の持続性」に焦点を移すべき局面</w:t>
            </w:r>
          </w:p>
        </w:tc>
      </w:tr>
    </w:tbl>
    <w:p/>
    <w:p>
      <w:r>
        <w:t>──────────────────────────────────────────────────</w:t>
      </w:r>
    </w:p>
    <w:p/>
    <w:p>
      <w:pPr>
        <w:pStyle w:val="Heading2"/>
      </w:pPr>
      <w:r>
        <w:rPr>
          <w:rFonts w:ascii="Meiryo UI" w:hAnsi="Meiryo UI"/>
          <w:color w:val="2E74B5"/>
        </w:rPr>
        <w:t>🏢 1. 企業概要・事業分析</w:t>
      </w:r>
    </w:p>
    <w:p/>
    <w:p>
      <w:pPr>
        <w:pStyle w:val="Heading3"/>
      </w:pPr>
      <w:r>
        <w:rPr>
          <w:rFonts w:ascii="Meiryo UI" w:hAnsi="Meiryo UI"/>
          <w:color w:val="2E74B5"/>
        </w:rPr>
        <w:t>1-1. 企業プロファイル</w:t>
      </w:r>
    </w:p>
    <w:p/>
    <w:p>
      <w:r>
        <w:rPr>
          <w:rFonts w:ascii="Meiryo UI" w:hAnsi="Meiryo UI"/>
          <w:sz w:val="20"/>
        </w:rPr>
        <w:t>サカタのタネ（Sakata Seed Corporation）は1913年創業、横浜本社の世界3大種苗メーカーの一角。東証プライム上場、時価総額約4,600億円規模。日本発グローバル種苗企業として、国内シェア首位に加え、欧米・アジア・中南米に展開する真の多国籍農業企業。</w:t>
      </w:r>
    </w:p>
    <w:p/>
    <w:p>
      <w:pPr>
        <w:pStyle w:val="Heading3"/>
      </w:pPr>
      <w:r>
        <w:rPr>
          <w:rFonts w:ascii="Meiryo UI" w:hAnsi="Meiryo UI"/>
          <w:color w:val="2E74B5"/>
        </w:rPr>
        <w:t>1-2. セグメント構成（最新推定）</w:t>
      </w:r>
    </w:p>
    <w:p/>
    <w:p>
      <w:pPr>
        <w:shd w:val="clear" w:color="auto" w:fill="F2F2F2"/>
      </w:pPr>
      <w:r>
        <w:rPr>
          <w:rFonts w:ascii="Courier New" w:hAnsi="Courier New"/>
          <w:sz w:val="16"/>
        </w:rPr>
        <w:t>売上構成（推定）:</w:t>
        <w:br/>
        <w:t>┌─────────────────────────────────────────┐</w:t>
        <w:br/>
        <w:t>│ 野菜・花種苗         約72%（コア事業）      │</w:t>
        <w:br/>
        <w:t>│ 農業資材（農薬・肥料） 約15%               │</w:t>
        <w:br/>
        <w:t>│ 花壇苗・小売関連      約 8%               │</w:t>
        <w:br/>
        <w:t>│ 不動産・その他        約 5%               │</w:t>
        <w:br/>
        <w:t>└─────────────────────────────────────────┘</w:t>
      </w:r>
    </w:p>
    <w:p/>
    <w:p>
      <w:pPr>
        <w:pStyle w:val="Heading4"/>
      </w:pPr>
      <w:r>
        <w:rPr>
          <w:rFonts w:ascii="Meiryo UI" w:hAnsi="Meiryo UI"/>
          <w:color w:val="2E74B5"/>
        </w:rPr>
        <w:t>主要プロダクト・ブランド</w:t>
      </w:r>
    </w:p>
    <w:p>
      <w:pPr>
        <w:pStyle w:val="ListBullet"/>
      </w:pPr>
      <w:r>
        <w:rPr>
          <w:rFonts w:ascii="Meiryo UI" w:hAnsi="Meiryo UI"/>
          <w:sz w:val="20"/>
        </w:rPr>
        <w:t>野菜種子：トマト・ブロッコリー・タマネギ・スイートコーン（世界シェア上位品種多数保有）</w:t>
      </w:r>
    </w:p>
    <w:p>
      <w:pPr>
        <w:pStyle w:val="ListBullet"/>
      </w:pPr>
      <w:r>
        <w:rPr>
          <w:rFonts w:ascii="Meiryo UI" w:hAnsi="Meiryo UI"/>
          <w:sz w:val="20"/>
        </w:rPr>
        <w:t>花種子：ペチュニア・プリムラ等（世界市場でトップ3ブランド）</w:t>
      </w:r>
    </w:p>
    <w:p>
      <w:pPr>
        <w:pStyle w:val="ListBullet"/>
      </w:pPr>
      <w:r>
        <w:rPr>
          <w:rFonts w:ascii="Meiryo UI" w:hAnsi="Meiryo UI"/>
          <w:sz w:val="20"/>
        </w:rPr>
        <w:t>登録品種（知財資産）：独自育種品種2,000種以上 ← 最大の競合優位性</w:t>
      </w:r>
    </w:p>
    <w:p/>
    <w:p>
      <w:pPr>
        <w:pStyle w:val="Heading3"/>
      </w:pPr>
      <w:r>
        <w:rPr>
          <w:rFonts w:ascii="Meiryo UI" w:hAnsi="Meiryo UI"/>
          <w:color w:val="2E74B5"/>
        </w:rPr>
        <w:t>1-3. 競合優位性の構造分析</w:t>
      </w:r>
    </w:p>
    <w:p/>
    <w:p>
      <w:pPr>
        <w:shd w:val="clear" w:color="auto" w:fill="F2F2F2"/>
      </w:pPr>
      <w:r>
        <w:rPr>
          <w:rFonts w:ascii="Courier New" w:hAnsi="Courier New"/>
          <w:sz w:val="16"/>
        </w:rPr>
        <w:t>【経済的ハザマ（Economic Moat）評価】</w:t>
        <w:br/>
        <w:br/>
        <w:t>★★★★☆  育種知財・品種登録（模倣不可・参入障壁最大）</w:t>
        <w:br/>
        <w:t>★★★★☆  グローバル販売網（67カ国以上）</w:t>
        <w:br/>
        <w:t>★★★☆☆  農家の作付け慣性（品種変更コスト高）</w:t>
        <w:br/>
        <w:t>★★★☆☆  R&amp;D投資継続（売上比8〜10%）</w:t>
        <w:br/>
        <w:t>★★☆☆☆  肥料・農薬等の資材事業（コモディティ要素あり）</w:t>
      </w:r>
    </w:p>
    <w:p/>
    <w:p>
      <w:r>
        <w:rPr>
          <w:rFonts w:ascii="Meiryo UI" w:hAnsi="Meiryo UI"/>
          <w:sz w:val="20"/>
        </w:rPr>
        <w:t>重要な差別化ポイント：種苗は「生産手段の上流」に位置し、農家は価格よりも収量・品質で品種選択する。よって、原材料コスト上昇局面でも価格転嫁力が相対的に高い。</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天然ガス高騰（肥料コスト上昇）→競合農業資材メーカー圧迫</w:t>
            </w:r>
          </w:p>
        </w:tc>
        <w:tc>
          <w:tcPr>
            <w:tcW w:type="dxa" w:w="3135"/>
          </w:tcPr>
          <w:p>
            <w:r>
              <w:rPr>
                <w:rFonts w:ascii="Meiryo UI" w:hAnsi="Meiryo UI"/>
                <w:sz w:val="18"/>
              </w:rPr>
              <w:t>ポジティブ（相対優位）</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円安継続（海外売上比率約60%）</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中〜大</w:t>
            </w:r>
          </w:p>
        </w:tc>
      </w:tr>
      <w:tr>
        <w:tc>
          <w:tcPr>
            <w:tcW w:type="dxa" w:w="3135"/>
          </w:tcPr>
          <w:p>
            <w:r>
              <w:rPr>
                <w:rFonts w:ascii="Meiryo UI" w:hAnsi="Meiryo UI"/>
                <w:sz w:val="18"/>
              </w:rPr>
              <w:t>食糧安全保障テーマ（国策支援）</w:t>
            </w:r>
          </w:p>
        </w:tc>
        <w:tc>
          <w:tcPr>
            <w:tcW w:type="dxa" w:w="3135"/>
          </w:tcPr>
          <w:p>
            <w:r>
              <w:rPr>
                <w:rFonts w:ascii="Meiryo UI" w:hAnsi="Meiryo UI"/>
                <w:sz w:val="18"/>
              </w:rPr>
              <w:t>ポジティブ</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世界人口増×農地面積限界→高収量品種需要</w:t>
            </w:r>
          </w:p>
        </w:tc>
        <w:tc>
          <w:tcPr>
            <w:tcW w:type="dxa" w:w="3135"/>
            <w:shd w:val="clear" w:color="auto" w:fill="DDEBF7"/>
          </w:tcPr>
          <w:p>
            <w:r>
              <w:rPr>
                <w:rFonts w:ascii="Meiryo UI" w:hAnsi="Meiryo UI"/>
                <w:sz w:val="18"/>
              </w:rPr>
              <w:t>構造的ポジティブ</w:t>
            </w:r>
          </w:p>
        </w:tc>
        <w:tc>
          <w:tcPr>
            <w:tcW w:type="dxa" w:w="3135"/>
            <w:shd w:val="clear" w:color="auto" w:fill="DDEBF7"/>
          </w:tcPr>
          <w:p>
            <w:r>
              <w:rPr>
                <w:rFonts w:ascii="Meiryo UI" w:hAnsi="Meiryo UI"/>
                <w:sz w:val="18"/>
              </w:rPr>
              <w:t>大（長期）</w:t>
            </w:r>
          </w:p>
        </w:tc>
      </w:tr>
      <w:tr>
        <w:tc>
          <w:tcPr>
            <w:tcW w:type="dxa" w:w="3135"/>
          </w:tcPr>
          <w:p>
            <w:r>
              <w:rPr>
                <w:rFonts w:ascii="Meiryo UI" w:hAnsi="Meiryo UI"/>
                <w:sz w:val="18"/>
              </w:rPr>
              <w:t>R&amp;D費用増（バイオ育種投資加速）</w:t>
            </w:r>
          </w:p>
        </w:tc>
        <w:tc>
          <w:tcPr>
            <w:tcW w:type="dxa" w:w="3135"/>
          </w:tcPr>
          <w:p>
            <w:r>
              <w:rPr>
                <w:rFonts w:ascii="Meiryo UI" w:hAnsi="Meiryo UI"/>
                <w:sz w:val="18"/>
              </w:rPr>
              <w:t>コスト面でネガティブ</w:t>
            </w:r>
          </w:p>
        </w:tc>
        <w:tc>
          <w:tcPr>
            <w:tcW w:type="dxa" w:w="3135"/>
          </w:tcPr>
          <w:p>
            <w:r>
              <w:rPr>
                <w:rFonts w:ascii="Meiryo UI" w:hAnsi="Meiryo UI"/>
                <w:sz w:val="18"/>
              </w:rPr>
              <w:t>小〜中</w:t>
            </w:r>
          </w:p>
        </w:tc>
      </w:tr>
      <w:tr>
        <w:tc>
          <w:tcPr>
            <w:tcW w:type="dxa" w:w="3135"/>
            <w:shd w:val="clear" w:color="auto" w:fill="DDEBF7"/>
          </w:tcPr>
          <w:p>
            <w:r>
              <w:rPr>
                <w:rFonts w:ascii="Meiryo UI" w:hAnsi="Meiryo UI"/>
                <w:sz w:val="18"/>
              </w:rPr>
              <w:t>天然ガス2.79$/MMBtu（直近）→肥料コスト落ち着き</w:t>
            </w:r>
          </w:p>
        </w:tc>
        <w:tc>
          <w:tcPr>
            <w:tcW w:type="dxa" w:w="3135"/>
            <w:shd w:val="clear" w:color="auto" w:fill="DDEBF7"/>
          </w:tcPr>
          <w:p>
            <w:r>
              <w:rPr>
                <w:rFonts w:ascii="Meiryo UI" w:hAnsi="Meiryo UI"/>
                <w:sz w:val="18"/>
              </w:rPr>
              <w:t>テーマ剥落リスク</w:t>
            </w:r>
          </w:p>
        </w:tc>
        <w:tc>
          <w:tcPr>
            <w:tcW w:type="dxa" w:w="3135"/>
            <w:shd w:val="clear" w:color="auto" w:fill="DDEBF7"/>
          </w:tcPr>
          <w:p>
            <w:r>
              <w:rPr>
                <w:rFonts w:ascii="Meiryo UI" w:hAnsi="Meiryo UI"/>
                <w:sz w:val="18"/>
              </w:rPr>
              <w:t>要注意 ⚠️</w:t>
            </w:r>
          </w:p>
        </w:tc>
      </w:tr>
    </w:tbl>
    <w:p/>
    <w:p>
      <w:r>
        <w:t>──────────────────────────────────────────────────</w:t>
      </w:r>
    </w:p>
    <w:p/>
    <w:p>
      <w:pPr>
        <w:pStyle w:val="Heading2"/>
      </w:pPr>
      <w:r>
        <w:rPr>
          <w:rFonts w:ascii="Meiryo UI" w:hAnsi="Meiryo UI"/>
          <w:color w:val="2E74B5"/>
        </w:rPr>
        <w:t>🎯 2. 社長指示最重点分析：「今から買うのは遅いか」— 株価の織込み度検証</w:t>
      </w:r>
    </w:p>
    <w:p/>
    <w:p>
      <w:r>
        <w:rPr>
          <w:rFonts w:ascii="Meiryo UI" w:hAnsi="Meiryo UI"/>
          <w:sz w:val="20"/>
        </w:rPr>
        <w:t>&gt; 社長指示優先度2（2026/04/06）：「肥料高騰の織込み度検証。乗り遅れリスクと継続成長余地を数値で判定せよ」</w:t>
      </w:r>
    </w:p>
    <w:p/>
    <w:p>
      <w:pPr>
        <w:pStyle w:val="Heading3"/>
      </w:pPr>
      <w:r>
        <w:rPr>
          <w:rFonts w:ascii="Meiryo UI" w:hAnsi="Meiryo UI"/>
          <w:color w:val="2E74B5"/>
        </w:rPr>
        <w:t>2-1. 結論を先に述べる</w:t>
      </w:r>
    </w:p>
    <w:p/>
    <w:p>
      <w:r>
        <w:rPr>
          <w:rFonts w:ascii="Meiryo UI" w:hAnsi="Meiryo UI"/>
          <w:sz w:val="20"/>
        </w:rPr>
        <w:t>「相当程度は織り込み済み。ただし構造的成長テーマとして『終わった話』ではない。現値での新規フルポジションは勧めにくく、¥4,200前後の押し目を待つのが最善」</w:t>
      </w:r>
    </w:p>
    <w:p/>
    <w:p>
      <w:pPr>
        <w:pStyle w:val="Heading3"/>
      </w:pPr>
      <w:r>
        <w:rPr>
          <w:rFonts w:ascii="Meiryo UI" w:hAnsi="Meiryo UI"/>
          <w:color w:val="2E74B5"/>
        </w:rPr>
        <w:t>2-2. 肥料高騰テーマの「織込み度」を数値で検証</w:t>
      </w:r>
    </w:p>
    <w:p/>
    <w:p>
      <w:pPr>
        <w:pStyle w:val="Heading4"/>
      </w:pPr>
      <w:r>
        <w:rPr>
          <w:rFonts w:ascii="Meiryo UI" w:hAnsi="Meiryo UI"/>
          <w:color w:val="2E74B5"/>
        </w:rPr>
        <w:t>ステップ①：PERで見る織込み度</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同業・過去水準</w:t>
            </w:r>
          </w:p>
        </w:tc>
        <w:tc>
          <w:tcPr>
            <w:tcW w:type="dxa" w:w="2351"/>
            <w:shd w:val="clear" w:color="auto" w:fill="2E74B5"/>
          </w:tcPr>
          <w:p>
            <w:r>
              <w:rPr>
                <w:rFonts w:ascii="Meiryo UI" w:hAnsi="Meiryo UI"/>
                <w:b/>
                <w:color w:val="FFFFFF"/>
                <w:sz w:val="18"/>
              </w:rPr>
              <w:t>判断</w:t>
            </w:r>
          </w:p>
        </w:tc>
      </w:tr>
      <w:tr>
        <w:tc>
          <w:tcPr>
            <w:tcW w:type="dxa" w:w="2351"/>
          </w:tcPr>
          <w:p>
            <w:r>
              <w:rPr>
                <w:rFonts w:ascii="Meiryo UI" w:hAnsi="Meiryo UI"/>
                <w:sz w:val="18"/>
              </w:rPr>
              <w:t>PER</w:t>
            </w:r>
          </w:p>
        </w:tc>
        <w:tc>
          <w:tcPr>
            <w:tcW w:type="dxa" w:w="2351"/>
          </w:tcPr>
          <w:p>
            <w:r>
              <w:rPr>
                <w:rFonts w:ascii="Meiryo UI" w:hAnsi="Meiryo UI"/>
                <w:sz w:val="18"/>
              </w:rPr>
              <w:t>17.3倍</w:t>
            </w:r>
          </w:p>
        </w:tc>
        <w:tc>
          <w:tcPr>
            <w:tcW w:type="dxa" w:w="2351"/>
          </w:tcPr>
          <w:p>
            <w:r>
              <w:rPr>
                <w:rFonts w:ascii="Meiryo UI" w:hAnsi="Meiryo UI"/>
                <w:sz w:val="18"/>
              </w:rPr>
              <w:t>過去5年平均：約15〜18倍</w:t>
            </w:r>
          </w:p>
        </w:tc>
        <w:tc>
          <w:tcPr>
            <w:tcW w:type="dxa" w:w="2351"/>
          </w:tcPr>
          <w:p>
            <w:r>
              <w:rPr>
                <w:rFonts w:ascii="Meiryo UI" w:hAnsi="Meiryo UI"/>
                <w:sz w:val="18"/>
              </w:rPr>
              <w:t>ほぼ適正〜やや割高圏</w:t>
            </w:r>
          </w:p>
        </w:tc>
      </w:tr>
      <w:tr>
        <w:tc>
          <w:tcPr>
            <w:tcW w:type="dxa" w:w="2351"/>
            <w:shd w:val="clear" w:color="auto" w:fill="DDEBF7"/>
          </w:tcPr>
          <w:p>
            <w:r>
              <w:rPr>
                <w:rFonts w:ascii="Meiryo UI" w:hAnsi="Meiryo UI"/>
                <w:sz w:val="18"/>
              </w:rPr>
              <w:t>種苗セクターグローバル平均</w:t>
            </w:r>
          </w:p>
        </w:tc>
        <w:tc>
          <w:tcPr>
            <w:tcW w:type="dxa" w:w="2351"/>
            <w:shd w:val="clear" w:color="auto" w:fill="DDEBF7"/>
          </w:tcPr>
          <w:p>
            <w:r>
              <w:rPr>
                <w:rFonts w:ascii="Meiryo UI" w:hAnsi="Meiryo UI"/>
                <w:sz w:val="18"/>
              </w:rPr>
              <w:t>18〜22倍（Corteva等）</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国際比では割安余地あり</w:t>
            </w:r>
          </w:p>
        </w:tc>
      </w:tr>
    </w:tbl>
    <w:p/>
    <w:p>
      <w:r>
        <w:rPr>
          <w:rFonts w:ascii="Meiryo UI" w:hAnsi="Meiryo UI"/>
          <w:sz w:val="20"/>
        </w:rPr>
        <w:t>→ PER17.3倍は過去平均の上端。「肥料高騰特需」はすでに相当EPS予想に織り込まれている可能性が高い。</w:t>
      </w:r>
    </w:p>
    <w:p/>
    <w:p>
      <w:pPr>
        <w:pStyle w:val="Heading4"/>
      </w:pPr>
      <w:r>
        <w:rPr>
          <w:rFonts w:ascii="Meiryo UI" w:hAnsi="Meiryo UI"/>
          <w:color w:val="2E74B5"/>
        </w:rPr>
        <w:t>ステップ②：PBRで見る織込み度</w:t>
      </w:r>
    </w:p>
    <w:p/>
    <w:p>
      <w:pPr>
        <w:shd w:val="clear" w:color="auto" w:fill="F2F2F2"/>
      </w:pPr>
      <w:r>
        <w:rPr>
          <w:rFonts w:ascii="Courier New" w:hAnsi="Courier New"/>
          <w:sz w:val="16"/>
        </w:rPr>
        <w:t>PBR = 1.17倍（現在）</w:t>
        <w:br/>
        <w:t>BPS = ¥3,931</w:t>
        <w:br/>
        <w:br/>
        <w:t>PBR の意味するもの:</w:t>
        <w:br/>
        <w:t xml:space="preserve">  純資産に対し17%のプレミアム = 成長期待が「小〜中程度」</w:t>
        <w:br/>
        <w:t xml:space="preserve">  ROE 7.0% × PER17.3倍 = PBR 1.21倍（理論整合性OK、概ね適正）</w:t>
        <w:br/>
        <w:br/>
        <w:t>歴史的文脈:</w:t>
        <w:br/>
        <w:t xml:space="preserve">  PBR1.17倍は「割安でも割高でもない中庸」水準</w:t>
        <w:br/>
        <w:t xml:space="preserve">  肥料高騰テーマのピーク時（2022〜2024推定）はPBR1.5〜2.0倍に達した可能性</w:t>
        <w:br/>
        <w:t xml:space="preserve">  → 現在はテーマ過熱が剥落した「適正水準」に戻っている</w:t>
      </w:r>
    </w:p>
    <w:p/>
    <w:p>
      <w:pPr>
        <w:pStyle w:val="Heading4"/>
      </w:pPr>
      <w:r>
        <w:rPr>
          <w:rFonts w:ascii="Meiryo UI" w:hAnsi="Meiryo UI"/>
          <w:color w:val="2E74B5"/>
        </w:rPr>
        <w:t>ステップ③：ROEとコスト・オブ・エクイティの比較</w:t>
      </w:r>
    </w:p>
    <w:p/>
    <w:p>
      <w:pPr>
        <w:shd w:val="clear" w:color="auto" w:fill="F2F2F2"/>
      </w:pPr>
      <w:r>
        <w:rPr>
          <w:rFonts w:ascii="Courier New" w:hAnsi="Courier New"/>
          <w:sz w:val="16"/>
        </w:rPr>
        <w:t>ROE = 7.0%</w:t>
        <w:br/>
        <w:t>株主資本コスト（Re推定）= 2.380% + 0.75 × 5.5% = 6.5%</w:t>
        <w:br/>
        <w:t>（β推定値：0.75 — ディフェンシブ種苗株）</w:t>
        <w:br/>
        <w:br/>
        <w:t>ROE(7.0%) &gt; Re(6.5%) → わずかに超過収益を創出</w:t>
        <w:br/>
        <w:t>超過収益スプレッド = +0.5%pt（非常に薄い）</w:t>
        <w:br/>
        <w:br/>
        <w:t>⇒ 現在の株価は「超過収益が永続する」とは織り込んでいない</w:t>
        <w:br/>
        <w:t>⇒ 「肥料高騰で爆発的ROE拡大」シナリオは織り込まれていない</w:t>
        <w:br/>
        <w:t>⇒ つまり、肥料高騰による業績急拡大が「まだ数字に出ていない」なら上昇余地あり</w:t>
        <w:br/>
        <w:t xml:space="preserve">   逆に、すでに業績に反映済みなら現在のPERが割高感を示す</w:t>
      </w:r>
    </w:p>
    <w:p/>
    <w:p>
      <w:pPr>
        <w:pStyle w:val="Heading4"/>
      </w:pPr>
      <w:r>
        <w:rPr>
          <w:rFonts w:ascii="Meiryo UI" w:hAnsi="Meiryo UI"/>
          <w:color w:val="2E74B5"/>
        </w:rPr>
        <w:t>ステップ④：肥料価格と業績の連動性分析</w:t>
      </w:r>
    </w:p>
    <w:p/>
    <w:p>
      <w:r>
        <w:rPr>
          <w:rFonts w:ascii="Meiryo UI" w:hAnsi="Meiryo UI"/>
          <w:sz w:val="20"/>
        </w:rPr>
        <w:t>天然ガス（Henry Hub）現在値：2.79 USD/MMBtu</w:t>
      </w:r>
    </w:p>
    <w:p/>
    <w:p>
      <w:pPr>
        <w:shd w:val="clear" w:color="auto" w:fill="F2F2F2"/>
      </w:pPr>
      <w:r>
        <w:rPr>
          <w:rFonts w:ascii="Courier New" w:hAnsi="Courier New"/>
          <w:sz w:val="16"/>
        </w:rPr>
        <w:t>肥料価格（特に窒素系）との関係:</w:t>
        <w:br/>
        <w:t xml:space="preserve">  天然ガス ──→ アンモニア ──→ 尿素・硝安 → 肥料</w:t>
        <w:br/>
        <w:br/>
        <w:t xml:space="preserve">  現在のHenry Hub: $2.79/MMBtu</w:t>
        <w:br/>
        <w:t xml:space="preserve">  → 歴史的には「低〜中水準」（ピーク時2022年: $8〜9/MMBtu）</w:t>
        <w:br/>
        <w:t xml:space="preserve">  → 肥料コストは既にピークから大幅緩和</w:t>
        <w:br/>
        <w:br/>
        <w:t>重要な逆説:</w:t>
        <w:br/>
        <w:t xml:space="preserve">  サカタのタネにとって「肥料高騰」の影響は以下の二面性がある:</w:t>
        <w:br/>
        <w:br/>
        <w:t xml:space="preserve">  【ポジティブ面（テーマ側）】</w:t>
        <w:br/>
        <w:t xml:space="preserve">  肥料高 → 農業コスト上昇 → 高収量・高効率品種への需要増大</w:t>
        <w:br/>
        <w:t xml:space="preserve">  → サカタの付加価値種子の購買インセンティブ↑</w:t>
        <w:br/>
        <w:br/>
        <w:t xml:space="preserve">  【ネガティブ面（コスト側）】</w:t>
        <w:br/>
        <w:t xml:space="preserve">  農業資材セグメントの仕入コスト上昇</w:t>
        <w:br/>
        <w:t xml:space="preserve">  農家の購買力低下 → 高価格種苗への支出抑制リスク</w:t>
        <w:br/>
        <w:br/>
        <w:t xml:space="preserve">  現在の天然ガス$2.79は「ポジティブ面が剥落し、コスト面も緩和」の状態</w:t>
        <w:br/>
        <w:t xml:space="preserve">  → 肥料高騰テーマとしての株式市場の注目度は低下局面</w:t>
      </w:r>
    </w:p>
    <w:p/>
    <w:p>
      <w:pPr>
        <w:pStyle w:val="Heading4"/>
      </w:pPr>
      <w:r>
        <w:rPr>
          <w:rFonts w:ascii="Meiryo UI" w:hAnsi="Meiryo UI"/>
          <w:color w:val="2E74B5"/>
        </w:rPr>
        <w:t>ステップ⑤：株価パフォーマンスとテーマの位置確認</w:t>
      </w:r>
    </w:p>
    <w:p/>
    <w:p>
      <w:pPr>
        <w:shd w:val="clear" w:color="auto" w:fill="F2F2F2"/>
      </w:pPr>
      <w:r>
        <w:rPr>
          <w:rFonts w:ascii="Courier New" w:hAnsi="Courier New"/>
          <w:sz w:val="16"/>
        </w:rPr>
        <w:t>現在株価: ¥4,615</w:t>
        <w:br/>
        <w:t>52週レンジ（推定）: ¥3,800〜¥5,200（公開情報ベース概算）</w:t>
        <w:br/>
        <w:br/>
        <w:t>株価水準の位置: 52週レンジの中間〜やや上</w:t>
        <w:br/>
        <w:t>→ 「既に大きく上昇した後」ではなく「中程度の位置」</w:t>
        <w:br/>
        <w:br/>
        <w:t>結論: 肥料高騰テーマの「一次的な株価上昇」は既に消化。</w:t>
        <w:br/>
        <w:t xml:space="preserve">     但し現在値は過熱状態でもなく、構造的成長の「再評価待ち」局面。</w:t>
      </w:r>
    </w:p>
    <w:p/>
    <w:p>
      <w:pPr>
        <w:pStyle w:val="Heading3"/>
      </w:pPr>
      <w:r>
        <w:rPr>
          <w:rFonts w:ascii="Meiryo UI" w:hAnsi="Meiryo UI"/>
          <w:color w:val="2E74B5"/>
        </w:rPr>
        <w:t>2-3. 「テーマ後追いの罠」vs「構造的優位で継続高成長」の最終判定</w:t>
      </w:r>
    </w:p>
    <w:p/>
    <w:p>
      <w:pPr>
        <w:shd w:val="clear" w:color="auto" w:fill="F2F2F2"/>
      </w:pPr>
      <w:r>
        <w:rPr>
          <w:rFonts w:ascii="Courier New" w:hAnsi="Courier New"/>
          <w:sz w:val="16"/>
        </w:rPr>
        <w:t>判定スコアカード:</w:t>
        <w:br/>
        <w:t>┌──────────────────────────────┬──────┬─────────────────────────┐</w:t>
        <w:br/>
        <w:t>│ 評価項目                      │ スコア│ コメント                  │</w:t>
        <w:br/>
        <w:t>├──────────────────────────────┼──────┼─────────────────────────┤</w:t>
        <w:br/>
        <w:t>│ 肥料高騰テーマの継続性         │  3/5 │ 天然ガス$2.79で熱量低下    │</w:t>
        <w:br/>
        <w:t>│ 構造的需要（食糧安保・人口増）  │  5/5 │ 不変・不可逆              │</w:t>
        <w:br/>
        <w:t>│ 株価の割高感                   │  3/5 │ PER17.3は適正〜やや割高    │</w:t>
        <w:br/>
        <w:t>│ 育種知財の競合優位性            │  5/5 │ 真のモート（堀）           │</w:t>
        <w:br/>
        <w:t>│ 円安恩恵の持続性               │  4/5 │ 海外売上比率高く恩恵継続   │</w:t>
        <w:br/>
        <w:t>│ 今から買う「緊急性」           │  2/5 │ 押し目待ちが有利          │</w:t>
        <w:br/>
        <w:t>├──────────────────────────────┼──────┼─────────────────────────┤</w:t>
        <w:br/>
        <w:t>│ 総合                          │ 22/30│ 中立〜条件付きBUY         │</w:t>
        <w:br/>
        <w:t>└──────────────────────────────┴──────┴─────────────────────────┘</w:t>
        <w:br/>
        <w:br/>
        <w:t>最終判定:</w:t>
        <w:br/>
        <w:t>「テーマ後追いの罠」には入っていない — 構造的優位は本物</w:t>
        <w:br/>
        <w:t>但し「今すぐフルポジション」は不要 — 押し目を作る可能性が高い</w:t>
        <w:br/>
        <w:t>推奨: ¥4,200以下での分割買い / 現値での新規フルポジションは非推奨</w:t>
      </w:r>
    </w:p>
    <w:p/>
    <w:p>
      <w:r>
        <w:t>──────────────────────────────────────────────────</w:t>
      </w:r>
    </w:p>
    <w:p/>
    <w:p>
      <w:pPr>
        <w:pStyle w:val="Heading2"/>
      </w:pPr>
      <w:r>
        <w:rPr>
          <w:rFonts w:ascii="Meiryo UI" w:hAnsi="Meiryo UI"/>
          <w:color w:val="2E74B5"/>
        </w:rPr>
        <w:t>📊 3. 財務ハイライト</w:t>
      </w:r>
    </w:p>
    <w:p/>
    <w:p>
      <w:pPr>
        <w:pStyle w:val="Heading3"/>
      </w:pPr>
      <w:r>
        <w:rPr>
          <w:rFonts w:ascii="Meiryo UI" w:hAnsi="Meiryo UI"/>
          <w:color w:val="2E74B5"/>
        </w:rPr>
        <w:t>3-1. 直近FY実績（公開情報ベース推定）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直近FY実績（推定）</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売上高</w:t>
            </w:r>
          </w:p>
        </w:tc>
        <w:tc>
          <w:tcPr>
            <w:tcW w:type="dxa" w:w="2351"/>
          </w:tcPr>
          <w:p>
            <w:r>
              <w:rPr>
                <w:rFonts w:ascii="Meiryo UI" w:hAnsi="Meiryo UI"/>
                <w:sz w:val="18"/>
              </w:rPr>
              <w:t>約¥1,000億〜1,100億</w:t>
            </w:r>
          </w:p>
        </w:tc>
        <w:tc>
          <w:tcPr>
            <w:tcW w:type="dxa" w:w="2351"/>
          </w:tcPr>
          <w:p>
            <w:r>
              <w:rPr>
                <w:rFonts w:ascii="Meiryo UI" w:hAnsi="Meiryo UI"/>
                <w:sz w:val="18"/>
              </w:rPr>
              <w:t>+5〜8%</w:t>
            </w:r>
          </w:p>
        </w:tc>
        <w:tc>
          <w:tcPr>
            <w:tcW w:type="dxa" w:w="2351"/>
          </w:tcPr>
          <w:p>
            <w:r>
              <w:rPr>
                <w:rFonts w:ascii="Meiryo UI" w:hAnsi="Meiryo UI"/>
                <w:sz w:val="18"/>
              </w:rPr>
              <w:t>堅調</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約¥80億〜95億</w:t>
            </w:r>
          </w:p>
        </w:tc>
        <w:tc>
          <w:tcPr>
            <w:tcW w:type="dxa" w:w="2351"/>
            <w:shd w:val="clear" w:color="auto" w:fill="DDEBF7"/>
          </w:tcPr>
          <w:p>
            <w:r>
              <w:rPr>
                <w:rFonts w:ascii="Meiryo UI" w:hAnsi="Meiryo UI"/>
                <w:sz w:val="18"/>
              </w:rPr>
              <w:t>+3〜7%</w:t>
            </w:r>
          </w:p>
        </w:tc>
        <w:tc>
          <w:tcPr>
            <w:tcW w:type="dxa" w:w="2351"/>
            <w:shd w:val="clear" w:color="auto" w:fill="DDEBF7"/>
          </w:tcPr>
          <w:p>
            <w:r>
              <w:rPr>
                <w:rFonts w:ascii="Meiryo UI" w:hAnsi="Meiryo UI"/>
                <w:sz w:val="18"/>
              </w:rPr>
              <w:t>安定</w:t>
            </w:r>
          </w:p>
        </w:tc>
      </w:tr>
      <w:tr>
        <w:tc>
          <w:tcPr>
            <w:tcW w:type="dxa" w:w="2351"/>
          </w:tcPr>
          <w:p>
            <w:r>
              <w:rPr>
                <w:rFonts w:ascii="Meiryo UI" w:hAnsi="Meiryo UI"/>
                <w:sz w:val="18"/>
              </w:rPr>
              <w:t>営業利益率</w:t>
            </w:r>
          </w:p>
        </w:tc>
        <w:tc>
          <w:tcPr>
            <w:tcW w:type="dxa" w:w="2351"/>
          </w:tcPr>
          <w:p>
            <w:r>
              <w:rPr>
                <w:rFonts w:ascii="Meiryo UI" w:hAnsi="Meiryo UI"/>
                <w:sz w:val="18"/>
              </w:rPr>
              <w:t>約8〜9%</w:t>
            </w:r>
          </w:p>
        </w:tc>
        <w:tc>
          <w:tcPr>
            <w:tcW w:type="dxa" w:w="2351"/>
          </w:tcPr>
          <w:p>
            <w:r>
              <w:rPr>
                <w:rFonts w:ascii="Meiryo UI" w:hAnsi="Meiryo UI"/>
                <w:sz w:val="18"/>
              </w:rPr>
              <w:t>横ばい</w:t>
            </w:r>
          </w:p>
        </w:tc>
        <w:tc>
          <w:tcPr>
            <w:tcW w:type="dxa" w:w="2351"/>
          </w:tcPr>
          <w:p>
            <w:r>
              <w:rPr>
                <w:rFonts w:ascii="Meiryo UI" w:hAnsi="Meiryo UI"/>
                <w:sz w:val="18"/>
              </w:rPr>
              <w:t>種苗業界標準</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約¥55億〜65億</w:t>
            </w:r>
          </w:p>
        </w:tc>
        <w:tc>
          <w:tcPr>
            <w:tcW w:type="dxa" w:w="2351"/>
            <w:shd w:val="clear" w:color="auto" w:fill="DDEBF7"/>
          </w:tcPr>
          <w:p>
            <w:r>
              <w:rPr>
                <w:rFonts w:ascii="Meiryo UI" w:hAnsi="Meiryo UI"/>
                <w:sz w:val="18"/>
              </w:rPr>
              <w:t>安定</w:t>
            </w:r>
          </w:p>
        </w:tc>
        <w:tc>
          <w:tcPr>
            <w:tcW w:type="dxa" w:w="2351"/>
            <w:shd w:val="clear" w:color="auto" w:fill="DDEBF7"/>
          </w:tcPr>
          <w:p>
            <w:r>
              <w:rPr>
                <w:rFonts w:ascii="Meiryo UI" w:hAnsi="Meiryo UI"/>
                <w:sz w:val="18"/>
              </w:rPr>
              <w:t>EPS¥267に整合</w:t>
            </w:r>
          </w:p>
        </w:tc>
      </w:tr>
      <w:tr>
        <w:tc>
          <w:tcPr>
            <w:tcW w:type="dxa" w:w="2351"/>
          </w:tcPr>
          <w:p>
            <w:r>
              <w:rPr>
                <w:rFonts w:ascii="Meiryo UI" w:hAnsi="Meiryo UI"/>
                <w:sz w:val="18"/>
              </w:rPr>
              <w:t>FCFマージン</w:t>
            </w:r>
          </w:p>
        </w:tc>
        <w:tc>
          <w:tcPr>
            <w:tcW w:type="dxa" w:w="2351"/>
          </w:tcPr>
          <w:p>
            <w:r>
              <w:rPr>
                <w:rFonts w:ascii="Meiryo UI" w:hAnsi="Meiryo UI"/>
                <w:sz w:val="18"/>
              </w:rPr>
              <w:t>推定5〜7%</w:t>
            </w:r>
          </w:p>
        </w:tc>
        <w:tc>
          <w:tcPr>
            <w:tcW w:type="dxa" w:w="2351"/>
          </w:tcPr>
          <w:p>
            <w:r>
              <w:rPr>
                <w:rFonts w:ascii="Meiryo UI" w:hAnsi="Meiryo UI"/>
                <w:sz w:val="18"/>
              </w:rPr>
              <w:t>—</w:t>
            </w:r>
          </w:p>
        </w:tc>
        <w:tc>
          <w:tcPr>
            <w:tcW w:type="dxa" w:w="2351"/>
          </w:tcPr>
          <w:p>
            <w:r>
              <w:rPr>
                <w:rFonts w:ascii="Meiryo UI" w:hAnsi="Meiryo UI"/>
                <w:sz w:val="18"/>
              </w:rPr>
              <w:t>キャッシュ創出力あり</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7.0%（確認値）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改善余地あり</w:t>
            </w:r>
          </w:p>
        </w:tc>
      </w:tr>
      <w:tr>
        <w:tc>
          <w:tcPr>
            <w:tcW w:type="dxa" w:w="2351"/>
          </w:tcPr>
          <w:p>
            <w:r>
              <w:rPr>
                <w:rFonts w:ascii="Meiryo UI" w:hAnsi="Meiryo UI"/>
                <w:sz w:val="18"/>
              </w:rPr>
              <w:t>BPS</w:t>
            </w:r>
          </w:p>
        </w:tc>
        <w:tc>
          <w:tcPr>
            <w:tcW w:type="dxa" w:w="2351"/>
          </w:tcPr>
          <w:p>
            <w:r>
              <w:rPr>
                <w:rFonts w:ascii="Meiryo UI" w:hAnsi="Meiryo UI"/>
                <w:sz w:val="18"/>
              </w:rPr>
              <w:t>¥3,931（確認値）</w:t>
            </w:r>
          </w:p>
        </w:tc>
        <w:tc>
          <w:tcPr>
            <w:tcW w:type="dxa" w:w="2351"/>
          </w:tcPr>
          <w:p>
            <w:r>
              <w:rPr>
                <w:rFonts w:ascii="Meiryo UI" w:hAnsi="Meiryo UI"/>
                <w:sz w:val="18"/>
              </w:rPr>
              <w:t>—</w:t>
            </w:r>
          </w:p>
        </w:tc>
        <w:tc>
          <w:tcPr>
            <w:tcW w:type="dxa" w:w="2351"/>
          </w:tcPr>
          <w:p>
            <w:r>
              <w:rPr>
                <w:rFonts w:ascii="Meiryo UI" w:hAnsi="Meiryo UI"/>
                <w:sz w:val="18"/>
              </w:rPr>
              <w:t>—</w:t>
            </w:r>
          </w:p>
        </w:tc>
      </w:tr>
    </w:tbl>
    <w:p/>
    <w:p>
      <w:r>
        <w:rPr>
          <w:rFonts w:ascii="Meiryo UI" w:hAnsi="Meiryo UI"/>
          <w:sz w:val="20"/>
        </w:rPr>
        <w:t>&gt; ⚠️ 売上高・営業利益はyfinance確認値ではなく公開情報ベース推定値。EPSとROEの確認値（EPS¥267、ROE7.0%）に整合するよう推計。</w:t>
      </w:r>
    </w:p>
    <w:p/>
    <w:p>
      <w:pPr>
        <w:pStyle w:val="Heading3"/>
      </w:pPr>
      <w:r>
        <w:rPr>
          <w:rFonts w:ascii="Meiryo UI" w:hAnsi="Meiryo UI"/>
          <w:color w:val="2E74B5"/>
        </w:rPr>
        <w:t>3-2. EPS・BPSから逆算した内部整合性確認</w:t>
      </w:r>
    </w:p>
    <w:p/>
    <w:p>
      <w:pPr>
        <w:shd w:val="clear" w:color="auto" w:fill="F2F2F2"/>
      </w:pPr>
      <w:r>
        <w:rPr>
          <w:rFonts w:ascii="Courier New" w:hAnsi="Courier New"/>
          <w:sz w:val="16"/>
        </w:rPr>
        <w:t>EPS = ¥267</w:t>
        <w:br/>
        <w:t>ROE = 7.0%</w:t>
        <w:br/>
        <w:t>BPS = ¥3,931</w:t>
        <w:br/>
        <w:br/>
        <w:t>確認: EPS / BPS = 267 / 3,931 = 6.8% ≈ ROE 7.0% ✅（整合）</w:t>
        <w:br/>
        <w:br/>
        <w:t>PER = 4,615 / 267 = 17.3倍 ✅（確認値と整合）</w:t>
        <w:br/>
        <w:t>PBR = 4,615 / 3,931 = 1.174倍 ≈ 1.17倍 ✅（確認値と整合）</w:t>
        <w:br/>
        <w:br/>
        <w:t>全指標の整合性：確認済み</w:t>
      </w:r>
    </w:p>
    <w:p/>
    <w:p>
      <w:pPr>
        <w:pStyle w:val="Heading3"/>
      </w:pPr>
      <w:r>
        <w:rPr>
          <w:rFonts w:ascii="Meiryo UI" w:hAnsi="Meiryo UI"/>
          <w:color w:val="2E74B5"/>
        </w:rPr>
        <w:t>3-3. 資本効率と改善余地</w:t>
      </w:r>
    </w:p>
    <w:p/>
    <w:p>
      <w:pPr>
        <w:shd w:val="clear" w:color="auto" w:fill="F2F2F2"/>
      </w:pPr>
      <w:r>
        <w:rPr>
          <w:rFonts w:ascii="Courier New" w:hAnsi="Courier New"/>
          <w:sz w:val="16"/>
        </w:rPr>
        <w:t>ROE 7.0% の分解（デュポン推定）:</w:t>
        <w:br/>
        <w:t xml:space="preserve">  純利益率:    約6%</w:t>
        <w:br/>
        <w:t xml:space="preserve">  資産回転率:  約0.6回</w:t>
        <w:br/>
        <w:t xml:space="preserve">  財務レバレッジ: 約1.9倍</w:t>
        <w:br/>
        <w:t xml:space="preserve">  → ROE = 6% × 0.6 × 1.9 = 6.8% ≈ 7.0% ✅</w:t>
        <w:br/>
        <w:br/>
        <w:t>改善シナリオ:</w:t>
        <w:br/>
        <w:t xml:space="preserve">  純利益率を7%に改善 → ROE ≈ 8.0%（円安・価格転嫁効果）</w:t>
        <w:br/>
        <w:t xml:space="preserve">  資産回転率改善（不動産活用）→ ROE 9%台も視野</w:t>
      </w:r>
    </w:p>
    <w:p/>
    <w:p>
      <w:r>
        <w:t>──────────────────────────────────────────────────</w:t>
      </w:r>
    </w:p>
    <w:p/>
    <w:p>
      <w:pPr>
        <w:pStyle w:val="Heading2"/>
      </w:pPr>
      <w:r>
        <w:rPr>
          <w:rFonts w:ascii="Meiryo UI" w:hAnsi="Meiryo UI"/>
          <w:color w:val="2E74B5"/>
        </w:rPr>
        <w:t>🏗️ 4. 不動産含み益NAV分析（必須）</w:t>
      </w:r>
    </w:p>
    <w:p/>
    <w:p>
      <w:pPr>
        <w:pStyle w:val="Heading3"/>
      </w:pPr>
      <w:r>
        <w:rPr>
          <w:rFonts w:ascii="Meiryo UI" w:hAnsi="Meiryo UI"/>
          <w:color w:val="2E74B5"/>
        </w:rPr>
        <w:t>4-1. サカタのタネの不動産資産概況</w:t>
      </w:r>
    </w:p>
    <w:p/>
    <w:p>
      <w:r>
        <w:rPr>
          <w:rFonts w:ascii="Meiryo UI" w:hAnsi="Meiryo UI"/>
          <w:sz w:val="20"/>
        </w:rPr>
        <w:t>サカタのタネは横浜本社・研究農場・育種センター等に広大な土地・建物を保有。種苗企業の特性上、試験農場・育種圃場として保有する土地資産が簿価を大幅に上回る可能性がある。</w:t>
      </w:r>
    </w:p>
    <w:p/>
    <w:p>
      <w:pPr>
        <w:shd w:val="clear" w:color="auto" w:fill="F2F2F2"/>
      </w:pPr>
      <w:r>
        <w:rPr>
          <w:rFonts w:ascii="Courier New" w:hAnsi="Courier New"/>
          <w:sz w:val="16"/>
        </w:rPr>
        <w:t>不動産含み益の推定フレームワーク:</w:t>
        <w:br/>
        <w:br/>
        <w:t>保有土地資産（推定簿価）:  約¥200億〜300億</w:t>
        <w:br/>
        <w:t xml:space="preserve">  ├ 横浜本社周辺土地</w:t>
        <w:br/>
        <w:t xml:space="preserve">  ├ 国内育種・研究農場（複数拠点）</w:t>
        <w:br/>
        <w:t xml:space="preserve">  └ 海外子会社保有農地・施設</w:t>
        <w:br/>
        <w:br/>
        <w:t>時価評価（推定）:</w:t>
        <w:br/>
        <w:t xml:space="preserve">  横浜市内商業地・住宅地の路線価上昇を勘案</w:t>
        <w:br/>
        <w:t xml:space="preserve">  含み益: 推定¥100億〜200億（保守的ケース）</w:t>
        <w:br/>
        <w:t xml:space="preserve">  含み益: 推定¥200億〜400億（楽観的ケース）</w:t>
        <w:br/>
        <w:br/>
        <w:t>発行済み株式数（推定）: 約2,400万株</w:t>
        <w:br/>
        <w:t>（EPS¥267・純利益¥64億から逆算: 64億/267 ≈ 2,397万株）</w:t>
        <w:br/>
        <w:br/>
        <w:t>NAV含み益の一株換算:</w:t>
        <w:br/>
        <w:t xml:space="preserve">  保守的: 100億〜200億 / 2,400万株 = ¥417〜¥833/株</w:t>
        <w:br/>
        <w:t xml:space="preserve">  楽観的: 200億〜400億 / 2,400万株 = ¥833〜¥1,667/株</w:t>
      </w:r>
    </w:p>
    <w:p/>
    <w:p>
      <w:pPr>
        <w:pStyle w:val="Heading3"/>
      </w:pPr>
      <w:r>
        <w:rPr>
          <w:rFonts w:ascii="Meiryo UI" w:hAnsi="Meiryo UI"/>
          <w:color w:val="2E74B5"/>
        </w:rPr>
        <w:t>4-2. NAV調整後の理論株価</w:t>
      </w:r>
    </w:p>
    <w:p/>
    <w:p>
      <w:pPr>
        <w:shd w:val="clear" w:color="auto" w:fill="F2F2F2"/>
      </w:pPr>
      <w:r>
        <w:rPr>
          <w:rFonts w:ascii="Courier New" w:hAnsi="Courier New"/>
          <w:sz w:val="16"/>
        </w:rPr>
        <w:t>NAV調整後PBR分析:</w:t>
        <w:br/>
        <w:br/>
        <w:t>調整後BPS（保守的）= ¥3,931 + ¥500（含み益中央値）= ¥4,431</w:t>
        <w:br/>
        <w:t>調整後BPS（楽観的）= ¥3,931 + ¥1,250（含み益中央値）= ¥5,181</w:t>
        <w:br/>
        <w:br/>
        <w:t>調整後PBR:</w:t>
        <w:br/>
        <w:t xml:space="preserve">  保守的調整後: 4,615 / 4,431 = 1.04倍（実質ほぼ解散価値）</w:t>
        <w:br/>
        <w:t xml:space="preserve">  楽観的調整後: 4,615 / 5,181 = 0.89倍（実質的に純資産割れ）</w:t>
        <w:br/>
        <w:br/>
        <w:t>→ 不動産含み益を加味すると、現在株価は実質「解散価値近辺〜割安」</w:t>
        <w:br/>
        <w:t>→ 下値限定的の論拠として有効</w:t>
      </w:r>
    </w:p>
    <w:p/>
    <w:p>
      <w:r>
        <w:rPr>
          <w:rFonts w:ascii="Meiryo UI" w:hAnsi="Meiryo UI"/>
          <w:sz w:val="20"/>
        </w:rPr>
        <w:t>&gt; 深井コメント：不動産含み益分析は正確な簿価データが必要。上記は公開情報からの推定。IR資料の土地資産明細で精緻化することを強く推奨する。</w:t>
      </w:r>
    </w:p>
    <w:p/>
    <w:p>
      <w:r>
        <w:t>──────────────────────────────────────────────────</w:t>
      </w:r>
    </w:p>
    <w:p/>
    <w:p>
      <w:pPr>
        <w:pStyle w:val="Heading2"/>
      </w:pPr>
      <w:r>
        <w:rPr>
          <w:rFonts w:ascii="Meiryo UI" w:hAnsi="Meiryo UI"/>
          <w:color w:val="2E74B5"/>
        </w:rPr>
        <w:t>📐 5. DCFバリュエーション</w:t>
      </w:r>
    </w:p>
    <w:p/>
    <w:p>
      <w:pPr>
        <w:pStyle w:val="Heading3"/>
      </w:pPr>
      <w:r>
        <w:rPr>
          <w:rFonts w:ascii="Meiryo UI" w:hAnsi="Meiryo UI"/>
          <w:color w:val="2E74B5"/>
        </w:rPr>
        <w:t>5-1. 前提条件の全開示</w:t>
      </w:r>
    </w:p>
    <w:p/>
    <w:p>
      <w:pPr>
        <w:pStyle w:val="Heading4"/>
      </w:pPr>
      <w:r>
        <w:rPr>
          <w:rFonts w:ascii="Meiryo UI" w:hAnsi="Meiryo UI"/>
          <w:color w:val="2E74B5"/>
        </w:rPr>
        <w:t>マクロ・資本コスト前提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JGB10Y 社長確認値（2026/04/06）</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日本市場標準（Damodaran参考）</w:t>
            </w:r>
          </w:p>
        </w:tc>
      </w:tr>
      <w:tr>
        <w:tc>
          <w:tcPr>
            <w:tcW w:type="dxa" w:w="3135"/>
          </w:tcPr>
          <w:p>
            <w:r>
              <w:rPr>
                <w:rFonts w:ascii="Meiryo UI" w:hAnsi="Meiryo UI"/>
                <w:sz w:val="18"/>
              </w:rPr>
              <w:t>β（ベータ）</w:t>
            </w:r>
          </w:p>
        </w:tc>
        <w:tc>
          <w:tcPr>
            <w:tcW w:type="dxa" w:w="3135"/>
          </w:tcPr>
          <w:p>
            <w:r>
              <w:rPr>
                <w:rFonts w:ascii="Meiryo UI" w:hAnsi="Meiryo UI"/>
                <w:sz w:val="18"/>
              </w:rPr>
              <w:t>0.75</w:t>
            </w:r>
          </w:p>
        </w:tc>
        <w:tc>
          <w:tcPr>
            <w:tcW w:type="dxa" w:w="3135"/>
          </w:tcPr>
          <w:p>
            <w:r>
              <w:rPr>
                <w:rFonts w:ascii="Meiryo UI" w:hAnsi="Meiryo UI"/>
                <w:sz w:val="18"/>
              </w:rPr>
              <w:t>ディフェンシブ農業株、食品関連近似</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6.505%</w:t>
            </w:r>
          </w:p>
        </w:tc>
        <w:tc>
          <w:tcPr>
            <w:tcW w:type="dxa" w:w="3135"/>
            <w:shd w:val="clear" w:color="auto" w:fill="DDEBF7"/>
          </w:tcPr>
          <w:p>
            <w:r>
              <w:rPr>
                <w:rFonts w:ascii="Meiryo UI" w:hAnsi="Meiryo UI"/>
                <w:sz w:val="18"/>
              </w:rPr>
              <w:t>2.380% + 0.75 × 5.5%</w:t>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低金利環境、AA格相当</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日本法人標準</w:t>
            </w:r>
          </w:p>
        </w:tc>
      </w:tr>
      <w:tr>
        <w:tc>
          <w:tcPr>
            <w:tcW w:type="dxa" w:w="3135"/>
          </w:tcPr>
          <w:p>
            <w:r>
              <w:rPr>
                <w:rFonts w:ascii="Meiryo UI" w:hAnsi="Meiryo UI"/>
                <w:sz w:val="18"/>
              </w:rPr>
              <w:t>D/(D+E)</w:t>
            </w:r>
          </w:p>
        </w:tc>
        <w:tc>
          <w:tcPr>
            <w:tcW w:type="dxa" w:w="3135"/>
          </w:tcPr>
          <w:p>
            <w:r>
              <w:rPr>
                <w:rFonts w:ascii="Meiryo UI" w:hAnsi="Meiryo UI"/>
                <w:sz w:val="18"/>
              </w:rPr>
              <w:t>15%</w:t>
            </w:r>
          </w:p>
        </w:tc>
        <w:tc>
          <w:tcPr>
            <w:tcW w:type="dxa" w:w="3135"/>
          </w:tcPr>
          <w:p>
            <w:r>
              <w:rPr>
                <w:rFonts w:ascii="Meiryo UI" w:hAnsi="Meiryo UI"/>
                <w:sz w:val="18"/>
              </w:rPr>
              <w:t>財務健全型（有利子負債少ない推定）</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85%</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WACC</w:t>
            </w:r>
          </w:p>
        </w:tc>
        <w:tc>
          <w:tcPr>
            <w:tcW w:type="dxa" w:w="3135"/>
          </w:tcPr>
          <w:p>
            <w:r>
              <w:rPr>
                <w:rFonts w:ascii="Meiryo UI" w:hAnsi="Meiryo UI"/>
                <w:sz w:val="18"/>
              </w:rPr>
              <w:t>5.71%</w:t>
            </w:r>
          </w:p>
        </w:tc>
        <w:tc>
          <w:tcPr>
            <w:tcW w:type="dxa" w:w="3135"/>
          </w:tcPr>
          <w:p>
            <w:r>
              <w:rPr>
                <w:rFonts w:ascii="Meiryo UI" w:hAnsi="Meiryo UI"/>
                <w:sz w:val="18"/>
              </w:rPr>
              <w:t>下記計算</w:t>
            </w:r>
          </w:p>
        </w:tc>
      </w:tr>
      <w:tr>
        <w:tc>
          <w:tcPr>
            <w:tcW w:type="dxa" w:w="3135"/>
            <w:shd w:val="clear" w:color="auto" w:fill="DDEBF7"/>
          </w:tcPr>
          <w:p>
            <w:r>
              <w:rPr>
                <w:rFonts w:ascii="Meiryo UI" w:hAnsi="Meiryo UI"/>
                <w:sz w:val="18"/>
              </w:rPr>
              <w:t>永久成長率（g）</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種苗業界長期成長（食糧需要安定）</w:t>
            </w:r>
          </w:p>
        </w:tc>
      </w:tr>
    </w:tbl>
    <w:p/>
    <w:p>
      <w:pPr>
        <w:pStyle w:val="Heading4"/>
      </w:pPr>
      <w:r>
        <w:rPr>
          <w:rFonts w:ascii="Meiryo UI" w:hAnsi="Meiryo UI"/>
          <w:color w:val="2E74B5"/>
        </w:rPr>
        <w:t>WACC計算詳細</w:t>
      </w:r>
    </w:p>
    <w:p/>
    <w:p>
      <w:pPr>
        <w:shd w:val="clear" w:color="auto" w:fill="F2F2F2"/>
      </w:pPr>
      <w:r>
        <w:rPr>
          <w:rFonts w:ascii="Courier New" w:hAnsi="Courier New"/>
          <w:sz w:val="16"/>
        </w:rPr>
        <w:t>Re = 2.380% + 0.75 × 5.5% = 2.380% + 4.125% = 6.505%</w:t>
        <w:br/>
        <w:t>Rd after-tax = 1.5% × (1 - 0.30) = 1.050%</w:t>
        <w:br/>
        <w:br/>
        <w:t>WACC = 0.85 × 6.505% + 0.15 × 1.050%</w:t>
        <w:br/>
        <w:t xml:space="preserve">     = 5.529% + 0.158%</w:t>
        <w:br/>
        <w:t xml:space="preserve">     = 5.687% ≈ 5.71%</w:t>
      </w:r>
    </w:p>
    <w:p/>
    <w:p>
      <w:pPr>
        <w:pStyle w:val="Heading3"/>
      </w:pPr>
      <w:r>
        <w:rPr>
          <w:rFonts w:ascii="Meiryo UI" w:hAnsi="Meiryo UI"/>
          <w:color w:val="2E74B5"/>
        </w:rPr>
        <w:t>5-2. FCF予測（3シナリオ）</w:t>
      </w:r>
    </w:p>
    <w:p/>
    <w:p>
      <w:pPr>
        <w:pStyle w:val="Heading4"/>
      </w:pPr>
      <w:r>
        <w:rPr>
          <w:rFonts w:ascii="Meiryo UI" w:hAnsi="Meiryo UI"/>
          <w:color w:val="2E74B5"/>
        </w:rPr>
        <w:t>基本シナリオ前提</w:t>
      </w:r>
    </w:p>
    <w:p>
      <w:pPr>
        <w:pStyle w:val="ListBullet"/>
      </w:pPr>
      <w:r>
        <w:rPr>
          <w:rFonts w:ascii="Meiryo UI" w:hAnsi="Meiryo UI"/>
          <w:sz w:val="20"/>
        </w:rPr>
        <w:t>売上成長率：5〜7%（円安+海外成長）</w:t>
      </w:r>
    </w:p>
    <w:p>
      <w:pPr>
        <w:pStyle w:val="ListBullet"/>
      </w:pPr>
      <w:r>
        <w:rPr>
          <w:rFonts w:ascii="Meiryo UI" w:hAnsi="Meiryo UI"/>
          <w:sz w:val="20"/>
        </w:rPr>
        <w:t>営業利益率：8.5〜9.5%（緩やかな改善）</w:t>
      </w:r>
    </w:p>
    <w:p>
      <w:pPr>
        <w:pStyle w:val="ListBullet"/>
      </w:pPr>
      <w:r>
        <w:rPr>
          <w:rFonts w:ascii="Meiryo UI" w:hAnsi="Meiryo UI"/>
          <w:sz w:val="20"/>
        </w:rPr>
        <w:t>CAPEX比率：売上の5〜6%（R&amp;D投資継続）</w:t>
      </w:r>
    </w:p>
    <w:p>
      <w:pPr>
        <w:pStyle w:val="ListBullet"/>
      </w:pPr>
      <w:r>
        <w:rPr>
          <w:rFonts w:ascii="Meiryo UI" w:hAnsi="Meiryo UI"/>
          <w:sz w:val="20"/>
        </w:rPr>
        <w:t>運転資本：売上比横ばい</w:t>
      </w:r>
    </w:p>
    <w:p/>
    <w:p>
      <w:pPr>
        <w:shd w:val="clear" w:color="auto" w:fill="F2F2F2"/>
      </w:pPr>
      <w:r>
        <w:rPr>
          <w:rFonts w:ascii="Courier New" w:hAnsi="Courier New"/>
          <w:sz w:val="16"/>
        </w:rPr>
        <w:t>【基本シナリオ FCF推移（百万円）】</w:t>
        <w:br/>
        <w:br/>
        <w:t>FCF基準値（FY2025推定）: ¥5,500百万（¥55億）</w:t>
        <w:br/>
        <w:br/>
        <w:t>Year  | FCF(百万円) | 成長率</w:t>
        <w:br/>
        <w:t>FY1   |   5,775    | +5.0%</w:t>
        <w:br/>
        <w:t>FY2   |   6,054    | +4.8%</w:t>
        <w:br/>
        <w:t>FY3   |   6,417    | +6.0%</w:t>
        <w:br/>
        <w:t>FY4   |   6,802    | +6.0%</w:t>
        <w:br/>
        <w:t>FY5   |   7,142    | +5.0%</w:t>
        <w:br/>
        <w:t>TV    |  永久成長g=1.5%</w:t>
        <w:br/>
        <w:br/>
        <w:t>DCF計算:</w:t>
        <w:br/>
        <w:br/>
        <w:t>現在価値（FY1-5）:</w:t>
        <w:br/>
        <w:t xml:space="preserve">  PV1 = 5,775 / (1.0571)^1 = 5,464</w:t>
        <w:br/>
        <w:t xml:space="preserve">  PV2 = 6,054 / (1.0571)^2 = 5,420</w:t>
        <w:br/>
        <w:t xml:space="preserve">  PV3 = 6,417 / (1.0571)^3 = 5,456</w:t>
        <w:br/>
        <w:t xml:space="preserve">  PV4 = 6,802 / (1.0571)^4 = 5,488</w:t>
        <w:br/>
        <w:t xml:space="preserve">  PV5 = 7,142 / (1.0571)^5 = 5,472</w:t>
        <w:br/>
        <w:br/>
        <w:t>Sum PV(1-5) = 27,300百万円</w:t>
        <w:br/>
        <w:br/>
        <w:t>Terminal Value:</w:t>
        <w:br/>
        <w:t xml:space="preserve">  TV = 7,142 × (1 + 0.015) / (0.0571 - 0.015)</w:t>
        <w:br/>
        <w:t xml:space="preserve">     = 7,249 / 0.0421</w:t>
        <w:br/>
        <w:t xml:space="preserve">     = 172,186百万円</w:t>
        <w:br/>
        <w:br/>
        <w:t>PV(TV) = 172,186 / (1.0571)^5 = 131,896百万円</w:t>
        <w:br/>
        <w:br/>
        <w:t>Enterprise Value = 27,300 + 131,896 = 159,196百万円</w:t>
        <w:br/>
        <w:br/>
        <w:t>ネット・デット（推定）= -15,000百万円（ネットキャッシュ保有推定）</w:t>
        <w:br/>
        <w:t>Equity Value = 159,196 + 15,000 = 174,196百万円</w:t>
        <w:br/>
        <w:br/>
        <w:t>発行済み株式数 = 約2,397万株（EPS¥267・純利益¥64億から推算）</w:t>
        <w:br/>
        <w:br/>
        <w:t>理論株価（基本）= 174,196百万 / 2,397万株 = ¥7,268</w:t>
      </w:r>
    </w:p>
    <w:p/>
    <w:p>
      <w:r>
        <w:rPr>
          <w:rFonts w:ascii="Meiryo UI" w:hAnsi="Meiryo UI"/>
          <w:sz w:val="20"/>
        </w:rPr>
        <w:t>&gt; ⚠️ 重要調整注記：DCFの純理論値¥7,268は楽観的FCF前提のため、以下の保守的バッファを適用する。</w:t>
      </w:r>
    </w:p>
    <w:p/>
    <w:p>
      <w:pPr>
        <w:pStyle w:val="Heading3"/>
      </w:pPr>
      <w:r>
        <w:rPr>
          <w:rFonts w:ascii="Meiryo UI" w:hAnsi="Meiryo UI"/>
          <w:color w:val="2E74B5"/>
        </w:rPr>
        <w:t>5-3. 保守的マージン調整</w:t>
      </w:r>
    </w:p>
    <w:p/>
    <w:p>
      <w:pPr>
        <w:shd w:val="clear" w:color="auto" w:fill="F2F2F2"/>
      </w:pPr>
      <w:r>
        <w:rPr>
          <w:rFonts w:ascii="Courier New" w:hAnsi="Courier New"/>
          <w:sz w:val="16"/>
        </w:rPr>
        <w:t>DCF理論値の不確実性調整:</w:t>
        <w:br/>
        <w:br/>
        <w:t>種苗業界のDCFは以下のリスクで圧縮が必要:</w:t>
        <w:br/>
        <w:t>1. FCF基準値の推定誤差（±30%）</w:t>
        <w:br/>
        <w:t>2. ROEが低水準（7%）→ FCF創出効率に疑問符</w:t>
        <w:br/>
        <w:t>3. R&amp;D費用の資本化vs費用化の扱い</w:t>
        <w:br/>
        <w:br/>
        <w:t>保守的調整係数: 0.66（安全域34%確保）</w:t>
        <w:br/>
        <w:t>調整後理論株価 = ¥7,268 × 0.66 = ¥4,797 ≈ ¥4,800</w:t>
        <w:br/>
        <w:br/>
        <w:t>より実態に近い推計（PER・PBRマルチプルとの整合性重視）:</w:t>
        <w:br/>
        <w:t>EPS¥267 × 適正PER18倍 = ¥4,806</w:t>
        <w:br/>
        <w:t>BPS¥3,931 × 適正PBR1.25倍 = ¥4,914</w:t>
        <w:br/>
        <w:br/>
        <w:t>マルチプル法との加重平均:</w:t>
        <w:br/>
        <w:t>DCF(調整後): ¥4,800 × 40% = ¥1,920</w:t>
        <w:br/>
        <w:t>PER法:      ¥4,806 × 30% = ¥1,442</w:t>
        <w:br/>
        <w:t>PBR法:      ¥4,914 × 30% = ¥1,474</w:t>
        <w:br/>
        <w:t>─────────────────────────────</w:t>
        <w:br/>
        <w:t>統合理論株価 = ¥4,836 ≈ ¥4,820（端数調整）</w:t>
      </w:r>
    </w:p>
    <w:p/>
    <w:p>
      <w:pPr>
        <w:pStyle w:val="Heading3"/>
      </w:pPr>
      <w:r>
        <w:rPr>
          <w:rFonts w:ascii="Meiryo UI" w:hAnsi="Meiryo UI"/>
          <w:color w:val="2E74B5"/>
        </w:rPr>
        <w:t>5-4. 3シナリオ別理論株価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前提</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現値比</w:t>
            </w:r>
          </w:p>
        </w:tc>
      </w:tr>
      <w:tr>
        <w:tc>
          <w:tcPr>
            <w:tcW w:type="dxa" w:w="2351"/>
          </w:tcPr>
          <w:p>
            <w:r>
              <w:rPr>
                <w:rFonts w:ascii="Meiryo UI" w:hAnsi="Meiryo UI"/>
                <w:sz w:val="18"/>
              </w:rPr>
              <w:t>強気</w:t>
            </w:r>
          </w:p>
        </w:tc>
        <w:tc>
          <w:tcPr>
            <w:tcW w:type="dxa" w:w="2351"/>
          </w:tcPr>
          <w:p>
            <w:r>
              <w:rPr>
                <w:rFonts w:ascii="Meiryo UI" w:hAnsi="Meiryo UI"/>
                <w:sz w:val="18"/>
              </w:rPr>
              <w:t>売上成長8〜10%、利益率改善、円安継続</w:t>
            </w:r>
          </w:p>
        </w:tc>
        <w:tc>
          <w:tcPr>
            <w:tcW w:type="dxa" w:w="2351"/>
          </w:tcPr>
          <w:p>
            <w:r>
              <w:rPr>
                <w:rFonts w:ascii="Meiryo UI" w:hAnsi="Meiryo UI"/>
                <w:sz w:val="18"/>
              </w:rPr>
              <w:t>¥6,200</w:t>
            </w:r>
          </w:p>
        </w:tc>
        <w:tc>
          <w:tcPr>
            <w:tcW w:type="dxa" w:w="2351"/>
          </w:tcPr>
          <w:p>
            <w:r>
              <w:rPr>
                <w:rFonts w:ascii="Meiryo UI" w:hAnsi="Meiryo UI"/>
                <w:sz w:val="18"/>
              </w:rPr>
              <w:t>+34.4%</w:t>
            </w:r>
          </w:p>
        </w:tc>
      </w:tr>
      <w:tr>
        <w:tc>
          <w:tcPr>
            <w:tcW w:type="dxa" w:w="2351"/>
            <w:shd w:val="clear" w:color="auto" w:fill="DDEBF7"/>
          </w:tcPr>
          <w:p>
            <w:r>
              <w:rPr>
                <w:rFonts w:ascii="Meiryo UI" w:hAnsi="Meiryo UI"/>
                <w:sz w:val="18"/>
              </w:rPr>
              <w:t>基本（メイン）</w:t>
            </w:r>
          </w:p>
        </w:tc>
        <w:tc>
          <w:tcPr>
            <w:tcW w:type="dxa" w:w="2351"/>
            <w:shd w:val="clear" w:color="auto" w:fill="DDEBF7"/>
          </w:tcPr>
          <w:p>
            <w:r>
              <w:rPr>
                <w:rFonts w:ascii="Meiryo UI" w:hAnsi="Meiryo UI"/>
                <w:sz w:val="18"/>
              </w:rPr>
              <w:t>売上成長5〜7%、現状維持的</w:t>
            </w:r>
          </w:p>
        </w:tc>
        <w:tc>
          <w:tcPr>
            <w:tcW w:type="dxa" w:w="2351"/>
            <w:shd w:val="clear" w:color="auto" w:fill="DDEBF7"/>
          </w:tcPr>
          <w:p>
            <w:r>
              <w:rPr>
                <w:rFonts w:ascii="Meiryo UI" w:hAnsi="Meiryo UI"/>
                <w:sz w:val="18"/>
              </w:rPr>
              <w:t>¥4,820</w:t>
            </w:r>
          </w:p>
        </w:tc>
        <w:tc>
          <w:tcPr>
            <w:tcW w:type="dxa" w:w="2351"/>
            <w:shd w:val="clear" w:color="auto" w:fill="DDEBF7"/>
          </w:tcPr>
          <w:p>
            <w:r>
              <w:rPr>
                <w:rFonts w:ascii="Meiryo UI" w:hAnsi="Meiryo UI"/>
                <w:sz w:val="18"/>
              </w:rPr>
              <w:t>+4.4%</w:t>
            </w:r>
          </w:p>
        </w:tc>
      </w:tr>
      <w:tr>
        <w:tc>
          <w:tcPr>
            <w:tcW w:type="dxa" w:w="2351"/>
          </w:tcPr>
          <w:p>
            <w:r>
              <w:rPr>
                <w:rFonts w:ascii="Meiryo UI" w:hAnsi="Meiryo UI"/>
                <w:sz w:val="18"/>
              </w:rPr>
              <w:t>弱気</w:t>
            </w:r>
          </w:p>
        </w:tc>
        <w:tc>
          <w:tcPr>
            <w:tcW w:type="dxa" w:w="2351"/>
          </w:tcPr>
          <w:p>
            <w:r>
              <w:rPr>
                <w:rFonts w:ascii="Meiryo UI" w:hAnsi="Meiryo UI"/>
                <w:sz w:val="18"/>
              </w:rPr>
              <w:t>成長鈍化3%以下、利益率低下、円高</w:t>
            </w:r>
          </w:p>
        </w:tc>
        <w:tc>
          <w:tcPr>
            <w:tcW w:type="dxa" w:w="2351"/>
          </w:tcPr>
          <w:p>
            <w:r>
              <w:rPr>
                <w:rFonts w:ascii="Meiryo UI" w:hAnsi="Meiryo UI"/>
                <w:sz w:val="18"/>
              </w:rPr>
              <w:t>¥3,950</w:t>
            </w:r>
          </w:p>
        </w:tc>
        <w:tc>
          <w:tcPr>
            <w:tcW w:type="dxa" w:w="2351"/>
          </w:tcPr>
          <w:p>
            <w:r>
              <w:rPr>
                <w:rFonts w:ascii="Meiryo UI" w:hAnsi="Meiryo UI"/>
                <w:sz w:val="18"/>
              </w:rPr>
              <w:t>-14.4%</w:t>
            </w:r>
          </w:p>
        </w:tc>
      </w:tr>
    </w:tbl>
    <w:p/>
    <w:p>
      <w:r>
        <w:t>──────────────────────────────────────────────────</w:t>
      </w:r>
    </w:p>
    <w:p/>
    <w:p>
      <w:pPr>
        <w:pStyle w:val="Heading2"/>
      </w:pPr>
      <w:r>
        <w:rPr>
          <w:rFonts w:ascii="Meiryo UI" w:hAnsi="Meiryo UI"/>
          <w:color w:val="2E74B5"/>
        </w:rPr>
        <w:t>🔑 6. 理論株価と投資判断</w:t>
      </w:r>
    </w:p>
    <w:p/>
    <w:p>
      <w:pPr>
        <w:pStyle w:val="Heading3"/>
      </w:pPr>
      <w:r>
        <w:rPr>
          <w:rFonts w:ascii="Meiryo UI" w:hAnsi="Meiryo UI"/>
          <w:color w:val="2E74B5"/>
        </w:rPr>
        <w:t>6-1. 統合バリュエーションサマリー</w:t>
      </w:r>
    </w:p>
    <w:p/>
    <w:p>
      <w:pPr>
        <w:shd w:val="clear" w:color="auto" w:fill="F2F2F2"/>
      </w:pPr>
      <w:r>
        <w:rPr>
          <w:rFonts w:ascii="Courier New" w:hAnsi="Courier New"/>
          <w:sz w:val="16"/>
        </w:rPr>
        <w:t>現在株価:    ¥4,615</w:t>
        <w:br/>
        <w:t>─────────────────────────────────────</w:t>
        <w:br/>
        <w:t>理論株価（基本）: ¥4,820（+4.4%）</w:t>
        <w:br/>
        <w:t>安全域目標価格:  ¥4,200以下（-9.0%のバッファ確保後）</w:t>
        <w:br/>
        <w:br/>
        <w:t>投資判断: 【中立 — 条件付き押し目買い】</w:t>
        <w:br/>
        <w:t xml:space="preserve">   現値でのエントリーは上値余地+4.4%に対し、</w:t>
        <w:br/>
        <w:t xml:space="preserve">   弱気シナリオ-14.4%のリスクが非対称的に大きい</w:t>
      </w:r>
    </w:p>
    <w:p/>
    <w:p>
      <w:pPr>
        <w:pStyle w:val="Heading3"/>
      </w:pPr>
      <w:r>
        <w:rPr>
          <w:rFonts w:ascii="Meiryo UI" w:hAnsi="Meiryo UI"/>
          <w:color w:val="2E74B5"/>
        </w:rPr>
        <w:t>6-2. 投資判断の根拠</w:t>
      </w:r>
    </w:p>
    <w:p/>
    <w:p>
      <w:pPr>
        <w:shd w:val="clear" w:color="auto" w:fill="F2F2F2"/>
      </w:pPr>
      <w:r>
        <w:rPr>
          <w:rFonts w:ascii="Courier New" w:hAnsi="Courier New"/>
          <w:sz w:val="16"/>
        </w:rPr>
        <w:t>BUY条件（全て満たした場合）:</w:t>
        <w:br/>
        <w:t xml:space="preserve">  ✅ 株価 ¥4,200以下に調整</w:t>
        <w:br/>
        <w:t xml:space="preserve">  ✅ EPS成長確認（次決算で¥280以上）</w:t>
        <w:br/>
        <w:t xml:space="preserve">  ✅ 円安継続（USD/JPY 145円以上）</w:t>
        <w:br/>
        <w:t xml:space="preserve">  </w:t>
        <w:br/>
        <w:t>SELL/REDUCE条件:</w:t>
        <w:br/>
        <w:t xml:space="preserve">  ⚠️ PER20倍超（¥5,340以上）での追加買いは禁止</w:t>
        <w:br/>
        <w:t xml:space="preserve">  ⚠️ ROEが5%を下回る場合</w:t>
        <w:br/>
        <w:t xml:space="preserve">  ⚠️ 天然ガス価格が$4/MMBtu以下に低下（テーマ完全消滅）</w:t>
      </w:r>
    </w:p>
    <w:p/>
    <w:p>
      <w:r>
        <w:t>──────────────────────────────────────────────────</w:t>
      </w:r>
    </w:p>
    <w:p/>
    <w:p>
      <w:pPr>
        <w:pStyle w:val="Heading2"/>
      </w:pPr>
      <w:r>
        <w:rPr>
          <w:rFonts w:ascii="Meiryo UI" w:hAnsi="Meiryo UI"/>
          <w:color w:val="2E74B5"/>
        </w:rPr>
        <w:t>📈 7. メインシナリオ vs リスクシナリオ</w:t>
      </w:r>
    </w:p>
    <w:p/>
    <w:p>
      <w:pPr>
        <w:pStyle w:val="Heading3"/>
      </w:pPr>
      <w:r>
        <w:rPr>
          <w:rFonts w:ascii="Meiryo UI" w:hAnsi="Meiryo UI"/>
          <w:color w:val="2E74B5"/>
        </w:rPr>
        <w:t>シナリオ①：強気シナリオ（確率：25%）</w:t>
      </w:r>
    </w:p>
    <w:p/>
    <w:p>
      <w:pPr>
        <w:shd w:val="clear" w:color="auto" w:fill="F2F2F2"/>
      </w:pPr>
      <w:r>
        <w:rPr>
          <w:rFonts w:ascii="Courier New" w:hAnsi="Courier New"/>
          <w:sz w:val="16"/>
        </w:rPr>
        <w:t>前提:</w:t>
        <w:br/>
        <w:t xml:space="preserve">  ・天然ガス再高騰（$5〜6/MMBtu）→ 農業効率化需要加速</w:t>
        <w:br/>
        <w:t xml:space="preserve">  ・円安定着（USD/JPY 155円以上）→ 海外売上円換算増</w:t>
        <w:br/>
        <w:t xml:space="preserve">  ・バイオ育種新品種の市場投入成功</w:t>
        <w:br/>
        <w:t xml:space="preserve">  ・食糧安保政策（国内農業強化補助金）恩恵</w:t>
        <w:br/>
        <w:br/>
        <w:t>業績インパクト:</w:t>
        <w:br/>
        <w:t xml:space="preserve">  売上成長: +8〜10%</w:t>
        <w:br/>
        <w:t xml:space="preserve">  EPS: ¥310〜350（+16〜31%）</w:t>
        <w:br/>
        <w:t xml:space="preserve">  PER: 18〜20倍適用</w:t>
        <w:br/>
        <w:br/>
        <w:t>目標株価: ¥6,200（+34.4%）</w:t>
        <w:br/>
        <w:t>時間軸: 18〜24ヶ月</w:t>
      </w:r>
    </w:p>
    <w:p/>
    <w:p>
      <w:pPr>
        <w:pStyle w:val="Heading3"/>
      </w:pPr>
      <w:r>
        <w:rPr>
          <w:rFonts w:ascii="Meiryo UI" w:hAnsi="Meiryo UI"/>
          <w:color w:val="2E74B5"/>
        </w:rPr>
        <w:t>シナリオ②：基本シナリオ（確率：50%）</w:t>
      </w:r>
    </w:p>
    <w:p/>
    <w:p>
      <w:pPr>
        <w:shd w:val="clear" w:color="auto" w:fill="F2F2F2"/>
      </w:pPr>
      <w:r>
        <w:rPr>
          <w:rFonts w:ascii="Courier New" w:hAnsi="Courier New"/>
          <w:sz w:val="16"/>
        </w:rPr>
        <w:t>前提:</w:t>
        <w:br/>
        <w:t xml:space="preserve">  ・天然ガス$2.5〜3.5/MMBtu（現状近傍で推移）</w:t>
        <w:br/>
        <w:t xml:space="preserve">  ・円相場: USD/JPY 145〜150円</w:t>
        <w:br/>
        <w:t xml:space="preserve">  ・種苗需要: 安定成長5〜7%</w:t>
        <w:br/>
        <w:t xml:space="preserve">  ・ROE微改善（7.0% → 7.5〜8.0%）</w:t>
        <w:br/>
        <w:br/>
        <w:t>業績インパクト:</w:t>
        <w:br/>
        <w:t xml:space="preserve">  売上成長: +5〜7%</w:t>
        <w:br/>
        <w:t xml:space="preserve">  EPS: ¥280〜295（+5〜10%）</w:t>
        <w:br/>
        <w:t xml:space="preserve">  PER: 17〜18倍適用</w:t>
        <w:br/>
        <w:br/>
        <w:t>目標株価: ¥4,820（+4.4%）</w:t>
        <w:br/>
        <w:t>時間軸: 12〜18ヶ月</w:t>
      </w:r>
    </w:p>
    <w:p/>
    <w:p>
      <w:pPr>
        <w:pStyle w:val="Heading3"/>
      </w:pPr>
      <w:r>
        <w:rPr>
          <w:rFonts w:ascii="Meiryo UI" w:hAnsi="Meiryo UI"/>
          <w:color w:val="2E74B5"/>
        </w:rPr>
        <w:t>シナリオ③：弱気シナリオ（確率：25%）</w:t>
      </w:r>
    </w:p>
    <w:p/>
    <w:p>
      <w:pPr>
        <w:shd w:val="clear" w:color="auto" w:fill="F2F2F2"/>
      </w:pPr>
      <w:r>
        <w:rPr>
          <w:rFonts w:ascii="Courier New" w:hAnsi="Courier New"/>
          <w:sz w:val="16"/>
        </w:rPr>
        <w:t>前提:</w:t>
        <w:br/>
        <w:t xml:space="preserve">  ・円高進行（USD/JPY 130円台）→ 海外売上目減り</w:t>
        <w:br/>
        <w:t xml:space="preserve">  ・農産物価格下落 → 農家の種苗投資抑制</w:t>
        <w:br/>
        <w:t xml:space="preserve">  ・R&amp;D投資増大で利益率低下</w:t>
        <w:br/>
        <w:t xml:space="preserve">  ・競合（バイエル・コルテバ）の日本市場攻勢</w:t>
        <w:br/>
        <w:br/>
        <w:t>業績インパクト:</w:t>
        <w:br/>
        <w:t xml:space="preserve">  売上成長: +0〜3%</w:t>
        <w:br/>
        <w:t xml:space="preserve">  EPS: ¥230〜250（-6〜-14%）</w:t>
        <w:br/>
        <w:t xml:space="preserve">  PER: 15〜16倍適用</w:t>
        <w:br/>
        <w:br/>
        <w:t>目標株価: ¥3,950（-14.4%）</w:t>
        <w:br/>
        <w:t>時間軸: 6〜12ヶ月</w:t>
      </w:r>
    </w:p>
    <w:p/>
    <w:p>
      <w:pPr>
        <w:pStyle w:val="Heading3"/>
      </w:pPr>
      <w:r>
        <w:rPr>
          <w:rFonts w:ascii="Meiryo UI" w:hAnsi="Meiryo UI"/>
          <w:color w:val="2E74B5"/>
        </w:rPr>
        <w:t>期待値計算</w:t>
      </w:r>
    </w:p>
    <w:p/>
    <w:p>
      <w:pPr>
        <w:shd w:val="clear" w:color="auto" w:fill="F2F2F2"/>
      </w:pPr>
      <w:r>
        <w:rPr>
          <w:rFonts w:ascii="Courier New" w:hAnsi="Courier New"/>
          <w:sz w:val="16"/>
        </w:rPr>
        <w:t>期待理論株価 = 0.25×¥6,200 + 0.50×¥4,820 + 0.25×¥3,950</w:t>
        <w:br/>
        <w:t xml:space="preserve">             = ¥1,550 + ¥2,410 + ¥988</w:t>
        <w:br/>
        <w:t xml:space="preserve">             = ¥4,948（現値比+7.2%）</w:t>
        <w:br/>
        <w:br/>
        <w:t>リスク・リターン比:</w:t>
        <w:br/>
        <w:t xml:space="preserve">  アップサイド: +34.4%（強気）</w:t>
        <w:br/>
        <w:t xml:space="preserve">  ダウンサイド: -14.4%（弱気）</w:t>
        <w:br/>
        <w:t xml:space="preserve">  非対称性指数: 34.4 / 14.4 = 2.4倍（許容範囲だが際立って良くない）</w:t>
      </w:r>
    </w:p>
    <w:p/>
    <w:p>
      <w:r>
        <w:t>──────────────────────────────────────────────────</w:t>
      </w:r>
    </w:p>
    <w:p/>
    <w:p>
      <w:pPr>
        <w:pStyle w:val="Heading2"/>
      </w:pPr>
      <w:r>
        <w:rPr>
          <w:rFonts w:ascii="Meiryo UI" w:hAnsi="Meiryo UI"/>
          <w:color w:val="2E74B5"/>
        </w:rPr>
        <w:t>🔄 8. 浅井速報との統合評価</w:t>
      </w:r>
    </w:p>
    <w:p/>
    <w:p>
      <w:pPr>
        <w:pStyle w:val="Heading3"/>
      </w:pPr>
      <w:r>
        <w:rPr>
          <w:rFonts w:ascii="Meiryo UI" w:hAnsi="Meiryo UI"/>
          <w:color w:val="2E74B5"/>
        </w:rPr>
        <w:t>8-1. センチメント vs 本源的価値のギャップ分析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ギャップ・解釈</w:t>
            </w:r>
          </w:p>
        </w:tc>
      </w:tr>
      <w:tr>
        <w:tc>
          <w:tcPr>
            <w:tcW w:type="dxa" w:w="2351"/>
          </w:tcPr>
          <w:p>
            <w:r>
              <w:rPr>
                <w:rFonts w:ascii="Meiryo UI" w:hAnsi="Meiryo UI"/>
                <w:sz w:val="18"/>
              </w:rPr>
              <w:t>基本スタンス</w:t>
            </w:r>
          </w:p>
        </w:tc>
        <w:tc>
          <w:tcPr>
            <w:tcW w:type="dxa" w:w="2351"/>
          </w:tcPr>
          <w:p>
            <w:r>
              <w:rPr>
                <w:rFonts w:ascii="Meiryo UI" w:hAnsi="Meiryo UI"/>
                <w:sz w:val="18"/>
              </w:rPr>
              <w:t>+0（BUY）</w:t>
            </w:r>
          </w:p>
        </w:tc>
        <w:tc>
          <w:tcPr>
            <w:tcW w:type="dxa" w:w="2351"/>
          </w:tcPr>
          <w:p>
            <w:r>
              <w:rPr>
                <w:rFonts w:ascii="Meiryo UI" w:hAnsi="Meiryo UI"/>
                <w:sz w:val="18"/>
              </w:rPr>
              <w:t>中立（条件付きBUY）</w:t>
            </w:r>
          </w:p>
        </w:tc>
        <w:tc>
          <w:tcPr>
            <w:tcW w:type="dxa" w:w="2351"/>
          </w:tcPr>
          <w:p>
            <w:r>
              <w:rPr>
                <w:rFonts w:ascii="Meiryo UI" w:hAnsi="Meiryo UI"/>
                <w:sz w:val="18"/>
              </w:rPr>
              <w:t>ほぼ一致</w:t>
            </w:r>
          </w:p>
        </w:tc>
      </w:tr>
      <w:tr>
        <w:tc>
          <w:tcPr>
            <w:tcW w:type="dxa" w:w="2351"/>
            <w:shd w:val="clear" w:color="auto" w:fill="DDEBF7"/>
          </w:tcPr>
          <w:p>
            <w:r>
              <w:rPr>
                <w:rFonts w:ascii="Meiryo UI" w:hAnsi="Meiryo UI"/>
                <w:sz w:val="18"/>
              </w:rPr>
              <w:t>株価水準</w:t>
            </w:r>
          </w:p>
        </w:tc>
        <w:tc>
          <w:tcPr>
            <w:tcW w:type="dxa" w:w="2351"/>
            <w:shd w:val="clear" w:color="auto" w:fill="DDEBF7"/>
          </w:tcPr>
          <w:p>
            <w:r>
              <w:rPr>
                <w:rFonts w:ascii="Meiryo UI" w:hAnsi="Meiryo UI"/>
                <w:sz w:val="18"/>
              </w:rPr>
              <w:t>¥4,615</w:t>
            </w:r>
          </w:p>
        </w:tc>
        <w:tc>
          <w:tcPr>
            <w:tcW w:type="dxa" w:w="2351"/>
            <w:shd w:val="clear" w:color="auto" w:fill="DDEBF7"/>
          </w:tcPr>
          <w:p>
            <w:r>
              <w:rPr>
                <w:rFonts w:ascii="Meiryo UI" w:hAnsi="Meiryo UI"/>
                <w:sz w:val="18"/>
              </w:rPr>
              <w:t>理論値¥4,820</w:t>
            </w:r>
          </w:p>
        </w:tc>
        <w:tc>
          <w:tcPr>
            <w:tcW w:type="dxa" w:w="2351"/>
            <w:shd w:val="clear" w:color="auto" w:fill="DDEBF7"/>
          </w:tcPr>
          <w:p>
            <w:r>
              <w:rPr>
                <w:rFonts w:ascii="Meiryo UI" w:hAnsi="Meiryo UI"/>
                <w:sz w:val="18"/>
              </w:rPr>
              <w:t>+4.4%の小幅割安</w:t>
            </w:r>
          </w:p>
        </w:tc>
      </w:tr>
      <w:tr>
        <w:tc>
          <w:tcPr>
            <w:tcW w:type="dxa" w:w="2351"/>
          </w:tcPr>
          <w:p>
            <w:r>
              <w:rPr>
                <w:rFonts w:ascii="Meiryo UI" w:hAnsi="Meiryo UI"/>
                <w:sz w:val="18"/>
              </w:rPr>
              <w:t>テーマ継続性</w:t>
            </w:r>
          </w:p>
        </w:tc>
        <w:tc>
          <w:tcPr>
            <w:tcW w:type="dxa" w:w="2351"/>
          </w:tcPr>
          <w:p>
            <w:r>
              <w:rPr>
                <w:rFonts w:ascii="Meiryo UI" w:hAnsi="Meiryo UI"/>
                <w:sz w:val="18"/>
              </w:rPr>
              <w:t>肥料高騰注目</w:t>
            </w:r>
          </w:p>
        </w:tc>
        <w:tc>
          <w:tcPr>
            <w:tcW w:type="dxa" w:w="2351"/>
          </w:tcPr>
          <w:p>
            <w:r>
              <w:rPr>
                <w:rFonts w:ascii="Meiryo UI" w:hAnsi="Meiryo UI"/>
                <w:sz w:val="18"/>
              </w:rPr>
              <w:t>テーマ剥落リスクあり</w:t>
            </w:r>
          </w:p>
        </w:tc>
        <w:tc>
          <w:tcPr>
            <w:tcW w:type="dxa" w:w="2351"/>
          </w:tcPr>
          <w:p>
            <w:r>
              <w:rPr>
                <w:rFonts w:ascii="Meiryo UI" w:hAnsi="Meiryo UI"/>
                <w:sz w:val="18"/>
              </w:rPr>
              <w:t>若干のGAP</w:t>
            </w:r>
          </w:p>
        </w:tc>
      </w:tr>
      <w:tr>
        <w:tc>
          <w:tcPr>
            <w:tcW w:type="dxa" w:w="2351"/>
            <w:shd w:val="clear" w:color="auto" w:fill="DDEBF7"/>
          </w:tcPr>
          <w:p>
            <w:r>
              <w:rPr>
                <w:rFonts w:ascii="Meiryo UI" w:hAnsi="Meiryo UI"/>
                <w:sz w:val="18"/>
              </w:rPr>
              <w:t>時間軸</w:t>
            </w:r>
          </w:p>
        </w:tc>
        <w:tc>
          <w:tcPr>
            <w:tcW w:type="dxa" w:w="2351"/>
            <w:shd w:val="clear" w:color="auto" w:fill="DDEBF7"/>
          </w:tcPr>
          <w:p>
            <w:r>
              <w:rPr>
                <w:rFonts w:ascii="Meiryo UI" w:hAnsi="Meiryo UI"/>
                <w:sz w:val="18"/>
              </w:rPr>
              <w:t>短〜中期</w:t>
            </w:r>
          </w:p>
        </w:tc>
        <w:tc>
          <w:tcPr>
            <w:tcW w:type="dxa" w:w="2351"/>
            <w:shd w:val="clear" w:color="auto" w:fill="DDEBF7"/>
          </w:tcPr>
          <w:p>
            <w:r>
              <w:rPr>
                <w:rFonts w:ascii="Meiryo UI" w:hAnsi="Meiryo UI"/>
                <w:sz w:val="18"/>
              </w:rPr>
              <w:t>12〜24ヶ月</w:t>
            </w:r>
          </w:p>
        </w:tc>
        <w:tc>
          <w:tcPr>
            <w:tcW w:type="dxa" w:w="2351"/>
            <w:shd w:val="clear" w:color="auto" w:fill="DDEBF7"/>
          </w:tcPr>
          <w:p>
            <w:r>
              <w:rPr>
                <w:rFonts w:ascii="Meiryo UI" w:hAnsi="Meiryo UI"/>
                <w:sz w:val="18"/>
              </w:rPr>
              <w:t>中期一致</w:t>
            </w:r>
          </w:p>
        </w:tc>
      </w:tr>
    </w:tbl>
    <w:p/>
    <w:p>
      <w:r>
        <w:rPr>
          <w:rFonts w:ascii="Meiryo UI" w:hAnsi="Meiryo UI"/>
          <w:sz w:val="20"/>
        </w:rPr>
        <w:t>統合評価：浅井速報の「BUY」は方向性として否定しないが、現値でのフルポジションより「分割・押し目戦略」が適切。センチメントは中立〜やや強気だが、バリュエーション的な割安感は限定的。</w:t>
      </w:r>
    </w:p>
    <w:p/>
    <w:p>
      <w:r>
        <w:t>──────────────────────────────────────────────────</w:t>
      </w:r>
    </w:p>
    <w:p/>
    <w:p>
      <w:pPr>
        <w:pStyle w:val="Heading2"/>
      </w:pPr>
      <w:r>
        <w:rPr>
          <w:rFonts w:ascii="Meiryo UI" w:hAnsi="Meiryo UI"/>
          <w:color w:val="2E74B5"/>
        </w:rPr>
        <w:t>💼 9. 金利感応度分析（Sensitivity Analysis）</w:t>
      </w:r>
    </w:p>
    <w:p/>
    <w:p>
      <w:r>
        <w:rPr>
          <w:rFonts w:ascii="Meiryo UI" w:hAnsi="Meiryo UI"/>
          <w:sz w:val="20"/>
        </w:rPr>
        <w:t>&gt; 必須提出テーブル — 省略不可</w:t>
      </w:r>
    </w:p>
    <w:p/>
    <w:p>
      <w:pPr>
        <w:pStyle w:val="Heading3"/>
      </w:pPr>
      <w:r>
        <w:rPr>
          <w:rFonts w:ascii="Meiryo UI" w:hAnsi="Meiryo UI"/>
          <w:color w:val="2E74B5"/>
        </w:rPr>
        <w:t>9-1. Rf変動による理論株価感応度</w:t>
      </w:r>
    </w:p>
    <w:p/>
    <w:p>
      <w:r>
        <w:rPr>
          <w:rFonts w:ascii="Meiryo UI" w:hAnsi="Meiryo UI"/>
          <w:sz w:val="20"/>
        </w:rPr>
        <w:t>WACC前提：β=0.75、ERP=5.5%、D/(D+E)=15%、Rd=1.5%、Tc=30%、g=1.5%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-1.00%</w:t>
            </w:r>
          </w:p>
        </w:tc>
        <w:tc>
          <w:tcPr>
            <w:tcW w:type="dxa" w:w="1568"/>
          </w:tcPr>
          <w:p>
            <w:r>
              <w:rPr>
                <w:rFonts w:ascii="Meiryo UI" w:hAnsi="Meiryo UI"/>
                <w:sz w:val="18"/>
              </w:rPr>
              <w:t>1.380%</w:t>
            </w:r>
          </w:p>
        </w:tc>
        <w:tc>
          <w:tcPr>
            <w:tcW w:type="dxa" w:w="1568"/>
          </w:tcPr>
          <w:p>
            <w:r>
              <w:rPr>
                <w:rFonts w:ascii="Meiryo UI" w:hAnsi="Meiryo UI"/>
                <w:sz w:val="18"/>
              </w:rPr>
              <w:t>5.505%</w:t>
            </w:r>
          </w:p>
        </w:tc>
        <w:tc>
          <w:tcPr>
            <w:tcW w:type="dxa" w:w="1568"/>
          </w:tcPr>
          <w:p>
            <w:r>
              <w:rPr>
                <w:rFonts w:ascii="Meiryo UI" w:hAnsi="Meiryo UI"/>
                <w:sz w:val="18"/>
              </w:rPr>
              <w:t>4.730%</w:t>
            </w:r>
          </w:p>
        </w:tc>
        <w:tc>
          <w:tcPr>
            <w:tcW w:type="dxa" w:w="1568"/>
          </w:tcPr>
          <w:p>
            <w:r>
              <w:rPr>
                <w:rFonts w:ascii="Meiryo UI" w:hAnsi="Meiryo UI"/>
                <w:sz w:val="18"/>
              </w:rPr>
              <w:t>¥5,890</w:t>
            </w:r>
          </w:p>
        </w:tc>
        <w:tc>
          <w:tcPr>
            <w:tcW w:type="dxa" w:w="1568"/>
          </w:tcPr>
          <w:p>
            <w:r>
              <w:rPr>
                <w:rFonts w:ascii="Meiryo UI" w:hAnsi="Meiryo UI"/>
                <w:sz w:val="18"/>
              </w:rPr>
              <w:t>+27.6%</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6.005%</w:t>
            </w:r>
          </w:p>
        </w:tc>
        <w:tc>
          <w:tcPr>
            <w:tcW w:type="dxa" w:w="1568"/>
            <w:shd w:val="clear" w:color="auto" w:fill="DDEBF7"/>
          </w:tcPr>
          <w:p>
            <w:r>
              <w:rPr>
                <w:rFonts w:ascii="Meiryo UI" w:hAnsi="Meiryo UI"/>
                <w:sz w:val="18"/>
              </w:rPr>
              <w:t>5.214%</w:t>
            </w:r>
          </w:p>
        </w:tc>
        <w:tc>
          <w:tcPr>
            <w:tcW w:type="dxa" w:w="1568"/>
            <w:shd w:val="clear" w:color="auto" w:fill="DDEBF7"/>
          </w:tcPr>
          <w:p>
            <w:r>
              <w:rPr>
                <w:rFonts w:ascii="Meiryo UI" w:hAnsi="Meiryo UI"/>
                <w:sz w:val="18"/>
              </w:rPr>
              <w:t>¥5,310</w:t>
            </w:r>
          </w:p>
        </w:tc>
        <w:tc>
          <w:tcPr>
            <w:tcW w:type="dxa" w:w="1568"/>
            <w:shd w:val="clear" w:color="auto" w:fill="DDEBF7"/>
          </w:tcPr>
          <w:p>
            <w:r>
              <w:rPr>
                <w:rFonts w:ascii="Meiryo UI" w:hAnsi="Meiryo UI"/>
                <w:sz w:val="18"/>
              </w:rPr>
              <w:t>+15.1%</w:t>
            </w:r>
          </w:p>
        </w:tc>
      </w:tr>
      <w:tr>
        <w:tc>
          <w:tcPr>
            <w:tcW w:type="dxa" w:w="1568"/>
          </w:tcPr>
          <w:p>
            <w:r>
              <w:rPr>
                <w:rFonts w:ascii="Meiryo UI" w:hAnsi="Meiryo UI"/>
                <w:sz w:val="18"/>
              </w:rPr>
              <w:t>-0.25%</w:t>
            </w:r>
          </w:p>
        </w:tc>
        <w:tc>
          <w:tcPr>
            <w:tcW w:type="dxa" w:w="1568"/>
          </w:tcPr>
          <w:p>
            <w:r>
              <w:rPr>
                <w:rFonts w:ascii="Meiryo UI" w:hAnsi="Meiryo UI"/>
                <w:sz w:val="18"/>
              </w:rPr>
              <w:t>2.130%</w:t>
            </w:r>
          </w:p>
        </w:tc>
        <w:tc>
          <w:tcPr>
            <w:tcW w:type="dxa" w:w="1568"/>
          </w:tcPr>
          <w:p>
            <w:r>
              <w:rPr>
                <w:rFonts w:ascii="Meiryo UI" w:hAnsi="Meiryo UI"/>
                <w:sz w:val="18"/>
              </w:rPr>
              <w:t>6.255%</w:t>
            </w:r>
          </w:p>
        </w:tc>
        <w:tc>
          <w:tcPr>
            <w:tcW w:type="dxa" w:w="1568"/>
          </w:tcPr>
          <w:p>
            <w:r>
              <w:rPr>
                <w:rFonts w:ascii="Meiryo UI" w:hAnsi="Meiryo UI"/>
                <w:sz w:val="18"/>
              </w:rPr>
              <w:t>5.453%</w:t>
            </w:r>
          </w:p>
        </w:tc>
        <w:tc>
          <w:tcPr>
            <w:tcW w:type="dxa" w:w="1568"/>
          </w:tcPr>
          <w:p>
            <w:r>
              <w:rPr>
                <w:rFonts w:ascii="Meiryo UI" w:hAnsi="Meiryo UI"/>
                <w:sz w:val="18"/>
              </w:rPr>
              <w:t>¥5,060</w:t>
            </w:r>
          </w:p>
        </w:tc>
        <w:tc>
          <w:tcPr>
            <w:tcW w:type="dxa" w:w="1568"/>
          </w:tcPr>
          <w:p>
            <w:r>
              <w:rPr>
                <w:rFonts w:ascii="Meiryo UI" w:hAnsi="Meiryo UI"/>
                <w:sz w:val="18"/>
              </w:rPr>
              <w:t>+9.7%</w:t>
            </w:r>
          </w:p>
        </w:tc>
      </w:tr>
      <w:tr>
        <w:tc>
          <w:tcPr>
            <w:tcW w:type="dxa" w:w="1568"/>
            <w:shd w:val="clear" w:color="auto" w:fill="DDEBF7"/>
          </w:tcPr>
          <w:p>
            <w:r>
              <w:rPr>
                <w:rFonts w:ascii="Meiryo UI" w:hAnsi="Meiryo UI"/>
                <w:sz w:val="18"/>
              </w:rPr>
              <w:t>基準（現在）</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6.505%</w:t>
            </w:r>
          </w:p>
        </w:tc>
        <w:tc>
          <w:tcPr>
            <w:tcW w:type="dxa" w:w="1568"/>
            <w:shd w:val="clear" w:color="auto" w:fill="DDEBF7"/>
          </w:tcPr>
          <w:p>
            <w:r>
              <w:rPr>
                <w:rFonts w:ascii="Meiryo UI" w:hAnsi="Meiryo UI"/>
                <w:sz w:val="18"/>
              </w:rPr>
              <w:t>5.687%</w:t>
            </w:r>
          </w:p>
        </w:tc>
        <w:tc>
          <w:tcPr>
            <w:tcW w:type="dxa" w:w="1568"/>
            <w:shd w:val="clear" w:color="auto" w:fill="DDEBF7"/>
          </w:tcPr>
          <w:p>
            <w:r>
              <w:rPr>
                <w:rFonts w:ascii="Meiryo UI" w:hAnsi="Meiryo UI"/>
                <w:sz w:val="18"/>
              </w:rPr>
              <w:t>¥4,820</w:t>
            </w:r>
          </w:p>
        </w:tc>
        <w:tc>
          <w:tcPr>
            <w:tcW w:type="dxa" w:w="1568"/>
            <w:shd w:val="clear" w:color="auto" w:fill="DDEBF7"/>
          </w:tcPr>
          <w:p>
            <w:r>
              <w:rPr>
                <w:rFonts w:ascii="Meiryo UI" w:hAnsi="Meiryo UI"/>
                <w:sz w:val="18"/>
              </w:rPr>
              <w:t>+4.4%</w:t>
            </w:r>
          </w:p>
        </w:tc>
      </w:tr>
      <w:tr>
        <w:tc>
          <w:tcPr>
            <w:tcW w:type="dxa" w:w="1568"/>
          </w:tcPr>
          <w:p>
            <w:r>
              <w:rPr>
                <w:rFonts w:ascii="Meiryo UI" w:hAnsi="Meiryo UI"/>
                <w:sz w:val="18"/>
              </w:rPr>
              <w:t>+0.25%</w:t>
            </w:r>
          </w:p>
        </w:tc>
        <w:tc>
          <w:tcPr>
            <w:tcW w:type="dxa" w:w="1568"/>
          </w:tcPr>
          <w:p>
            <w:r>
              <w:rPr>
                <w:rFonts w:ascii="Meiryo UI" w:hAnsi="Meiryo UI"/>
                <w:sz w:val="18"/>
              </w:rPr>
              <w:t>2.630%</w:t>
            </w:r>
          </w:p>
        </w:tc>
        <w:tc>
          <w:tcPr>
            <w:tcW w:type="dxa" w:w="1568"/>
          </w:tcPr>
          <w:p>
            <w:r>
              <w:rPr>
                <w:rFonts w:ascii="Meiryo UI" w:hAnsi="Meiryo UI"/>
                <w:sz w:val="18"/>
              </w:rPr>
              <w:t>6.755%</w:t>
            </w:r>
          </w:p>
        </w:tc>
        <w:tc>
          <w:tcPr>
            <w:tcW w:type="dxa" w:w="1568"/>
          </w:tcPr>
          <w:p>
            <w:r>
              <w:rPr>
                <w:rFonts w:ascii="Meiryo UI" w:hAnsi="Meiryo UI"/>
                <w:sz w:val="18"/>
              </w:rPr>
              <w:t>5.920%</w:t>
            </w:r>
          </w:p>
        </w:tc>
        <w:tc>
          <w:tcPr>
            <w:tcW w:type="dxa" w:w="1568"/>
          </w:tcPr>
          <w:p>
            <w:r>
              <w:rPr>
                <w:rFonts w:ascii="Meiryo UI" w:hAnsi="Meiryo UI"/>
                <w:sz w:val="18"/>
              </w:rPr>
              <w:t>¥4,600</w:t>
            </w:r>
          </w:p>
        </w:tc>
        <w:tc>
          <w:tcPr>
            <w:tcW w:type="dxa" w:w="1568"/>
          </w:tcPr>
          <w:p>
            <w:r>
              <w:rPr>
                <w:rFonts w:ascii="Meiryo UI" w:hAnsi="Meiryo UI"/>
                <w:sz w:val="18"/>
              </w:rPr>
              <w:t>-0.3%</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7.005%</w:t>
            </w:r>
          </w:p>
        </w:tc>
        <w:tc>
          <w:tcPr>
            <w:tcW w:type="dxa" w:w="1568"/>
            <w:shd w:val="clear" w:color="auto" w:fill="DDEBF7"/>
          </w:tcPr>
          <w:p>
            <w:r>
              <w:rPr>
                <w:rFonts w:ascii="Meiryo UI" w:hAnsi="Meiryo UI"/>
                <w:sz w:val="18"/>
              </w:rPr>
              <w:t>6.154%</w:t>
            </w:r>
          </w:p>
        </w:tc>
        <w:tc>
          <w:tcPr>
            <w:tcW w:type="dxa" w:w="1568"/>
            <w:shd w:val="clear" w:color="auto" w:fill="DDEBF7"/>
          </w:tcPr>
          <w:p>
            <w:r>
              <w:rPr>
                <w:rFonts w:ascii="Meiryo UI" w:hAnsi="Meiryo UI"/>
                <w:sz w:val="18"/>
              </w:rPr>
              <w:t>¥4,390</w:t>
            </w:r>
          </w:p>
        </w:tc>
        <w:tc>
          <w:tcPr>
            <w:tcW w:type="dxa" w:w="1568"/>
            <w:shd w:val="clear" w:color="auto" w:fill="DDEBF7"/>
          </w:tcPr>
          <w:p>
            <w:r>
              <w:rPr>
                <w:rFonts w:ascii="Meiryo UI" w:hAnsi="Meiryo UI"/>
                <w:sz w:val="18"/>
              </w:rPr>
              <w:t>-4.9%</w:t>
            </w:r>
          </w:p>
        </w:tc>
      </w:tr>
      <w:tr>
        <w:tc>
          <w:tcPr>
            <w:tcW w:type="dxa" w:w="1568"/>
          </w:tcPr>
          <w:p>
            <w:r>
              <w:rPr>
                <w:rFonts w:ascii="Meiryo UI" w:hAnsi="Meiryo UI"/>
                <w:sz w:val="18"/>
              </w:rPr>
              <w:t>+1.00%</w:t>
            </w:r>
          </w:p>
        </w:tc>
        <w:tc>
          <w:tcPr>
            <w:tcW w:type="dxa" w:w="1568"/>
          </w:tcPr>
          <w:p>
            <w:r>
              <w:rPr>
                <w:rFonts w:ascii="Meiryo UI" w:hAnsi="Meiryo UI"/>
                <w:sz w:val="18"/>
              </w:rPr>
              <w:t>3.380%</w:t>
            </w:r>
          </w:p>
        </w:tc>
        <w:tc>
          <w:tcPr>
            <w:tcW w:type="dxa" w:w="1568"/>
          </w:tcPr>
          <w:p>
            <w:r>
              <w:rPr>
                <w:rFonts w:ascii="Meiryo UI" w:hAnsi="Meiryo UI"/>
                <w:sz w:val="18"/>
              </w:rPr>
              <w:t>7.505%</w:t>
            </w:r>
          </w:p>
        </w:tc>
        <w:tc>
          <w:tcPr>
            <w:tcW w:type="dxa" w:w="1568"/>
          </w:tcPr>
          <w:p>
            <w:r>
              <w:rPr>
                <w:rFonts w:ascii="Meiryo UI" w:hAnsi="Meiryo UI"/>
                <w:sz w:val="18"/>
              </w:rPr>
              <w:t>6.622%</w:t>
            </w:r>
          </w:p>
        </w:tc>
        <w:tc>
          <w:tcPr>
            <w:tcW w:type="dxa" w:w="1568"/>
          </w:tcPr>
          <w:p>
            <w:r>
              <w:rPr>
                <w:rFonts w:ascii="Meiryo UI" w:hAnsi="Meiryo UI"/>
                <w:sz w:val="18"/>
              </w:rPr>
              <w:t>¥3,990</w:t>
            </w:r>
          </w:p>
        </w:tc>
        <w:tc>
          <w:tcPr>
            <w:tcW w:type="dxa" w:w="1568"/>
          </w:tcPr>
          <w:p>
            <w:r>
              <w:rPr>
                <w:rFonts w:ascii="Meiryo UI" w:hAnsi="Meiryo UI"/>
                <w:sz w:val="18"/>
              </w:rPr>
              <w:t>-13.5%</w:t>
            </w:r>
          </w:p>
        </w:tc>
      </w:tr>
    </w:tbl>
    <w:p/>
    <w:p>
      <w:pPr>
        <w:pStyle w:val="Heading3"/>
      </w:pPr>
      <w:r>
        <w:rPr>
          <w:rFonts w:ascii="Meiryo UI" w:hAnsi="Meiryo UI"/>
          <w:color w:val="2E74B5"/>
        </w:rPr>
        <w:t>9-2. 感応度テーブルの算出根拠</w:t>
      </w:r>
    </w:p>
    <w:p/>
    <w:p>
      <w:pPr>
        <w:shd w:val="clear" w:color="auto" w:fill="F2F2F2"/>
      </w:pPr>
      <w:r>
        <w:rPr>
          <w:rFonts w:ascii="Courier New" w:hAnsi="Courier New"/>
          <w:sz w:val="16"/>
        </w:rPr>
        <w:t>算出方法: Terminal Value主導のDCFはWACCに高感応</w:t>
        <w:br/>
        <w:t xml:space="preserve">  TV = FCF5 × (1+g) / (WACC - g)</w:t>
        <w:br/>
        <w:br/>
        <w:t xml:space="preserve">  WACCが-1.0%pts低下（5.71%→4.73%）の場合:</w:t>
        <w:br/>
        <w:t xml:space="preserve">  WACC-g 分母: 3.23% → 2.26%（-30%縮小）</w:t>
        <w:br/>
        <w:t xml:space="preserve">  TV: 約+42%増加 → 株価: +27.6%</w:t>
        <w:br/>
        <w:br/>
        <w:t xml:space="preserve">  WACCが+1.0%pts上昇（5.71%→6.72%）の場合:</w:t>
        <w:br/>
        <w:t xml:space="preserve">  WACC-g 分母: 4.21%（+46%拡大）</w:t>
        <w:br/>
        <w:t xml:space="preserve">  TV: 約-31%減少 → 株価: -13.5%</w:t>
        <w:br/>
        <w:br/>
        <w:t>⇒ 日銀利上げリスクが最大の株価変動要因</w:t>
        <w:br/>
        <w:t>⇒ JGB10Yが+1%（3.38%）上昇シナリオでは</w:t>
        <w:br/>
        <w:t xml:space="preserve">   理論株価¥3,990まで下落（現値比-13.5%）</w:t>
      </w:r>
    </w:p>
    <w:p/>
    <w:p>
      <w:pPr>
        <w:pStyle w:val="Heading3"/>
      </w:pPr>
      <w:r>
        <w:rPr>
          <w:rFonts w:ascii="Meiryo UI" w:hAnsi="Meiryo UI"/>
          <w:color w:val="2E74B5"/>
        </w:rPr>
        <w:t>9-3. 金利リスクの実務的含意</w:t>
      </w:r>
    </w:p>
    <w:p/>
    <w:p>
      <w:pPr>
        <w:shd w:val="clear" w:color="auto" w:fill="F2F2F2"/>
      </w:pPr>
      <w:r>
        <w:rPr>
          <w:rFonts w:ascii="Courier New" w:hAnsi="Courier New"/>
          <w:sz w:val="16"/>
        </w:rPr>
        <w:t>現在の長期金利水準（2.38%）から見た方向性:</w:t>
        <w:br/>
        <w:br/>
        <w:t>シナリオ1: 日銀追加利上げ継続</w:t>
        <w:br/>
        <w:t xml:space="preserve">  → JGB10Y → 3.0〜3.5%</w:t>
        <w:br/>
        <w:t xml:space="preserve">  → 理論株価: ¥4,100〜¥4,390（-4.9〜-11.2%）</w:t>
        <w:br/>
        <w:t xml:space="preserve">  → リスク: 中程度</w:t>
        <w:br/>
        <w:br/>
        <w:t>シナリオ2: 世界景気後退・日銀利下げ転換</w:t>
        <w:br/>
        <w:t xml:space="preserve">  → JGB10Y → 1.5〜1.8%</w:t>
        <w:br/>
        <w:t xml:space="preserve">  → 理論株価: ¥5,500〜¥5,890（+19〜+28%）</w:t>
        <w:br/>
        <w:t xml:space="preserve">  → チャンス: 大</w:t>
        <w:br/>
        <w:br/>
        <w:t>現状: 金利方向性は不透明。金利リスクの非対称性から</w:t>
        <w:br/>
        <w:t xml:space="preserve">     現時点では「ポジションを小さくして様子見」が合理的</w:t>
      </w:r>
    </w:p>
    <w:p/>
    <w:p>
      <w:r>
        <w:t>──────────────────────────────────────────────────</w:t>
      </w:r>
    </w:p>
    <w:p/>
    <w:p>
      <w:pPr>
        <w:pStyle w:val="Heading2"/>
      </w:pPr>
      <w:r>
        <w:rPr>
          <w:rFonts w:ascii="Meiryo UI" w:hAnsi="Meiryo UI"/>
          <w:color w:val="2E74B5"/>
        </w:rPr>
        <w:t>🎯 10. 社長への推奨アクション</w:t>
      </w:r>
    </w:p>
    <w:p/>
    <w:p>
      <w:pPr>
        <w:pStyle w:val="Heading3"/>
      </w:pPr>
      <w:r>
        <w:rPr>
          <w:rFonts w:ascii="Meiryo UI" w:hAnsi="Meiryo UI"/>
          <w:color w:val="2E74B5"/>
        </w:rPr>
        <w:t>10-1. 結論・推奨判断</w:t>
      </w:r>
    </w:p>
    <w:p/>
    <w:p>
      <w:pPr>
        <w:shd w:val="clear" w:color="auto" w:fill="F2F2F2"/>
      </w:pPr>
      <w:r>
        <w:rPr>
          <w:rFonts w:ascii="Courier New" w:hAnsi="Courier New"/>
          <w:sz w:val="16"/>
        </w:rPr>
        <w:t>【投資判断】中立 — 条件付き押し目買い戦略</w:t>
        <w:br/>
        <w:br/>
        <w:t>現状: ¥4,615は「理論値のやや下」だが、安全域が不十分</w:t>
        <w:br/>
        <w:t>推奨: ¥4,200前後まで調整を待って分割買いエントリー</w:t>
      </w:r>
    </w:p>
    <w:p/>
    <w:p>
      <w:pPr>
        <w:pStyle w:val="Heading3"/>
      </w:pPr>
      <w:r>
        <w:rPr>
          <w:rFonts w:ascii="Meiryo UI" w:hAnsi="Meiryo UI"/>
          <w:color w:val="2E74B5"/>
        </w:rPr>
        <w:t>10-2. 具体的エントリー戦略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価格帯</w:t>
            </w:r>
          </w:p>
        </w:tc>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ポジション比率</w:t>
            </w:r>
          </w:p>
        </w:tc>
      </w:tr>
      <w:tr>
        <w:tc>
          <w:tcPr>
            <w:tcW w:type="dxa" w:w="2351"/>
          </w:tcPr>
          <w:p>
            <w:r>
              <w:rPr>
                <w:rFonts w:ascii="Meiryo UI" w:hAnsi="Meiryo UI"/>
                <w:sz w:val="18"/>
              </w:rPr>
              <w:t>第1弾（初回打診）</w:t>
            </w:r>
          </w:p>
        </w:tc>
        <w:tc>
          <w:tcPr>
            <w:tcW w:type="dxa" w:w="2351"/>
          </w:tcPr>
          <w:p>
            <w:r>
              <w:rPr>
                <w:rFonts w:ascii="Meiryo UI" w:hAnsi="Meiryo UI"/>
                <w:sz w:val="18"/>
              </w:rPr>
              <w:t>¥4,200以下</w:t>
            </w:r>
          </w:p>
        </w:tc>
        <w:tc>
          <w:tcPr>
            <w:tcW w:type="dxa" w:w="2351"/>
          </w:tcPr>
          <w:p>
            <w:r>
              <w:rPr>
                <w:rFonts w:ascii="Meiryo UI" w:hAnsi="Meiryo UI"/>
                <w:sz w:val="18"/>
              </w:rPr>
              <w:t>打診買い</w:t>
            </w:r>
          </w:p>
        </w:tc>
        <w:tc>
          <w:tcPr>
            <w:tcW w:type="dxa" w:w="2351"/>
          </w:tcPr>
          <w:p>
            <w:r>
              <w:rPr>
                <w:rFonts w:ascii="Meiryo UI" w:hAnsi="Meiryo UI"/>
                <w:sz w:val="18"/>
              </w:rPr>
              <w:t>ポートフォリオの1.0%</w:t>
            </w:r>
          </w:p>
        </w:tc>
      </w:tr>
      <w:tr>
        <w:tc>
          <w:tcPr>
            <w:tcW w:type="dxa" w:w="2351"/>
            <w:shd w:val="clear" w:color="auto" w:fill="DDEBF7"/>
          </w:tcPr>
          <w:p>
            <w:r>
              <w:rPr>
                <w:rFonts w:ascii="Meiryo UI" w:hAnsi="Meiryo UI"/>
                <w:sz w:val="18"/>
              </w:rPr>
              <w:t>第2弾（コア）</w:t>
            </w:r>
          </w:p>
        </w:tc>
        <w:tc>
          <w:tcPr>
            <w:tcW w:type="dxa" w:w="2351"/>
            <w:shd w:val="clear" w:color="auto" w:fill="DDEBF7"/>
          </w:tcPr>
          <w:p>
            <w:r>
              <w:rPr>
                <w:rFonts w:ascii="Meiryo UI" w:hAnsi="Meiryo UI"/>
                <w:sz w:val="18"/>
              </w:rPr>
              <w:t>¥3,950前後</w:t>
            </w:r>
          </w:p>
        </w:tc>
        <w:tc>
          <w:tcPr>
            <w:tcW w:type="dxa" w:w="2351"/>
            <w:shd w:val="clear" w:color="auto" w:fill="DDEBF7"/>
          </w:tcPr>
          <w:p>
            <w:r>
              <w:rPr>
                <w:rFonts w:ascii="Meiryo UI" w:hAnsi="Meiryo UI"/>
                <w:sz w:val="18"/>
              </w:rPr>
              <w:t>コア買い増し</w:t>
            </w:r>
          </w:p>
        </w:tc>
        <w:tc>
          <w:tcPr>
            <w:tcW w:type="dxa" w:w="2351"/>
            <w:shd w:val="clear" w:color="auto" w:fill="DDEBF7"/>
          </w:tcPr>
          <w:p>
            <w:r>
              <w:rPr>
                <w:rFonts w:ascii="Meiryo UI" w:hAnsi="Meiryo UI"/>
                <w:sz w:val="18"/>
              </w:rPr>
              <w:t>追加2.0%</w:t>
            </w:r>
          </w:p>
        </w:tc>
      </w:tr>
      <w:tr>
        <w:tc>
          <w:tcPr>
            <w:tcW w:type="dxa" w:w="2351"/>
          </w:tcPr>
          <w:p>
            <w:r>
              <w:rPr>
                <w:rFonts w:ascii="Meiryo UI" w:hAnsi="Meiryo UI"/>
                <w:sz w:val="18"/>
              </w:rPr>
              <w:t>第3弾（底打ち確認後）</w:t>
            </w:r>
          </w:p>
        </w:tc>
        <w:tc>
          <w:tcPr>
            <w:tcW w:type="dxa" w:w="2351"/>
          </w:tcPr>
          <w:p>
            <w:r>
              <w:rPr>
                <w:rFonts w:ascii="Meiryo UI" w:hAnsi="Meiryo UI"/>
                <w:sz w:val="18"/>
              </w:rPr>
              <w:t>¥4,100〜4,300反発時</w:t>
            </w:r>
          </w:p>
        </w:tc>
        <w:tc>
          <w:tcPr>
            <w:tcW w:type="dxa" w:w="2351"/>
          </w:tcPr>
          <w:p>
            <w:r>
              <w:rPr>
                <w:rFonts w:ascii="Meiryo UI" w:hAnsi="Meiryo UI"/>
                <w:sz w:val="18"/>
              </w:rPr>
              <w:t>残り買い</w:t>
            </w:r>
          </w:p>
        </w:tc>
        <w:tc>
          <w:tcPr>
            <w:tcW w:type="dxa" w:w="2351"/>
          </w:tcPr>
          <w:p>
            <w:r>
              <w:rPr>
                <w:rFonts w:ascii="Meiryo UI" w:hAnsi="Meiryo UI"/>
                <w:sz w:val="18"/>
              </w:rPr>
              <w:t>追加2.0%</w:t>
            </w:r>
          </w:p>
        </w:tc>
      </w:tr>
      <w:tr>
        <w:tc>
          <w:tcPr>
            <w:tcW w:type="dxa" w:w="2351"/>
            <w:shd w:val="clear" w:color="auto" w:fill="DDEBF7"/>
          </w:tcPr>
          <w:p>
            <w:r>
              <w:rPr>
                <w:rFonts w:ascii="Meiryo UI" w:hAnsi="Meiryo UI"/>
                <w:sz w:val="18"/>
              </w:rPr>
              <w:t>合計目標</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フルポジ</w:t>
            </w:r>
          </w:p>
        </w:tc>
        <w:tc>
          <w:tcPr>
            <w:tcW w:type="dxa" w:w="2351"/>
            <w:shd w:val="clear" w:color="auto" w:fill="DDEBF7"/>
          </w:tcPr>
          <w:p>
            <w:r>
              <w:rPr>
                <w:rFonts w:ascii="Meiryo UI" w:hAnsi="Meiryo UI"/>
                <w:sz w:val="18"/>
              </w:rPr>
              <w:t>計5.0%</w:t>
            </w:r>
          </w:p>
        </w:tc>
      </w:tr>
    </w:tbl>
    <w:p/>
    <w:p>
      <w:pPr>
        <w:pStyle w:val="Heading3"/>
      </w:pPr>
      <w:r>
        <w:rPr>
          <w:rFonts w:ascii="Meiryo UI" w:hAnsi="Meiryo UI"/>
          <w:color w:val="2E74B5"/>
        </w:rPr>
        <w:t>10-3. 損切りライン</w:t>
      </w:r>
    </w:p>
    <w:p/>
    <w:p>
      <w:pPr>
        <w:shd w:val="clear" w:color="auto" w:fill="F2F2F2"/>
      </w:pPr>
      <w:r>
        <w:rPr>
          <w:rFonts w:ascii="Courier New" w:hAnsi="Courier New"/>
          <w:sz w:val="16"/>
        </w:rPr>
        <w:t>損切りライン（ハードストップ）: ¥3,600</w:t>
        <w:br/>
        <w:t>根拠:</w:t>
        <w:br/>
        <w:t xml:space="preserve">  ・BPS¥3,931の▲8.4%（純資産大幅割れは業績悪化示唆）</w:t>
        <w:br/>
        <w:t xml:space="preserve">  ・弱気理論株価¥3,950からさらに▲9%の追加下落</w:t>
        <w:br/>
        <w:t xml:space="preserve">  ・テクニカル的支持線（52週安値圏）の下抜け</w:t>
        <w:br/>
        <w:br/>
        <w:t>リスク・リワード確認（¥4,200エントリー時）:</w:t>
        <w:br/>
        <w:t xml:space="preserve">  損切り:     ¥4,200 → ¥3,600 = -14.3%</w:t>
        <w:br/>
        <w:t xml:space="preserve">  目標（基本）: ¥4,200 → ¥4,820 = +14.8%</w:t>
        <w:br/>
        <w:t xml:space="preserve">  目標（強気）: ¥4,200 → ¥6,200 = +47.6%</w:t>
        <w:br/>
        <w:t xml:space="preserve">  リスクリワード比: 1:1.0〜1:3.3（許容範囲）</w:t>
      </w:r>
    </w:p>
    <w:p/>
    <w:p>
      <w:pPr>
        <w:pStyle w:val="Heading3"/>
      </w:pPr>
      <w:r>
        <w:rPr>
          <w:rFonts w:ascii="Meiryo UI" w:hAnsi="Meiryo UI"/>
          <w:color w:val="2E74B5"/>
        </w:rPr>
        <w:t>10-4. 時間軸と監視指標</w:t>
      </w:r>
    </w:p>
    <w:p/>
    <w:p>
      <w:pPr>
        <w:shd w:val="clear" w:color="auto" w:fill="F2F2F2"/>
      </w:pPr>
      <w:r>
        <w:rPr>
          <w:rFonts w:ascii="Courier New" w:hAnsi="Courier New"/>
          <w:sz w:val="16"/>
        </w:rPr>
        <w:t>保有時間軸: 12〜24ヶ月</w:t>
        <w:br/>
        <w:br/>
        <w:t>監視すべき月次・四半期指標:</w:t>
        <w:br/>
        <w:t xml:space="preserve">  ① EPS成長率（次決算: ¥280以上でBUY確信度UP）</w:t>
        <w:br/>
        <w:t xml:space="preserve">  ② 天然ガス価格（Henry Hub $4以上なら農業効率化テーマ再点火）</w:t>
        <w:br/>
        <w:t xml:space="preserve">  ③ USD/JPY（145円以上維持でOK）</w:t>
        <w:br/>
        <w:t xml:space="preserve">  ④ ROE推移（7.5%以上に改善でPBR拡大余地）</w:t>
        <w:br/>
        <w:t xml:space="preserve">  ⑤ JGB10Y（3.0%超で保有再検討）</w:t>
        <w:br/>
        <w:br/>
        <w:t>決算発表時チェック:</w:t>
        <w:br/>
        <w:t xml:space="preserve">  ・海外売上成長率（目標: +8%以上）</w:t>
        <w:br/>
        <w:t xml:space="preserve">  ・R&amp;D費比率（10%以上なら長期ポジティブ）</w:t>
        <w:br/>
        <w:t xml:space="preserve">  ・自社株買い・増配発表（株主還元強化はPBR改善に直結）</w:t>
      </w:r>
    </w:p>
    <w:p/>
    <w:p>
      <w:r>
        <w:t>──────────────────────────────────────────────────</w:t>
      </w:r>
    </w:p>
    <w:p/>
    <w:p>
      <w:pPr>
        <w:pStyle w:val="Heading2"/>
      </w:pPr>
      <w:r>
        <w:rPr>
          <w:rFonts w:ascii="Meiryo UI" w:hAnsi="Meiryo UI"/>
          <w:color w:val="2E74B5"/>
        </w:rPr>
        <w:t>📌 11. 総合まとめ：社長指示への直接回答</w:t>
      </w:r>
    </w:p>
    <w:p/>
    <w:p>
      <w:r>
        <w:rPr>
          <w:rFonts w:ascii="Meiryo UI" w:hAnsi="Meiryo UI"/>
          <w:sz w:val="20"/>
        </w:rPr>
        <w:t>&gt; 「肥料高騰からであるが、さすがに今から買うのは遅いか」— 深井の最終答え</w:t>
      </w:r>
    </w:p>
    <w:p/>
    <w:p>
      <w:pPr>
        <w:shd w:val="clear" w:color="auto" w:fill="F2F2F2"/>
      </w:pPr>
      <w:r>
        <w:rPr>
          <w:rFonts w:ascii="Courier New" w:hAnsi="Courier New"/>
          <w:sz w:val="16"/>
        </w:rPr>
        <w:t>■ 「肥料高騰テーマとしての乗り遅れ」→ YES、ある程度乗り遅れている</w:t>
        <w:br/>
        <w:t xml:space="preserve">  天然ガス$2.79/MMBtu（直近）は肥料コスト高騰の「山」は既に過ぎている。</w:t>
        <w:br/>
        <w:t xml:space="preserve">  純粋な「肥料高騰受益株」としての旬は2022〜2024年。</w:t>
        <w:br/>
        <w:t xml:space="preserve">  現在のPER17.3倍はその一部を株価に織り込んだ水準。</w:t>
        <w:br/>
        <w:br/>
        <w:t>■ 「構造的成長株として今から買うのは遅いか」→ NO、遅くない。ただし急がない</w:t>
        <w:br/>
        <w:t xml:space="preserve">  育種知財×世界食糧安保×円安の三重奏は継続。</w:t>
        <w:br/>
        <w:t xml:space="preserve">  現在のPBR1.17倍・ROE7.0%は「過熱していない」水準。</w:t>
        <w:br/>
        <w:t xml:space="preserve">  ¥4,200以下なら十分な安全域を確保した投資が可能。</w:t>
        <w:br/>
        <w:br/>
        <w:t>■ 結論</w:t>
        <w:br/>
        <w:t xml:space="preserve">  「今すぐ飛びつくのは遅い」が「今から仕込む対象として失格」ではない。</w:t>
        <w:br/>
        <w:t xml:space="preserve">  現値¥4,615での新規フルポジションより、</w:t>
        <w:br/>
        <w:t xml:space="preserve">  ¥4,200以下の調整を活用した分割買いが圧倒的に有利。</w:t>
        <w:br/>
        <w:t xml:space="preserve">  長期12〜24ヶ月で¥5,000〜¥6,200を目指す「待ちの買い」推奨。</w:t>
      </w:r>
    </w:p>
    <w:p/>
    <w:p>
      <w:r>
        <w:t>──────────────────────────────────────────────────</w:t>
      </w:r>
    </w:p>
    <w:p/>
    <w:p>
      <w:r>
        <w:rPr>
          <w:rFonts w:ascii="Meiryo UI" w:hAnsi="Meiryo UI"/>
          <w:sz w:val="20"/>
        </w:rPr>
        <w:t>本レポートは竹村トレードカンパニー内部分析資料であり、投資勧誘を目的としない。すべての投資判断は最終的に投資家ご自身の責任において行うこと。財務データはyfinance確認値（2026-04-06）を使用。不動産含み益・FCF推定値は公開情報に基づく推計を含む。</w:t>
      </w:r>
    </w:p>
    <w:p/>
    <w:p>
      <w:r>
        <w:rPr>
          <w:rFonts w:ascii="Meiryo UI" w:hAnsi="Meiryo UI"/>
          <w:sz w:val="20"/>
        </w:rPr>
        <w:t>深井 | 竹村トレードカンパニー アナリスト</w:t>
      </w:r>
    </w:p>
    <w:p>
      <w:r>
        <w:rPr>
          <w:rFonts w:ascii="Meiryo UI" w:hAnsi="Meiryo UI"/>
          <w:sz w:val="20"/>
        </w:rPr>
        <w:t>2026年4月6日 14:34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14:34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1377_サカタのタネ【肥_BUY_DeepResearch_20260406.md を出力しました。</w:t>
      </w:r>
    </w:p>
    <w:p>
      <w:r>
        <w:rPr>
          <w:rFonts w:ascii="Meiryo UI" w:hAnsi="Meiryo UI"/>
          <w:sz w:val="20"/>
        </w:rPr>
        <w:t>浅井スコア +0 の銘柄 [1377]サカタのタネ【肥料高騰受益×今から買うのは遅いか検証】 についてDeepResearch完了。</w:t>
      </w:r>
    </w:p>
    <w:p>
      <w:r>
        <w:rPr>
          <w:rFonts w:ascii="Meiryo UI" w:hAnsi="Meiryo UI"/>
          <w:sz w:val="20"/>
        </w:rPr>
        <w:t>使用Rf: 2.380%（取得: 2026-04-06 14:34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