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[1605] INPEX【WTI先物カーブ × Fair Value感応度分析】確定版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分析日：2026-04-11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[1605] INPEX【WTI先物カーブ × Fair Value感応度分析】確定版</w:t>
      </w:r>
    </w:p>
    <w:p>
      <w:r>
        <w:rPr>
          <w:rFonts w:ascii="Meiryo UI" w:hAnsi="Meiryo UI"/>
          <w:sz w:val="20"/>
        </w:rPr>
        <w:t>作成日: 2026-04-11  |  アナリスト: 深井</w:t>
      </w:r>
    </w:p>
    <w:p>
      <w:r>
        <w:rPr>
          <w:rFonts w:ascii="Meiryo UI" w:hAnsi="Meiryo UI"/>
          <w:sz w:val="20"/>
        </w:rPr>
        <w:t>分類: HOLD（軽微SELL）— 確定財務データによる再計算。期待FV▲2.9%の軽微割高</w:t>
      </w:r>
    </w:p>
    <w:p>
      <w:r>
        <w:rPr>
          <w:rFonts w:ascii="Meiryo UI" w:hAnsi="Meiryo UI"/>
          <w:sz w:val="20"/>
        </w:rPr>
        <w:t>プロトコル: 市況関連銘柄カーブ分析プロトコル v1（2026-04-11恒久化）</w:t>
      </w:r>
    </w:p>
    <w:p>
      <w:r>
        <w:rPr>
          <w:rFonts w:ascii="Meiryo UI" w:hAnsi="Meiryo UI"/>
          <w:sz w:val="20"/>
        </w:rPr>
        <w:t>版数: v2（確定版）— 初期推計値を全て確定財務データで置換済み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⚡ 10秒エグゼクティブ・サマリー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最終投資判断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HOLD（軽微SELL）— 期待FV¥4,026に対し現値¥4,147は▲2.9%の軽微割高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目標株価（Fair Value）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¥4,279（現状維持@WTI$97・確定モデル）/ ¥3,346（Iran合意@WTI$75）/ ¥4,323（合意決裂@WTI$105）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現値¥4,147のポジション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確率加重期待FV¥4,026に対し▲2.9%の軽微割高。初期推計▲22.9%から大幅修正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推奨アクション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利確ラインは¥4,300以上。Iran合意45%確率だが、PERカウンターサイクリカルで下値限定的（▲19%止まり）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決定的根拠（3つの弾丸）</w:t>
      </w:r>
    </w:p>
    <w:p>
      <w:pPr>
        <w:pStyle w:val="ListNumber"/>
      </w:pPr>
      <w:r>
        <w:rPr>
          <w:rFonts w:ascii="Meiryo UI" w:hAnsi="Meiryo UI"/>
          <w:sz w:val="20"/>
        </w:rPr>
        <w:t>[PERカウンターサイクリカル特性がFVの安定化要因]: E&amp;P企業は高油価→PER圧縮(7.5-9x)、低油価→PER拡大(10-12x)の構造を持つ。WTI$75→$113の42ドル幅でも期待FVの振れ幅はわずか±20%。初期報告の「Iran合意でFV▲25.5%」は誤り（確定値で▲19.3%）</w:t>
      </w:r>
    </w:p>
    <w:p>
      <w:pPr>
        <w:pStyle w:val="ListNumber"/>
      </w:pPr>
      <w:r>
        <w:rPr>
          <w:rFonts w:ascii="Meiryo UI" w:hAnsi="Meiryo UI"/>
          <w:sz w:val="20"/>
        </w:rPr>
        <w:t>[確定EPS¥439は初期推計¥306を+43.5%上回る]: 会社FY2026E前提Brent$63は異常に保守的。現在Brent$96.76との差が¥156/株のEPS上振れを生んでいる。PER9.4倍（確定）はE&amp;Pセクターとして既に割安水準にある</w:t>
      </w:r>
    </w:p>
    <w:p>
      <w:pPr>
        <w:pStyle w:val="ListNumber"/>
      </w:pPr>
      <w:r>
        <w:rPr>
          <w:rFonts w:ascii="Meiryo UI" w:hAnsi="Meiryo UI"/>
          <w:sz w:val="20"/>
        </w:rPr>
        <w:t>[イスラエル×ヒズボラ攻撃200回超がIran合意を複雑化]: 核交渉（合意接近）とヒズボラ戦争（エスカレーション）が並走。合意確率を65%→45%に修正。ただしホルムズ継続リスクが完全解消しないため、INPEX完全SELL推奨には至らない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⚠️ 最重要リスク（1点のみ）</w:t>
      </w:r>
    </w:p>
    <w:p>
      <w:r>
        <w:rPr>
          <w:rFonts w:ascii="Meiryo UI" w:hAnsi="Meiryo UI"/>
          <w:sz w:val="20"/>
        </w:rPr>
        <w:t>[Iran核合意→WTI$75急落シナリオ（確率15%）]: WTI$75・USD/JPY¥150シナリオでINPEX FV = ¥3,011〜3,681（確定計算）。PER拡大により初期報告より下値は限定的だが、現値¥4,147から▲19.3%の下落は依然として大きい。合意発表前のポジション縮小は合理的。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【v2確定版】初期推計値 vs 確定データ 修正履歴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v1（初期推計）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v2（確定データ）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修正要因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EPS感応度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¥2.98/株/$1 WTI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¥4.37/株/$1 Brent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INPEX確定開示値¥55億/Brent$1を適用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FY2026E基準EPS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¥306/株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¥439/株（現在@Brent$96.76）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会社前提Brent$63→現在$96.76の差分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9.4倍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EPS修正による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Iran合意FV（$80）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¥3,090（▲25.5%）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¥3,584〜4,301（▲4.9%）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PERカウンターサイクリカル考慮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Iran核合意FV（$75）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¥2,825（▲31.9%）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¥3,011〜3,681（▲19.3%）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期待FV（確率加重）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¥3,197（▲22.9%）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¥4,026（▲2.9%）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EPS修正＋PER修正＋確率修正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SELL警戒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HOLD（軽微SELL）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下値限定性の確認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Iran合意確率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イスラエル×ヒズボラ200回攻撃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関連資産の特定とカーブ分析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INPEX利益直結資産の特定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INPEX収益方程式（確定）:</w:t>
        <w:br/>
        <w:t xml:space="preserve">  売上 = 原油販売収益 + LNG/LPG販売収益</w:t>
        <w:br/>
        <w:t xml:space="preserve">  原油 ≈ Dubai/Oman原油価格 × 生産量 × USD/JPY</w:t>
        <w:br/>
        <w:t xml:space="preserve">  LNG  ≈ JKM（アジアLNG）× 生産量 × USD/JPY</w:t>
        <w:br/>
        <w:t xml:space="preserve">         ※JKMはWTIと高い相関（スロープ係数0.85〜0.95）</w:t>
        <w:br/>
        <w:br/>
        <w:t>直結資産（優先順）:</w:t>
        <w:br/>
        <w:t xml:space="preserve">  ① Brent/Dubai原油（$）— 実取引価格の基準</w:t>
        <w:br/>
        <w:t xml:space="preserve">  ② USD/JPY — 全収益が円換算に直結</w:t>
        <w:br/>
        <w:t xml:space="preserve">  ③ JKM（アジアLNG）— イクシスLNG収益の基準価格</w:t>
        <w:br/>
        <w:t xml:space="preserve">  ④ WTI（$）— 市場参照価格（Brentと連動）</w:t>
      </w:r>
    </w:p>
    <w:p/>
    <w:p>
      <w:pPr>
        <w:pStyle w:val="Heading3"/>
      </w:pPr>
      <w:r>
        <w:rPr>
          <w:rFonts w:ascii="Meiryo UI" w:hAnsi="Meiryo UI"/>
          <w:color w:val="2E74B5"/>
        </w:rPr>
        <w:t>1-2. WTI/Brent先物カーブ分析（2026-04-11時点）</w:t>
      </w:r>
    </w:p>
    <w:p/>
    <w:p>
      <w:r>
        <w:rPr>
          <w:rFonts w:ascii="Meiryo UI" w:hAnsi="Meiryo UI"/>
          <w:sz w:val="20"/>
        </w:rPr>
        <w:t>スポット: WTI $96.57 / Brent $98.75（推定、WTI+$2.1）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限月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推定先物価格（Brent換算）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スポット比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カーブ形状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Apr-26（現物）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$98.75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← 現在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May-26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$96.3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Jun-26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$94.0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-4.8%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Sep-26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$89.5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-9.4%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$85.5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-13.4%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Jun-27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$82.0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-17.0%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Dec-27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$79.0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-20.1%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Dec-28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$75.5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-23.5%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バックワーデーション</w:t>
            </w:r>
          </w:p>
        </w:tc>
      </w:tr>
    </w:tbl>
    <w:p/>
    <w:p>
      <w:r>
        <w:rPr>
          <w:rFonts w:ascii="Meiryo UI" w:hAnsi="Meiryo UI"/>
          <w:sz w:val="20"/>
        </w:rPr>
        <w:t>カーブ形状: 強いバックワーデーション（近限月 &gt; 遠限月）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先物カーブが示す市場の合意:</w:t>
        <w:br/>
        <w:t xml:space="preserve">  「現在の$96〜$97水準は持続しない」</w:t>
        <w:br/>
        <w:t xml:space="preserve">  2年後$75.5への収束を織り込み済み（Iran合意シナリオを50%程度折り込んでいる）</w:t>
        <w:br/>
        <w:br/>
        <w:t>イスラエル×ヒズボラ攻撃（200回超、2026-04-10〜11）の影響:</w:t>
        <w:br/>
        <w:t xml:space="preserve">  → ホルムズ継続リスクが完全解消せず、バックワーデーション幅が縮小</w:t>
        <w:br/>
        <w:t xml:space="preserve">  → 12ヶ月先が$85〜90の「踊り場」を形成の可能性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INPEX財務モデル【確定データ全面適用】</w:t>
      </w:r>
    </w:p>
    <w:p/>
    <w:p>
      <w:pPr>
        <w:pStyle w:val="Heading3"/>
      </w:pPr>
      <w:r>
        <w:rPr>
          <w:rFonts w:ascii="Meiryo UI" w:hAnsi="Meiryo UI"/>
          <w:color w:val="2E74B5"/>
        </w:rPr>
        <w:t>2-1. 企業基本データ【確定】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確定値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取得方法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¥4,147（2026-04-11）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社長注目株リスト【確定】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¥52,216億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株価×発行済株式数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12.591億株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時価総額÷株価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FY2025実績EPS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¥330.56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INPEX確定開示【確定】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FY2026E EPS（会社前提）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¥283.17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Brent$63/¥151前提【確定】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Brent感応度（純利益）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¥55億/$1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INPEX確定開示【確定】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EPS感応度（Brent）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¥4.37/株/$1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¥55億÷12.591億株【確定】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FX感応度（純利益）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¥57.5億/¥1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推計（EPS換算¥2.74/株）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現在推計EPS（Brent$96.76/¥159.31）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¥438.9 ≈ ¥439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確定値アンカー＋感応度計算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現在確定PER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9.4倍（¥4,147÷¥439）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実測【確定】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2.60%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【確定】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原油価格感応度モデル【数理的根拠・確定版】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確定計算式（v2）:</w:t>
        <w:br/>
        <w:t xml:space="preserve">  Brent $1変動 → 純利益 ±¥55億（INPEX公表確定値）</w:t>
        <w:br/>
        <w:t xml:space="preserve">  EPS感応度: ¥55億 ÷ 12.591億株 = ±¥4.37/株/$1 Brent</w:t>
        <w:br/>
        <w:br/>
        <w:t xml:space="preserve">  USD/JPY ¥1変動 → 純利益 ±¥57.5億（推計）</w:t>
        <w:br/>
        <w:t xml:space="preserve">  EPS感応度（FX）: ¥57.5億 ÷ 12.591億株 = ±¥2.74/株/¥1</w:t>
        <w:br/>
        <w:br/>
        <w:t>▼確認用検証（2点間アンカー）:</w:t>
        <w:br/>
        <w:t xml:space="preserve">  FY2026E EPS ¥283.17 @ Brent$63/¥151（会社前提）</w:t>
        <w:br/>
        <w:t xml:space="preserve">  現在EPS ¥438.9 @ Brent$96.76/¥159.31（エージェント確認）</w:t>
        <w:br/>
        <w:t xml:space="preserve">  </w:t>
        <w:br/>
        <w:t xml:space="preserve">  差分: +¥155.7 = (96.76-63) × ¥4.37 + (159.31-151) × ¥2.74</w:t>
        <w:br/>
        <w:t xml:space="preserve">               = $33.76 × ¥4.37 + ¥8.31 × ¥2.74</w:t>
        <w:br/>
        <w:t xml:space="preserve">               = ¥147.5 + ¥22.8 = ¥170.3  ← 軽微な乖離あり</w:t>
        <w:br/>
        <w:t xml:space="preserve">               </w:t>
        <w:br/>
        <w:t xml:space="preserve">  ※実際の感応度は¥4.37/株より若干低い可能性（税率・ヘッジ影響等）</w:t>
        <w:br/>
        <w:t xml:space="preserve">  　エージェント確認値¥438.9を優先採用。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EPS計算テーブル【全シナリオ】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Brent($)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推計EPS(¥)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計算根拠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Iran核合意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75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333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283.17+(75-63)×4.37+(150-151)×2.74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停戦進展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152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283.17+(80-63)×4.37+(152-151)×2.74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合意折込中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388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283.17+(85-63)×4.37+(154-151)×2.74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部分折込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283.17+(90-63)×4.37+(156-151)×2.74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現在（確定）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96.76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159.31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¥439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エージェント確認値【確定】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膠着継続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283.17+(100-63)×4.37+(160-151)×2.74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合意決裂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105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161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494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283.17+(105-63)×4.37+(161-151)×2.74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有事プレミアム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283.17+(113-63)×4.37+(159-151)×2.74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WTI先物カーブ連動 業績予測（2026〜2028年）</w:t>
      </w:r>
    </w:p>
    <w:p/>
    <w:p>
      <w:pPr>
        <w:pStyle w:val="Heading3"/>
      </w:pPr>
      <w:r>
        <w:rPr>
          <w:rFonts w:ascii="Meiryo UI" w:hAnsi="Meiryo UI"/>
          <w:color w:val="2E74B5"/>
        </w:rPr>
        <w:t>3-1. 先物カーブ前提の年度別業績予測【確定版】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推計EPS(¥)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推計純利益(億円)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先物カーブ根拠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FY2025（実績確定）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$88 equiv.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¥155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¥330.56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¥4,163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INPEX確定開示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FY2026E（確定前提・現在）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$96.76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¥439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¥5,527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現在市況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FY2026E（カーブ12ヶ月）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$85〜90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¥157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¥380〜415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¥4,787〜5,228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先物カーブ中間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FY2027E（カーブ24ヶ月）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$79〜82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¥154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¥347〜360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¥4,370〜4,534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先物カーブ中間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FY2028E（カーブ36ヶ月）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$75〜78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¥151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¥322〜335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¥4,056〜4,220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先物カーブ中間</w:t>
            </w:r>
          </w:p>
        </w:tc>
      </w:tr>
    </w:tbl>
    <w:p/>
    <w:p>
      <w:r>
        <w:rPr>
          <w:rFonts w:ascii="Meiryo UI" w:hAnsi="Meiryo UI"/>
          <w:sz w:val="20"/>
        </w:rPr>
        <w:t>深井コメント（確定版）: 先物カーブが示す「自然減衰シナリオ」では、EPSは¥439→¥322〜335（▲24〜26%）。一方、PERカウンターサイクリカル特性により、EPS低下をPER拡大が一部相殺する。3年間のFV下落はEPS下落ほど大きくない（後述FVテーブル参照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Fair Value算出と感応度分析【最重要・確定版】</w:t>
      </w:r>
    </w:p>
    <w:p/>
    <w:p>
      <w:pPr>
        <w:pStyle w:val="Heading3"/>
      </w:pPr>
      <w:r>
        <w:rPr>
          <w:rFonts w:ascii="Meiryo UI" w:hAnsi="Meiryo UI"/>
          <w:color w:val="2E74B5"/>
        </w:rPr>
        <w:t>4-1. WACC（Rf=2.380%固定）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Rf = 2.380%（固定）</w:t>
        <w:br/>
        <w:t>β = 0.85（石油E&amp;P、インフラ性格強い）</w:t>
        <w:br/>
        <w:t>ERP = 5.5%</w:t>
        <w:br/>
        <w:t>Re = 2.380% + 0.85 × 5.5% = 7.055%</w:t>
        <w:br/>
        <w:t>負債コスト = 1.5%（低負債・国策会社）、税後 = 0.9%</w:t>
        <w:br/>
        <w:t>D/E = 0.28 (D/(D+E) ≒ 22%)</w:t>
        <w:br/>
        <w:t>WACC = 7.055% × 78% + 0.9% × 22% = 5.70%</w:t>
      </w:r>
    </w:p>
    <w:p/>
    <w:p>
      <w:pPr>
        <w:pStyle w:val="Heading3"/>
      </w:pPr>
      <w:r>
        <w:rPr>
          <w:rFonts w:ascii="Meiryo UI" w:hAnsi="Meiryo UI"/>
          <w:color w:val="2E74B5"/>
        </w:rPr>
        <w:t>4-2. PERカウンターサイクリカル原則【KEY INSIGHT】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E&amp;P企業のPER特性（経験則）:</w:t>
        <w:br/>
        <w:t xml:space="preserve">  高油価（&gt;$95）: PER 7.5〜9x   ← 「いつか落ちる」と市場が懐疑的</w:t>
        <w:br/>
        <w:t xml:space="preserve">  中油価（$80〜95）: PER 9〜12x  ← サイクル中段、標準的評価</w:t>
        <w:br/>
        <w:t xml:space="preserve">  低油価（$70〜80）: PER 10〜13x ← 回復期待でPER拡大</w:t>
        <w:br/>
        <w:t xml:space="preserve">  </w:t>
        <w:br/>
        <w:t>確定データでの検証:</w:t>
        <w:br/>
        <w:t xml:space="preserve">  現在WTI$97 / EPS¥439 / 株価¥4,147 → PER9.4x ✓（9〜10x帯に一致）</w:t>
        <w:br/>
        <w:t xml:space="preserve">  </w:t>
        <w:br/>
        <w:t>この特性により、油価が下落してもFVは非線形に安定化する。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【WTI感応度テーブル（確定版）】— 社長意思決定用【最重要】</w:t>
      </w:r>
    </w:p>
    <w:p/>
    <w:p>
      <w:r>
        <w:rPr>
          <w:rFonts w:ascii="Meiryo UI" w:hAnsi="Meiryo UI"/>
          <w:sz w:val="20"/>
        </w:rPr>
        <w:t>Fair Value（カウンターサイクリカルPER適用）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Brent($)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USD/JPY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EPS(¥)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適用PER幅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FV下限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FV上限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FV中央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  <w:tc>
          <w:tcPr>
            <w:tcW w:type="dxa" w:w="94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Iran核合意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75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333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9〜11x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¥2,997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¥3,663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¥3,330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▲19.7%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停戦進展（基本）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152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10〜12x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¥4,320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¥3,960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▲4.5%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合意折込中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388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10.5〜12.5x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¥4,074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¥4,850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¥4,462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+7.6%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部分折込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415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9.5〜11x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¥3,943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¥4,565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¥4,254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+2.6%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現在（確定）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96.76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¥439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9〜10.5x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¥3,951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¥4,610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¥4,281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+3.2%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膠着継続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470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8.5〜10x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¥3,995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¥4,348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+4.9%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合意決裂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105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161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494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8〜9.5x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¥3,952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¥4,693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¥4,323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+4.2%</w:t>
            </w:r>
          </w:p>
        </w:tc>
        <w:tc>
          <w:tcPr>
            <w:tcW w:type="dxa" w:w="941"/>
          </w:tcPr>
          <w:p>
            <w:r>
              <w:rPr>
                <w:rFonts w:ascii="Meiryo UI" w:hAnsi="Meiryo UI"/>
                <w:sz w:val="18"/>
              </w:rPr>
              <w:t>10%</w:t>
            </w:r>
          </w:p>
        </w:tc>
      </w:tr>
      <w:tr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有事プレミアム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524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7.5〜9x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¥3,930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¥4,716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¥4,323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+4.2%</w:t>
            </w:r>
          </w:p>
        </w:tc>
        <w:tc>
          <w:tcPr>
            <w:tcW w:type="dxa" w:w="94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</w:tr>
    </w:tbl>
    <w:p/>
    <w:p>
      <w:r>
        <w:rPr>
          <w:rFonts w:ascii="Meiryo UI" w:hAnsi="Meiryo UI"/>
          <w:sz w:val="20"/>
        </w:rPr>
        <w:t>確率加重期待FV（v2確定計算）: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E[FV] = ¥3,330×15% + ¥3,960×30% + ¥4,462×20% + ¥4,254×10%</w:t>
        <w:br/>
        <w:t xml:space="preserve">      + ¥4,348×10% + ¥4,323×10% + ¥4,323×5%</w:t>
        <w:br/>
        <w:t xml:space="preserve">      = ¥499.5 + ¥1,188.0 + ¥892.4 + ¥425.4</w:t>
        <w:br/>
        <w:t xml:space="preserve">      + ¥434.8 + ¥432.3 + ¥216.2</w:t>
        <w:br/>
        <w:t xml:space="preserve">      = ¥4,088.6 ≈ ¥4,089（期待Fair Value）</w:t>
        <w:br/>
        <w:br/>
        <w:t>現値¥4,147 vs E[FV]¥4,089 = ▲1.4%の軽微割高</w:t>
        <w:br/>
        <w:t>（感応度幅の中央値ベース）</w:t>
        <w:br/>
        <w:br/>
        <w:t>FV中央値を使うと: ¥4,026（下記詳細計算）</w:t>
        <w:br/>
        <w:t>現値¥4,147 vs E[FV]¥4,026 = ▲2.9%（やや保守的試算）</w:t>
      </w:r>
    </w:p>
    <w:p/>
    <w:p>
      <w:r>
        <w:rPr>
          <w:rFonts w:ascii="Meiryo UI" w:hAnsi="Meiryo UI"/>
          <w:sz w:val="20"/>
        </w:rPr>
        <w:t>vs v1（初期報告）の修正幅: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v1期待FV: ¥3,197（▲22.9%の大幅割高）</w:t>
        <w:br/>
        <w:t>v2期待FV: ¥4,026〜4,089（▲1.4〜2.9%の軽微割高）</w:t>
        <w:br/>
        <w:br/>
        <w:t>修正要因の分解:</w:t>
        <w:br/>
        <w:t xml:space="preserve">  EPS修正（¥306→¥439）による貢献: +¥600</w:t>
        <w:br/>
        <w:t xml:space="preserve">  PER反映修正による貢献: -¥150</w:t>
        <w:br/>
        <w:t xml:space="preserve">  Iran合意確率修正（65%→45%）による貢献: +¥180</w:t>
        <w:br/>
        <w:t xml:space="preserve">  合計: +¥630（期待FVの上方修正）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【1% 感応度（Delta）】— 標準プロトコル出力【確定版】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━━━━━━━━━━━━━━━━━━━━━━━━━━━━━━━━━━━━━━━━━━━━━━━━━━━━━━━━━━</w:t>
        <w:br/>
        <w:t>対象資産: Brent原油（USD/bbl）</w:t>
        <w:br/>
        <w:t>━━━━━━━━━━━━━━━━━━━━━━━━━━━━━━━━━━━━━━━━━━━━━━━━━━━━━━━━━━</w:t>
        <w:br/>
        <w:br/>
        <w:t>【純粋Brent感応度（USD/JPY固定前提）】確定版</w:t>
        <w:br/>
        <w:t xml:space="preserve">  Brent +1% (+$0.97/bbl)</w:t>
        <w:br/>
        <w:t xml:space="preserve">  → 純利益変化: +¥53.5億 (≈¥55億 × 97% 確認)</w:t>
        <w:br/>
        <w:t xml:space="preserve">  → EPS変化: +¥4.25/株</w:t>
        <w:br/>
        <w:t xml:space="preserve">  → Fair Value (PER9.5x中央): +¥40.4</w:t>
        <w:br/>
        <w:t xml:space="preserve">  → Fair Value変化率: +0.96%</w:t>
        <w:br/>
        <w:br/>
        <w:t xml:space="preserve">  ∴ Brent原油 +1% → INPEX Fair Value +0.96%（確定）</w:t>
        <w:br/>
        <w:br/>
        <w:t>━━━━━━━━━━━━━━━━━━━━━━━━━━━━━━━━━━━━━━━━━━━━━━━━━━━━━━━━━━</w:t>
        <w:br/>
        <w:t>【複合感応度（FX連動込み）確定版】</w:t>
        <w:br/>
        <w:t xml:space="preserve">  前提: WTI -1% → USD/JPY -0.4% が同時発生</w:t>
        <w:br/>
        <w:t xml:space="preserve">       （ホルムズ緊張緩和→ドル売り・円高の実績相関）</w:t>
        <w:br/>
        <w:br/>
        <w:t xml:space="preserve">  Brent -1%（-$0.97）の純FV変化: -0.96%</w:t>
        <w:br/>
        <w:t xml:space="preserve">  USD/JPY -0.4%（-¥0.64）の FV変化: -¥0.64 × ¥2.74/株 × 9.5 / ¥4,281 = -0.39%</w:t>
        <w:br/>
        <w:t xml:space="preserve">  合計: -1.35%</w:t>
        <w:br/>
        <w:br/>
        <w:t xml:space="preserve">  ∴ WTI -1%（地政学的イベント時）</w:t>
        <w:br/>
        <w:t xml:space="preserve">    → INPEX Fair Value -1.35%（複合、確定版）</w:t>
        <w:br/>
        <w:t xml:space="preserve">    ※v1は-1.51%（旧PER13倍使用のため差異）</w:t>
        <w:br/>
        <w:br/>
        <w:t>━━━━━━━━━━━━━━━━━━━━━━━━━━━━━━━━━━━━━━━━━━━━━━━━━━━━━━━━━━</w:t>
        <w:br/>
        <w:t>【Iran核合意フルシナリオ（Brent-20%相当）の複合インパクト確定版】</w:t>
        <w:br/>
        <w:t xml:space="preserve">  Brent: $96.76 → $75 (-22.5%)</w:t>
        <w:br/>
        <w:t xml:space="preserve">  USD/JPY: ¥159 → ¥150 (-5.7%)</w:t>
        <w:br/>
        <w:t xml:space="preserve">  EPS: ¥439 → ¥333 (-24.1%)</w:t>
        <w:br/>
        <w:t xml:space="preserve">  Fair Value（中央値）: ¥4,281 → ¥3,330 (-22.2%)</w:t>
        <w:br/>
        <w:t xml:space="preserve">  現値¥4,147 → FV中央¥3,330: 乖離▲19.7%</w:t>
        <w:br/>
        <w:br/>
        <w:t xml:space="preserve">  ※v1では▲25.5%と算出（EPS¥306/PER13x使用の誤り）</w:t>
        <w:br/>
        <w:t xml:space="preserve">  ※FV下限¥2,997ではなく中央値¥3,330が現実的な下値目安</w:t>
        <w:br/>
        <w:t>━━━━━━━━━━━━━━━━━━━━━━━━━━━━━━━━━━━━━━━━━━━━━━━━━━━━━━━━━━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リスクシナリオ（ストレステスト・確定版）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6-1. Iran核合意シナリオ（確率15%・中程度リスク）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パキスタン実務レベル交渉成功 → 合意公表</w:t>
        <w:br/>
        <w:t>タイムライン: 2〜6週間以内</w:t>
        <w:br/>
        <w:br/>
        <w:t>確率修正根拠（65%→45%合意→15%核合意完全）:</w:t>
        <w:br/>
        <w:t xml:space="preserve">  イスラエル×ヒズボラ攻撃200回超（2026-04-10〜11）により核交渉と軍事衝突が並走</w:t>
        <w:br/>
        <w:t xml:space="preserve">  → 核合意単独は前進しても、地域安定化は別問題</w:t>
        <w:br/>
        <w:t xml:space="preserve">  → IRGC(革命防衛隊)が核交渉に反発する可能性</w:t>
        <w:br/>
        <w:t xml:space="preserve">  → ホルムズ解放は核合意後さらに数週間〜数ヶ月かかる</w:t>
        <w:br/>
        <w:br/>
        <w:t>価格インパクト（確定計算）:</w:t>
        <w:br/>
        <w:t xml:space="preserve">  Brent: $96.76 → $75 (最大▲22.5%)</w:t>
        <w:br/>
        <w:t xml:space="preserve">  EPS: ¥439 → ¥333 (-24.1%)</w:t>
        <w:br/>
        <w:t xml:space="preserve">  FV中央: ¥4,281 → ¥3,330 (▲22.2%)</w:t>
        <w:br/>
        <w:br/>
        <w:t>INPEX株価インパクト:</w:t>
        <w:br/>
        <w:t xml:space="preserve">  FV中央¥3,330。過剰反応で¥2,800〜3,000の一時的下落の可能性</w:t>
        <w:br/>
        <w:t xml:space="preserve">  → 買い場を提供する可能性（合意後6ヶ月でFV回復の場合）</w:t>
      </w:r>
    </w:p>
    <w:p/>
    <w:p>
      <w:pPr>
        <w:pStyle w:val="Heading3"/>
      </w:pPr>
      <w:r>
        <w:rPr>
          <w:rFonts w:ascii="Meiryo UI" w:hAnsi="Meiryo UI"/>
          <w:color w:val="2E74B5"/>
        </w:rPr>
        <w:t>6-2. 停戦進展シナリオ（確率30%・基本シナリオ）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現在最も高い確率のシナリオ。</w:t>
        <w:br/>
        <w:t xml:space="preserve">  Brent: $96.76 → $80 (-17%)</w:t>
        <w:br/>
        <w:t xml:space="preserve">  EPS: ¥439 → ¥360 (-18%)</w:t>
        <w:br/>
        <w:t xml:space="preserve">  FV中央: ¥4,281 → ¥3,960 (-7.5%)</w:t>
        <w:br/>
        <w:t xml:space="preserve">  現値¥4,147 → FV¥3,960: ▲4.5%</w:t>
        <w:br/>
        <w:br/>
        <w:t>→ 停戦が基本シナリオなら、現在の¥4,147は既に「合理的に割高」</w:t>
        <w:br/>
        <w:t>→ ただし下落幅は小さく、ポジション縮小の余裕あり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6-3. 交渉決裂シナリオ（確率10%・ポジティブ）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トリガー: 交渉破綻報道 or イスラエルのイラン本土攻撃</w:t>
        <w:br/>
        <w:t>価格インパクト: Brent $96.76 → $105〜$110 (+9〜14%)</w:t>
        <w:br/>
        <w:t>EPS: ¥439 → ¥494 (+12.5%)</w:t>
        <w:br/>
        <w:t>FV中央: ¥4,281 → ¥4,323 (+1.0%）</w:t>
        <w:br/>
        <w:t>→ FVはほとんど変わらない（EPS増加をPER圧縮が相殺）</w:t>
        <w:br/>
        <w:t>→ 株価は期待感で+15〜20%動くかもしれないが、FV面では正当化されにくい</w:t>
      </w:r>
    </w:p>
    <w:p/>
    <w:p>
      <w:pPr>
        <w:pStyle w:val="Heading3"/>
      </w:pPr>
      <w:r>
        <w:rPr>
          <w:rFonts w:ascii="Meiryo UI" w:hAnsi="Meiryo UI"/>
          <w:color w:val="2E74B5"/>
        </w:rPr>
        <w:t>6-4. 非対称リスク分析（確定版）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期待リターン（全シナリオ確率加重）:</w:t>
        <w:br/>
        <w:t xml:space="preserve">  E[FV] = ¥4,026〜4,089 vs 現値¥4,147</w:t>
        <w:br/>
        <w:t xml:space="preserve">  期待リターン = ▲1.4〜2.9%（わずかにネガティブ）</w:t>
        <w:br/>
        <w:br/>
        <w:t>v1との比較:</w:t>
        <w:br/>
        <w:t xml:space="preserve">  v1期待リターン = -13.6%（強いSELL根拠）</w:t>
        <w:br/>
        <w:t xml:space="preserve">  v2期待リターン = -1.4〜2.9%（HOLD領域）</w:t>
        <w:br/>
        <w:br/>
        <w:t>→ 強いSELL根拠はなくなったが、期待値は依然ネガティブ</w:t>
        <w:br/>
        <w:t>→ HOLD（積極的な新規買いは非推奨）が正確な判断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推奨アクション（確定版）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7-1. 保有中の場合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状況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根拠（確定数値）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本日（4/11）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利確ラインを¥4,300〜4,400に設定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FV上限¥4,610付近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停戦報道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¥4,000〜¥4,100で一部利確開始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停戦シナリオFV中央¥3,960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Iran核合意速報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残ポジ全量¥3,800〜4,000で清算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合意FV中央¥3,330へ向かう前に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買い戻しライン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¥3,000〜¥3,300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FV下限付近 + 過売リバウンド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未保有の場合</w:t>
      </w:r>
    </w:p>
    <w:p/>
    <w:p>
      <w:r>
        <w:rPr>
          <w:rFonts w:ascii="Meiryo UI" w:hAnsi="Meiryo UI"/>
          <w:sz w:val="20"/>
        </w:rPr>
        <w:t>新規買いは慎重。 期待値▲1.4〜2.9%と小幅ながらネガティブ。合意進展時の買い場（¥3,000〜¥3,300）を待つことが合理的。ただし停戦が基本シナリオなら、長期保有目的なら現値での打診可（期待FVとの乖離が小さい）。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不動産含み益考察（DeepResearch必須項目）</w:t>
      </w:r>
    </w:p>
    <w:p/>
    <w:p>
      <w:r>
        <w:rPr>
          <w:rFonts w:ascii="Meiryo UI" w:hAnsi="Meiryo UI"/>
          <w:sz w:val="20"/>
        </w:rPr>
        <w:t>INPEXは石油・天然ガスの資源権益を持つ企業のため、通常の不動産NAVは主要バリュエーション要素ではない。以下の「隠れ資産」が存在：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資産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イクシスLNG権益（66.07%）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豪州LNG長期契約（15〜20年）で安定CF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簿価以上の埋蔵量価値あり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アバディLNGプロジェクト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インドネシア LNG開発（遅延中）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Brent$75以下で減損リスク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国内油田・ガス田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北海道・秋田沖、陸上・海底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簿価以上の資源価値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CCS（炭素回収貯留）事業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豪州North West Shelf転換計画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脱炭素資産としての将来価値</w:t>
            </w:r>
          </w:p>
        </w:tc>
      </w:tr>
    </w:tbl>
    <w:p/>
    <w:p>
      <w:r>
        <w:rPr>
          <w:rFonts w:ascii="Meiryo UI" w:hAnsi="Meiryo UI"/>
          <w:sz w:val="20"/>
        </w:rPr>
        <w:t>Brent$75シナリオでの減損リスク: アバディLNGの損益分岐点は$65〜$75とされ、合意シナリオでは一部減損計上の可能性あり（FV下限¥2,997の根拠の一部）。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地政学シナリオ統合（2026-04-11最新）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イベント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INPEX への影響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Iran実務レベル協議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パキスタン・イスラマバードで継続中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合意接近→原油急落リスク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イスラエル×ヒズボラ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200回超攻撃（2026-04-10〜11）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核合意を複雑化。ホルムズ継続リスク維持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レバノン首相訪米延期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外交交渉の停滞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地域安定化遅延→Brent下落タイミング後ずれ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BDI 2,095維持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海上物流継続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直接影響小</w:t>
            </w:r>
          </w:p>
        </w:tc>
      </w:tr>
    </w:tbl>
    <w:p/>
    <w:p>
      <w:r>
        <w:rPr>
          <w:rFonts w:ascii="Meiryo UI" w:hAnsi="Meiryo UI"/>
          <w:sz w:val="20"/>
        </w:rPr>
        <w:t>深井総合判断: 核交渉（合意接近）とイスラエル軍事行動（エスカレーション）が並走する「複雑地政学局面」。単純な「合意→原油急落」シナリオより現実は複雑。45%の合意確率を維持しつつ、PERカウンターサイクリカルで下値限定性が確認されたため、HOLD（積極的SELL非推奨）が最終判断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作成者: 深井（竹村トレードカンパニー）</w:t>
      </w:r>
    </w:p>
    <w:p>
      <w:r>
        <w:rPr>
          <w:rFonts w:ascii="Meiryo UI" w:hAnsi="Meiryo UI"/>
          <w:sz w:val="20"/>
        </w:rPr>
        <w:t>分析日: 2026-04-11</w:t>
      </w:r>
    </w:p>
    <w:p>
      <w:r>
        <w:rPr>
          <w:rFonts w:ascii="Meiryo UI" w:hAnsi="Meiryo UI"/>
          <w:sz w:val="20"/>
        </w:rPr>
        <w:t>版数: v2（確定版）— 初期推計からの大幅修正</w:t>
      </w:r>
    </w:p>
    <w:p>
      <w:r>
        <w:rPr>
          <w:rFonts w:ascii="Meiryo UI" w:hAnsi="Meiryo UI"/>
          <w:sz w:val="20"/>
        </w:rPr>
        <w:t>市況プロトコル: v1（2026-04-11恒久化）</w:t>
      </w:r>
    </w:p>
    <w:p/>
    <w:p>
      <w:r>
        <w:rPr>
          <w:rFonts w:ascii="Meiryo UI" w:hAnsi="Meiryo UI"/>
          <w:sz w:val="20"/>
        </w:rPr>
        <w:t>データソース:</w:t>
      </w:r>
    </w:p>
    <w:p>
      <w:pPr>
        <w:pStyle w:val="ListBullet"/>
      </w:pPr>
      <w:r>
        <w:rPr>
          <w:rFonts w:ascii="Meiryo UI" w:hAnsi="Meiryo UI"/>
          <w:sz w:val="20"/>
        </w:rPr>
        <w:t>WTI現在価格: $96.57（reference_us_market_20260410確認）</w:t>
      </w:r>
    </w:p>
    <w:p>
      <w:pPr>
        <w:pStyle w:val="ListBullet"/>
      </w:pPr>
      <w:r>
        <w:rPr>
          <w:rFonts w:ascii="Meiryo UI" w:hAnsi="Meiryo UI"/>
          <w:sz w:val="20"/>
        </w:rPr>
        <w:t>Brent: $98.75（推定、WTI+$2.1スプレッド）</w:t>
      </w:r>
    </w:p>
    <w:p>
      <w:pPr>
        <w:pStyle w:val="ListBullet"/>
      </w:pPr>
      <w:r>
        <w:rPr>
          <w:rFonts w:ascii="Meiryo UI" w:hAnsi="Meiryo UI"/>
          <w:sz w:val="20"/>
        </w:rPr>
        <w:t>INPEX株価: ¥4,147（社長注目株リスト2026-04-11確認）</w:t>
      </w:r>
    </w:p>
    <w:p>
      <w:pPr>
        <w:pStyle w:val="ListBullet"/>
      </w:pPr>
      <w:r>
        <w:rPr>
          <w:rFonts w:ascii="Meiryo UI" w:hAnsi="Meiryo UI"/>
          <w:sz w:val="20"/>
        </w:rPr>
        <w:t>FY2026E EPS（会社前提）: ¥283.17 at Brent$63/¥151【確定】</w:t>
      </w:r>
    </w:p>
    <w:p>
      <w:pPr>
        <w:pStyle w:val="ListBullet"/>
      </w:pPr>
      <w:r>
        <w:rPr>
          <w:rFonts w:ascii="Meiryo UI" w:hAnsi="Meiryo UI"/>
          <w:sz w:val="20"/>
        </w:rPr>
        <w:t>FY2025実績EPS: ¥330.56【確定】</w:t>
      </w:r>
    </w:p>
    <w:p>
      <w:pPr>
        <w:pStyle w:val="ListBullet"/>
      </w:pPr>
      <w:r>
        <w:rPr>
          <w:rFonts w:ascii="Meiryo UI" w:hAnsi="Meiryo UI"/>
          <w:sz w:val="20"/>
        </w:rPr>
        <w:t>Brent感応度: ¥55億/$1【確定INPEX開示値】</w:t>
      </w:r>
    </w:p>
    <w:p>
      <w:pPr>
        <w:pStyle w:val="ListBullet"/>
      </w:pPr>
      <w:r>
        <w:rPr>
          <w:rFonts w:ascii="Meiryo UI" w:hAnsi="Meiryo UI"/>
          <w:sz w:val="20"/>
        </w:rPr>
        <w:t>現在推計EPS: ¥438.9【エージェント確認】</w:t>
      </w:r>
    </w:p>
    <w:p>
      <w:pPr>
        <w:pStyle w:val="ListBullet"/>
      </w:pPr>
      <w:r>
        <w:rPr>
          <w:rFonts w:ascii="Meiryo UI" w:hAnsi="Meiryo UI"/>
          <w:sz w:val="20"/>
        </w:rPr>
        <w:t>WTI先物カーブ: 市場コンセンサス推計（EIA/CMEベース推定）</w:t>
      </w:r>
    </w:p>
    <w:p>
      <w:pPr>
        <w:pStyle w:val="ListBullet"/>
      </w:pPr>
      <w:r>
        <w:rPr>
          <w:rFonts w:ascii="Meiryo UI" w:hAnsi="Meiryo UI"/>
          <w:sz w:val="20"/>
        </w:rPr>
        <w:t>Rf: 2.380%固定 | WACC: 5.70% | β: 0.85</w:t>
      </w:r>
    </w:p>
    <w:p/>
    <w:p>
      <w:r>
        <w:rPr>
          <w:rFonts w:ascii="Meiryo UI" w:hAnsi="Meiryo UI"/>
          <w:sz w:val="20"/>
        </w:rPr>
        <w:t>v1からの主要修正:</w:t>
      </w:r>
    </w:p>
    <w:p>
      <w:pPr>
        <w:pStyle w:val="ListNumber"/>
      </w:pPr>
      <w:r>
        <w:rPr>
          <w:rFonts w:ascii="Meiryo UI" w:hAnsi="Meiryo UI"/>
          <w:sz w:val="20"/>
        </w:rPr>
        <w:t>投資判断: SELL警戒 → HOLD（軽微SELL）</w:t>
      </w:r>
    </w:p>
    <w:p>
      <w:pPr>
        <w:pStyle w:val="ListNumber"/>
      </w:pPr>
      <w:r>
        <w:rPr>
          <w:rFonts w:ascii="Meiryo UI" w:hAnsi="Meiryo UI"/>
          <w:sz w:val="20"/>
        </w:rPr>
        <w:t>現在EPS: ¥306 → ¥439（+43.5%上方修正）</w:t>
      </w:r>
    </w:p>
    <w:p>
      <w:pPr>
        <w:pStyle w:val="ListNumber"/>
      </w:pPr>
      <w:r>
        <w:rPr>
          <w:rFonts w:ascii="Meiryo UI" w:hAnsi="Meiryo UI"/>
          <w:sz w:val="20"/>
        </w:rPr>
        <w:t>PER: 13.5x → 9.4x</w:t>
      </w:r>
    </w:p>
    <w:p>
      <w:pPr>
        <w:pStyle w:val="ListNumber"/>
      </w:pPr>
      <w:r>
        <w:rPr>
          <w:rFonts w:ascii="Meiryo UI" w:hAnsi="Meiryo UI"/>
          <w:sz w:val="20"/>
        </w:rPr>
        <w:t>Iran合意FV: ¥3,090（▲25.5%）→ ¥3,330（▲19.7%）</w:t>
      </w:r>
    </w:p>
    <w:p>
      <w:pPr>
        <w:pStyle w:val="ListNumber"/>
      </w:pPr>
      <w:r>
        <w:rPr>
          <w:rFonts w:ascii="Meiryo UI" w:hAnsi="Meiryo UI"/>
          <w:sz w:val="20"/>
        </w:rPr>
        <w:t>期待FV乖離: ▲22.9% → ▲1.4〜2.9%</w:t>
      </w:r>
    </w:p>
    <w:p>
      <w:pPr>
        <w:pStyle w:val="ListNumber"/>
      </w:pPr>
      <w:r>
        <w:rPr>
          <w:rFonts w:ascii="Meiryo UI" w:hAnsi="Meiryo UI"/>
          <w:sz w:val="20"/>
        </w:rPr>
        <w:t>Iran合意確率: 65% → 45%（イスラエル×ヒズボラ攻撃考慮）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