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[1605] INPEX【ロジスティクス・ストレステスト追加版】</w:t>
      </w:r>
    </w:p>
    <w:p/>
    <w:p/>
    <w:p>
      <w:pPr>
        <w:jc w:val="center"/>
      </w:pPr>
      <w:r>
        <w:rPr>
          <w:rFonts w:ascii="Meiryo UI" w:hAnsi="Meiryo UI"/>
          <w:sz w:val="24"/>
        </w:rPr>
        <w:t>アナリスト：深井</w:t>
      </w:r>
    </w:p>
    <w:p>
      <w:pPr>
        <w:jc w:val="center"/>
      </w:pPr>
      <w:r>
        <w:rPr>
          <w:rFonts w:ascii="Meiryo UI" w:hAnsi="Meiryo UI"/>
          <w:sz w:val="24"/>
        </w:rPr>
        <w:t>分析日：2026-04-05</w:t>
      </w:r>
    </w:p>
    <w:p>
      <w:r>
        <w:br w:type="page"/>
      </w:r>
    </w:p>
    <w:p>
      <w:pPr>
        <w:pStyle w:val="Heading1"/>
      </w:pPr>
      <w:r>
        <w:rPr>
          <w:rFonts w:ascii="Meiryo UI" w:hAnsi="Meiryo UI"/>
          <w:color w:val="1F3864"/>
        </w:rPr>
        <w:t>深井 DeepResearchレポート — [1605] INPEX【ロジスティクス・ストレステスト追加版】</w:t>
      </w:r>
    </w:p>
    <w:p>
      <w:r>
        <w:rPr>
          <w:rFonts w:ascii="Meiryo UI" w:hAnsi="Meiryo UI"/>
          <w:sz w:val="20"/>
        </w:rPr>
        <w:t>作成日: 2026-04-05  |  アナリスト: 深井  |  分類: BUY</w:t>
      </w:r>
    </w:p>
    <w:p>
      <w:r>
        <w:rPr>
          <w:rFonts w:ascii="Meiryo UI" w:hAnsi="Meiryo UI"/>
          <w:sz w:val="20"/>
        </w:rPr>
        <w:t>浅井スコア: +98  |  ソース: TDnet + 公開情報 + 浅井マスターDB</w:t>
      </w:r>
    </w:p>
    <w:p/>
    <w:p>
      <w:r>
        <w:t>──────────────────────────────────────────────────</w:t>
      </w:r>
    </w:p>
    <w:p/>
    <w:p>
      <w:pPr>
        <w:pStyle w:val="Heading1"/>
      </w:pPr>
      <w:r>
        <w:rPr>
          <w:rFonts w:ascii="Meiryo UI" w:hAnsi="Meiryo UI"/>
          <w:color w:val="1F3864"/>
        </w:rPr>
        <w:t>INPEX（1605）DeepResearch レポート</w:t>
      </w:r>
    </w:p>
    <w:p>
      <w:pPr>
        <w:pStyle w:val="Heading2"/>
      </w:pPr>
      <w:r>
        <w:rPr>
          <w:rFonts w:ascii="Meiryo UI" w:hAnsi="Meiryo UI"/>
          <w:color w:val="2E74B5"/>
        </w:rPr>
        <w:t>ロジスティクス・ストレステスト追加完全版</w:t>
      </w:r>
    </w:p>
    <w:p/>
    <w:p>
      <w:r>
        <w:rPr>
          <w:rFonts w:ascii="Meiryo UI" w:hAnsi="Meiryo UI"/>
          <w:sz w:val="20"/>
        </w:rPr>
        <w:t>作成者: 深井（竹村トレードカンパニー アナリスト）</w:t>
      </w:r>
    </w:p>
    <w:p>
      <w:r>
        <w:rPr>
          <w:rFonts w:ascii="Meiryo UI" w:hAnsi="Meiryo UI"/>
          <w:sz w:val="20"/>
        </w:rPr>
        <w:t>分析日: 2026年4月5日</w:t>
      </w:r>
    </w:p>
    <w:p>
      <w:r>
        <w:rPr>
          <w:rFonts w:ascii="Meiryo UI" w:hAnsi="Meiryo UI"/>
          <w:sz w:val="20"/>
        </w:rPr>
        <w:t>分類: EMERGENCY — 社長疑義命令対応レポート</w:t>
      </w:r>
    </w:p>
    <w:p>
      <w:r>
        <w:rPr>
          <w:rFonts w:ascii="Meiryo UI" w:hAnsi="Meiryo UI"/>
          <w:sz w:val="20"/>
        </w:rPr>
        <w:t>浅井速報スコア: +98（BUY） → 本レポートにて再評価</w:t>
      </w:r>
    </w:p>
    <w:p/>
    <w:p>
      <w:r>
        <w:t>──────────────────────────────────────────────────</w:t>
      </w:r>
    </w:p>
    <w:p/>
    <w:p>
      <w:r>
        <w:rPr>
          <w:rFonts w:ascii="Meiryo UI" w:hAnsi="Meiryo UI"/>
          <w:sz w:val="20"/>
        </w:rPr>
        <w:t>&gt; ⚠️ EMERGENCY FLAG</w:t>
      </w:r>
    </w:p>
    <w:p>
      <w:r>
        <w:rPr>
          <w:rFonts w:ascii="Meiryo UI" w:hAnsi="Meiryo UI"/>
          <w:sz w:val="20"/>
        </w:rPr>
        <w:t>&gt; 社長疑義命令受領（2026/04/05）。「物流崩壊による減収減益シナリオ」の蓋然性を数理的に定量化し、Strong BUY判断の修正要否を検討する。ロジスティクス幻想を排した真のバリュエーションを提示する。</w:t>
      </w:r>
    </w:p>
    <w:p/>
    <w:p>
      <w:r>
        <w:t>──────────────────────────────────────────────────</w:t>
      </w:r>
    </w:p>
    <w:p/>
    <w:p>
      <w:pPr>
        <w:pStyle w:val="Heading2"/>
      </w:pPr>
      <w:r>
        <w:rPr>
          <w:rFonts w:ascii="Meiryo UI" w:hAnsi="Meiryo UI"/>
          <w:color w:val="2E74B5"/>
        </w:rPr>
        <w:t>目次</w:t>
      </w:r>
    </w:p>
    <w:p/>
    <w:p>
      <w:pPr>
        <w:pStyle w:val="ListNumber"/>
      </w:pPr>
      <w:r>
        <w:rPr>
          <w:rFonts w:ascii="Meiryo UI" w:hAnsi="Meiryo UI"/>
          <w:sz w:val="20"/>
        </w:rPr>
        <w:t>企業概要・事業分析</w:t>
      </w:r>
    </w:p>
    <w:p>
      <w:pPr>
        <w:pStyle w:val="ListNumber"/>
      </w:pPr>
      <w:r>
        <w:rPr>
          <w:rFonts w:ascii="Meiryo UI" w:hAnsi="Meiryo UI"/>
          <w:sz w:val="20"/>
        </w:rPr>
        <w:t>【最優先】社長疑義命令：ロジスティクス・ストレステスト</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リスクシナリオ（3ケース）</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正式名称</w:t>
            </w:r>
          </w:p>
        </w:tc>
        <w:tc>
          <w:tcPr>
            <w:tcW w:type="dxa" w:w="4703"/>
          </w:tcPr>
          <w:p>
            <w:r>
              <w:rPr>
                <w:rFonts w:ascii="Meiryo UI" w:hAnsi="Meiryo UI"/>
                <w:sz w:val="18"/>
              </w:rPr>
              <w:t>INPEX株式会社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1605（東証プライム）</w:t>
            </w:r>
          </w:p>
        </w:tc>
      </w:tr>
      <w:tr>
        <w:tc>
          <w:tcPr>
            <w:tcW w:type="dxa" w:w="4703"/>
          </w:tcPr>
          <w:p>
            <w:r>
              <w:rPr>
                <w:rFonts w:ascii="Meiryo UI" w:hAnsi="Meiryo UI"/>
                <w:sz w:val="18"/>
              </w:rPr>
              <w:t>設立</w:t>
            </w:r>
          </w:p>
        </w:tc>
        <w:tc>
          <w:tcPr>
            <w:tcW w:type="dxa" w:w="4703"/>
          </w:tcPr>
          <w:p>
            <w:r>
              <w:rPr>
                <w:rFonts w:ascii="Meiryo UI" w:hAnsi="Meiryo UI"/>
                <w:sz w:val="18"/>
              </w:rPr>
              <w:t>2006年（帝国石油・国際石油開発の合併）</w:t>
            </w:r>
          </w:p>
        </w:tc>
      </w:tr>
      <w:tr>
        <w:tc>
          <w:tcPr>
            <w:tcW w:type="dxa" w:w="4703"/>
            <w:shd w:val="clear" w:color="auto" w:fill="DDEBF7"/>
          </w:tcPr>
          <w:p>
            <w:r>
              <w:rPr>
                <w:rFonts w:ascii="Meiryo UI" w:hAnsi="Meiryo UI"/>
                <w:sz w:val="18"/>
              </w:rPr>
              <w:t>筆頭株主</w:t>
            </w:r>
          </w:p>
        </w:tc>
        <w:tc>
          <w:tcPr>
            <w:tcW w:type="dxa" w:w="4703"/>
            <w:shd w:val="clear" w:color="auto" w:fill="DDEBF7"/>
          </w:tcPr>
          <w:p>
            <w:r>
              <w:rPr>
                <w:rFonts w:ascii="Meiryo UI" w:hAnsi="Meiryo UI"/>
                <w:sz w:val="18"/>
              </w:rPr>
              <w:t>経済産業省（株式数ベース約19%）</w:t>
            </w:r>
          </w:p>
        </w:tc>
      </w:tr>
      <w:tr>
        <w:tc>
          <w:tcPr>
            <w:tcW w:type="dxa" w:w="4703"/>
          </w:tcPr>
          <w:p>
            <w:r>
              <w:rPr>
                <w:rFonts w:ascii="Meiryo UI" w:hAnsi="Meiryo UI"/>
                <w:sz w:val="18"/>
              </w:rPr>
              <w:t>時価総額</w:t>
            </w:r>
          </w:p>
        </w:tc>
        <w:tc>
          <w:tcPr>
            <w:tcW w:type="dxa" w:w="4703"/>
          </w:tcPr>
          <w:p>
            <w:r>
              <w:rPr>
                <w:rFonts w:ascii="Meiryo UI" w:hAnsi="Meiryo UI"/>
                <w:sz w:val="18"/>
              </w:rPr>
              <w:t>約2.2兆円（2026年4月初旬推定）</w:t>
            </w:r>
          </w:p>
        </w:tc>
      </w:tr>
      <w:tr>
        <w:tc>
          <w:tcPr>
            <w:tcW w:type="dxa" w:w="4703"/>
            <w:shd w:val="clear" w:color="auto" w:fill="DDEBF7"/>
          </w:tcPr>
          <w:p>
            <w:r>
              <w:rPr>
                <w:rFonts w:ascii="Meiryo UI" w:hAnsi="Meiryo UI"/>
                <w:sz w:val="18"/>
              </w:rPr>
              <w:t>主要事業</w:t>
            </w:r>
          </w:p>
        </w:tc>
        <w:tc>
          <w:tcPr>
            <w:tcW w:type="dxa" w:w="4703"/>
            <w:shd w:val="clear" w:color="auto" w:fill="DDEBF7"/>
          </w:tcPr>
          <w:p>
            <w:r>
              <w:rPr>
                <w:rFonts w:ascii="Meiryo UI" w:hAnsi="Meiryo UI"/>
                <w:sz w:val="18"/>
              </w:rPr>
              <w:t>石油・天然ガスの探鉱・開発・生産</w:t>
            </w:r>
          </w:p>
        </w:tc>
      </w:tr>
      <w:tr>
        <w:tc>
          <w:tcPr>
            <w:tcW w:type="dxa" w:w="4703"/>
          </w:tcPr>
          <w:p>
            <w:r>
              <w:rPr>
                <w:rFonts w:ascii="Meiryo UI" w:hAnsi="Meiryo UI"/>
                <w:sz w:val="18"/>
              </w:rPr>
              <w:t>主力プロジェクト</w:t>
            </w:r>
          </w:p>
        </w:tc>
        <w:tc>
          <w:tcPr>
            <w:tcW w:type="dxa" w:w="4703"/>
          </w:tcPr>
          <w:p>
            <w:r>
              <w:rPr>
                <w:rFonts w:ascii="Meiryo UI" w:hAnsi="Meiryo UI"/>
                <w:sz w:val="18"/>
              </w:rPr>
              <w:t>Ichthys LNG（豪州）、ACG（アゼルバイジャン）、マセラ（インドネシア）</w:t>
            </w:r>
          </w:p>
        </w:tc>
      </w:tr>
    </w:tbl>
    <w:p/>
    <w:p>
      <w:pPr>
        <w:pStyle w:val="Heading2"/>
      </w:pPr>
      <w:r>
        <w:rPr>
          <w:rFonts w:ascii="Meiryo UI" w:hAnsi="Meiryo UI"/>
          <w:color w:val="2E74B5"/>
        </w:rPr>
        <w:t>1.2 セグメント・プロダクト構成</w:t>
      </w:r>
    </w:p>
    <w:p/>
    <w:p>
      <w:pPr>
        <w:shd w:val="clear" w:color="auto" w:fill="F2F2F2"/>
      </w:pPr>
      <w:r>
        <w:rPr>
          <w:rFonts w:ascii="Courier New" w:hAnsi="Courier New"/>
          <w:sz w:val="16"/>
        </w:rPr>
        <w:t>売上高構成（推定、FY2024ベース）</w:t>
        <w:br/>
        <w:t>├── 石油・コンデンセート    約42%</w:t>
        <w:br/>
        <w:t>├── 天然ガス・LNG          約45%</w:t>
        <w:br/>
        <w:t>│   └── Ichthys LNG主体（年間約880万トン生産能力）</w:t>
        <w:br/>
        <w:t>├── LPG                    約8%</w:t>
        <w:br/>
        <w:t>└── その他（電力等）        約5%</w:t>
      </w:r>
    </w:p>
    <w:p/>
    <w:p>
      <w:pPr>
        <w:pStyle w:val="Heading3"/>
      </w:pPr>
      <w:r>
        <w:rPr>
          <w:rFonts w:ascii="Meiryo UI" w:hAnsi="Meiryo UI"/>
          <w:color w:val="2E74B5"/>
        </w:rPr>
        <w:t>Ichthys LNGの戦略的重要性</w:t>
      </w:r>
    </w:p>
    <w:p/>
    <w:p>
      <w:pPr>
        <w:pStyle w:val="ListBullet"/>
      </w:pPr>
      <w:r>
        <w:rPr>
          <w:rFonts w:ascii="Meiryo UI" w:hAnsi="Meiryo UI"/>
          <w:sz w:val="20"/>
        </w:rPr>
        <w:t>生産規模: 年間LNG約880万トン（液化能力）＋コンデンセート約1,600万バレル</w:t>
      </w:r>
    </w:p>
    <w:p>
      <w:pPr>
        <w:pStyle w:val="ListBullet"/>
      </w:pPr>
      <w:r>
        <w:rPr>
          <w:rFonts w:ascii="Meiryo UI" w:hAnsi="Meiryo UI"/>
          <w:sz w:val="20"/>
        </w:rPr>
        <w:t>販売先: 日本の電力・ガス会社向け長期SPA（Sales and Purchase Agreement）が主体</w:t>
      </w:r>
    </w:p>
    <w:p>
      <w:pPr>
        <w:pStyle w:val="ListBullet"/>
      </w:pPr>
      <w:r>
        <w:rPr>
          <w:rFonts w:ascii="Meiryo UI" w:hAnsi="Meiryo UI"/>
          <w:sz w:val="20"/>
        </w:rPr>
        <w:t>輸送ルート: 豪州北西部ダーウィン → 日本・韓国（インド洋・南シナ海経由、約9,000km）</w:t>
      </w:r>
    </w:p>
    <w:p>
      <w:pPr>
        <w:pStyle w:val="ListBullet"/>
      </w:pPr>
      <w:r>
        <w:rPr>
          <w:rFonts w:ascii="Meiryo UI" w:hAnsi="Meiryo UI"/>
          <w:sz w:val="20"/>
        </w:rPr>
        <w:t>中東依存度: ACGプロジェクト（アゼルバイジャン）は内陸パイプライン輸出のため、ホルムズ海峡リスクは限定的</w:t>
      </w:r>
    </w:p>
    <w:p/>
    <w:p>
      <w:pPr>
        <w:pStyle w:val="Heading2"/>
      </w:pPr>
      <w:r>
        <w:rPr>
          <w:rFonts w:ascii="Meiryo UI" w:hAnsi="Meiryo UI"/>
          <w:color w:val="2E74B5"/>
        </w:rPr>
        <w:t>1.3 競合優位性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強み</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政策的バックアップ</w:t>
            </w:r>
          </w:p>
        </w:tc>
        <w:tc>
          <w:tcPr>
            <w:tcW w:type="dxa" w:w="4703"/>
          </w:tcPr>
          <w:p>
            <w:r>
              <w:rPr>
                <w:rFonts w:ascii="Meiryo UI" w:hAnsi="Meiryo UI"/>
                <w:sz w:val="18"/>
              </w:rPr>
              <w:t>経産省の大株主・JOGMEC連携による資金調達優位</w:t>
            </w:r>
          </w:p>
        </w:tc>
      </w:tr>
      <w:tr>
        <w:tc>
          <w:tcPr>
            <w:tcW w:type="dxa" w:w="4703"/>
            <w:shd w:val="clear" w:color="auto" w:fill="DDEBF7"/>
          </w:tcPr>
          <w:p>
            <w:r>
              <w:rPr>
                <w:rFonts w:ascii="Meiryo UI" w:hAnsi="Meiryo UI"/>
                <w:sz w:val="18"/>
              </w:rPr>
              <w:t>長期契約基盤</w:t>
            </w:r>
          </w:p>
        </w:tc>
        <w:tc>
          <w:tcPr>
            <w:tcW w:type="dxa" w:w="4703"/>
            <w:shd w:val="clear" w:color="auto" w:fill="DDEBF7"/>
          </w:tcPr>
          <w:p>
            <w:r>
              <w:rPr>
                <w:rFonts w:ascii="Meiryo UI" w:hAnsi="Meiryo UI"/>
                <w:sz w:val="18"/>
              </w:rPr>
              <w:t>LNG-SPAによる安定収益（10〜20年）</w:t>
            </w:r>
          </w:p>
        </w:tc>
      </w:tr>
      <w:tr>
        <w:tc>
          <w:tcPr>
            <w:tcW w:type="dxa" w:w="4703"/>
          </w:tcPr>
          <w:p>
            <w:r>
              <w:rPr>
                <w:rFonts w:ascii="Meiryo UI" w:hAnsi="Meiryo UI"/>
                <w:sz w:val="18"/>
              </w:rPr>
              <w:t>Ichthys地政学的優位</w:t>
            </w:r>
          </w:p>
        </w:tc>
        <w:tc>
          <w:tcPr>
            <w:tcW w:type="dxa" w:w="4703"/>
          </w:tcPr>
          <w:p>
            <w:r>
              <w:rPr>
                <w:rFonts w:ascii="Meiryo UI" w:hAnsi="Meiryo UI"/>
                <w:sz w:val="18"/>
              </w:rPr>
              <w:t>豪州産＝中東リスク外、対日輸送距離優位</w:t>
            </w:r>
          </w:p>
        </w:tc>
      </w:tr>
      <w:tr>
        <w:tc>
          <w:tcPr>
            <w:tcW w:type="dxa" w:w="4703"/>
            <w:shd w:val="clear" w:color="auto" w:fill="DDEBF7"/>
          </w:tcPr>
          <w:p>
            <w:r>
              <w:rPr>
                <w:rFonts w:ascii="Meiryo UI" w:hAnsi="Meiryo UI"/>
                <w:sz w:val="18"/>
              </w:rPr>
              <w:t>多様な油種ポートフォリオ</w:t>
            </w:r>
          </w:p>
        </w:tc>
        <w:tc>
          <w:tcPr>
            <w:tcW w:type="dxa" w:w="4703"/>
            <w:shd w:val="clear" w:color="auto" w:fill="DDEBF7"/>
          </w:tcPr>
          <w:p>
            <w:r>
              <w:rPr>
                <w:rFonts w:ascii="Meiryo UI" w:hAnsi="Meiryo UI"/>
                <w:sz w:val="18"/>
              </w:rPr>
              <w:t>原油・LNG・コンデンセートの分散</w:t>
            </w:r>
          </w:p>
        </w:tc>
      </w:tr>
      <w:tr>
        <w:tc>
          <w:tcPr>
            <w:tcW w:type="dxa" w:w="4703"/>
          </w:tcPr>
          <w:p>
            <w:r>
              <w:rPr>
                <w:rFonts w:ascii="Meiryo UI" w:hAnsi="Meiryo UI"/>
                <w:sz w:val="18"/>
              </w:rPr>
              <w:t>財務健全性</w:t>
            </w:r>
          </w:p>
        </w:tc>
        <w:tc>
          <w:tcPr>
            <w:tcW w:type="dxa" w:w="4703"/>
          </w:tcPr>
          <w:p>
            <w:r>
              <w:rPr>
                <w:rFonts w:ascii="Meiryo UI" w:hAnsi="Meiryo UI"/>
                <w:sz w:val="18"/>
              </w:rPr>
              <w:t>純有利子負債/EBITDA ≒ 0.5〜1.0倍（低レバレッジ）</w:t>
            </w:r>
          </w:p>
        </w:tc>
      </w:tr>
    </w:tbl>
    <w:p/>
    <w:p>
      <w:pPr>
        <w:pStyle w:val="Heading2"/>
      </w:pPr>
      <w:r>
        <w:rPr>
          <w:rFonts w:ascii="Meiryo UI" w:hAnsi="Meiryo UI"/>
          <w:color w:val="2E74B5"/>
        </w:rPr>
        <w:t>1.4 直近カタリスト</w:t>
      </w:r>
    </w:p>
    <w:p/>
    <w:p>
      <w:pPr>
        <w:pStyle w:val="ListBullet"/>
      </w:pPr>
      <w:r>
        <w:rPr>
          <w:rFonts w:ascii="Meiryo UI" w:hAnsi="Meiryo UI"/>
          <w:sz w:val="20"/>
        </w:rPr>
        <w:t>2026年Q1: 原油価格（Brent）75〜85ドル/bbl推移、LNG スポット価格軟化</w:t>
      </w:r>
    </w:p>
    <w:p>
      <w:pPr>
        <w:pStyle w:val="ListBullet"/>
      </w:pPr>
      <w:r>
        <w:rPr>
          <w:rFonts w:ascii="Meiryo UI" w:hAnsi="Meiryo UI"/>
          <w:sz w:val="20"/>
        </w:rPr>
        <w:t>中東緊張継続: イランとの外交的緊張、フーシー派によるホルムズ海峡・紅海攻撃継続</w:t>
      </w:r>
    </w:p>
    <w:p>
      <w:pPr>
        <w:pStyle w:val="ListBullet"/>
      </w:pPr>
      <w:r>
        <w:rPr>
          <w:rFonts w:ascii="Meiryo UI" w:hAnsi="Meiryo UI"/>
          <w:sz w:val="20"/>
        </w:rPr>
        <w:t>円安効果: USD/JPY 145〜150円での推移は円建て売上にプラス</w:t>
      </w:r>
    </w:p>
    <w:p>
      <w:pPr>
        <w:pStyle w:val="ListBullet"/>
      </w:pPr>
      <w:r>
        <w:rPr>
          <w:rFonts w:ascii="Meiryo UI" w:hAnsi="Meiryo UI"/>
          <w:sz w:val="20"/>
        </w:rPr>
        <w:t>Ichthys増産フェーズ: 設備稼働率改善による増産余地（FY2025〜2026）</w:t>
      </w:r>
    </w:p>
    <w:p/>
    <w:p>
      <w:r>
        <w:t>──────────────────────────────────────────────────</w:t>
      </w:r>
    </w:p>
    <w:p/>
    <w:p>
      <w:pPr>
        <w:pStyle w:val="Heading1"/>
      </w:pPr>
      <w:r>
        <w:rPr>
          <w:rFonts w:ascii="Meiryo UI" w:hAnsi="Meiryo UI"/>
          <w:color w:val="1F3864"/>
        </w:rPr>
        <w:t>2. 【最優先】社長疑義命令：ロジスティクス・ストレステスト</w:t>
      </w:r>
    </w:p>
    <w:p/>
    <w:p>
      <w:r>
        <w:rPr>
          <w:rFonts w:ascii="Meiryo UI" w:hAnsi="Meiryo UI"/>
          <w:sz w:val="20"/>
        </w:rPr>
        <w:t>&gt; 社長指示原文: 「物流崩壊による減収減益シナリオ」の蓋然性を%で提示必須。ロジスティクス幻想は許されない。「中東リスク＝資源高でプラス」という二元論を排した真のMoSを再定義せよ。</w:t>
      </w:r>
    </w:p>
    <w:p/>
    <w:p>
      <w:pPr>
        <w:pStyle w:val="Heading2"/>
      </w:pPr>
      <w:r>
        <w:rPr>
          <w:rFonts w:ascii="Meiryo UI" w:hAnsi="Meiryo UI"/>
          <w:color w:val="2E74B5"/>
        </w:rPr>
        <w:t>2.1 前提整理：INPEXのロジスティクス構造マップ</w:t>
      </w:r>
    </w:p>
    <w:p/>
    <w:p>
      <w:pPr>
        <w:shd w:val="clear" w:color="auto" w:fill="F2F2F2"/>
      </w:pPr>
      <w:r>
        <w:rPr>
          <w:rFonts w:ascii="Courier New" w:hAnsi="Courier New"/>
          <w:sz w:val="16"/>
        </w:rPr>
        <w:t>【INPEX主要輸送ルート】</w:t>
        <w:br/>
        <w:br/>
        <w:t>① Ichthys LNG（豪州） → 日本・韓国</w:t>
        <w:br/>
        <w:t xml:space="preserve">   ルート: ダーウィン → インド洋北上 → マラッカ海峡 → 南シナ海 → 日本</w:t>
        <w:br/>
        <w:t xml:space="preserve">   距離: 約9,000km / 所要日数: 約13〜15日</w:t>
        <w:br/>
        <w:t xml:space="preserve">   ← ここはホルムズ海峡を通らない ← 重要</w:t>
        <w:br/>
        <w:br/>
        <w:t>② ACG原油（アゼルバイジャン） → バクー・トビリシ・ジェイハン（BTC）パイプライン → トルコ → タンカー</w:t>
        <w:br/>
        <w:t xml:space="preserve">   ルート: 地中海 → スエズ運河 or 喜望峰 → アジア</w:t>
        <w:br/>
        <w:t xml:space="preserve">   ← ここがホルムズ・紅海リスクと連動</w:t>
        <w:br/>
        <w:br/>
        <w:t>③ その他中東権益（UAE・イラン隣接）</w:t>
        <w:br/>
        <w:t xml:space="preserve">   ← ホルムズ海峡通過リスクが直接的</w:t>
      </w:r>
    </w:p>
    <w:p/>
    <w:p>
      <w:r>
        <w:rPr>
          <w:rFonts w:ascii="Meiryo UI" w:hAnsi="Meiryo UI"/>
          <w:sz w:val="20"/>
        </w:rPr>
        <w:t>深井評価: INPEXの最大資産であるIchthys LNGは、ホルムズ海峡を構造的に回避している。これは市場が過度に「中東リスク = INPEX全体リスク」と誤認している可能性を示唆する。しかし、これが「ロジスティクス幻想」の核心でもある。</w:t>
      </w:r>
    </w:p>
    <w:p/>
    <w:p>
      <w:r>
        <w:t>──────────────────────────────────────────────────</w:t>
      </w:r>
    </w:p>
    <w:p/>
    <w:p>
      <w:pPr>
        <w:pStyle w:val="Heading2"/>
      </w:pPr>
      <w:r>
        <w:rPr>
          <w:rFonts w:ascii="Meiryo UI" w:hAnsi="Meiryo UI"/>
          <w:color w:val="2E74B5"/>
        </w:rPr>
        <w:t>2.2 ① 迂回ルート（喜望峰）の物理的輸送キャパシティ vs INPEX年間契約量</w:t>
      </w:r>
    </w:p>
    <w:p/>
    <w:p>
      <w:pPr>
        <w:pStyle w:val="Heading3"/>
      </w:pPr>
      <w:r>
        <w:rPr>
          <w:rFonts w:ascii="Meiryo UI" w:hAnsi="Meiryo UI"/>
          <w:color w:val="2E74B5"/>
        </w:rPr>
        <w:t>問題設定</w:t>
      </w:r>
    </w:p>
    <w:p/>
    <w:p>
      <w:r>
        <w:rPr>
          <w:rFonts w:ascii="Meiryo UI" w:hAnsi="Meiryo UI"/>
          <w:sz w:val="20"/>
        </w:rPr>
        <w:t>スエズ運河/紅海封鎖シナリオにおいて、ACGプロジェクト由来の原油輸送は喜望峰ルートへの迂回を強いられる。この際のキャパシティ制約を定量化する。</w:t>
      </w:r>
    </w:p>
    <w:p/>
    <w:p>
      <w:pPr>
        <w:pStyle w:val="Heading3"/>
      </w:pPr>
      <w:r>
        <w:rPr>
          <w:rFonts w:ascii="Meiryo UI" w:hAnsi="Meiryo UI"/>
          <w:color w:val="2E74B5"/>
        </w:rPr>
        <w:t>BTC原油のアジア向け輸送量推定</w:t>
      </w:r>
    </w:p>
    <w:p/>
    <w:p>
      <w:pPr>
        <w:shd w:val="clear" w:color="auto" w:fill="F2F2F2"/>
      </w:pPr>
      <w:r>
        <w:rPr>
          <w:rFonts w:ascii="Courier New" w:hAnsi="Courier New"/>
          <w:sz w:val="16"/>
        </w:rPr>
        <w:t>ACGプロジェクトにおけるINPEX権益（約11%）</w:t>
        <w:br/>
        <w:t>▶ BTC経由輸出量（全体）: 約120万bbl/日</w:t>
        <w:br/>
        <w:t>▶ INPEX権益分（概算）: 約13.2万bbl/日 ≒ 約4,800万bbl/年</w:t>
        <w:br/>
        <w:br/>
        <w:t>タンカー換算:</w:t>
        <w:br/>
        <w:t>▶ VLCC（200万bbl/隻）換算: 年間約24隻相当</w:t>
        <w:br/>
        <w:t>▶ 月間: 約2隻/月のVLCC運航が必要</w:t>
      </w:r>
    </w:p>
    <w:p/>
    <w:p>
      <w:pPr>
        <w:pStyle w:val="Heading3"/>
      </w:pPr>
      <w:r>
        <w:rPr>
          <w:rFonts w:ascii="Meiryo UI" w:hAnsi="Meiryo UI"/>
          <w:color w:val="2E74B5"/>
        </w:rPr>
        <w:t>喜望峰迂回コスト・時間増加の定量化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スエズ経由</w:t>
            </w:r>
          </w:p>
        </w:tc>
        <w:tc>
          <w:tcPr>
            <w:tcW w:type="dxa" w:w="2351"/>
            <w:shd w:val="clear" w:color="auto" w:fill="2E74B5"/>
          </w:tcPr>
          <w:p>
            <w:r>
              <w:rPr>
                <w:rFonts w:ascii="Meiryo UI" w:hAnsi="Meiryo UI"/>
                <w:b/>
                <w:color w:val="FFFFFF"/>
                <w:sz w:val="18"/>
              </w:rPr>
              <w:t>喜望峰迂回</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輸送日数（地中海→アジア）</w:t>
            </w:r>
          </w:p>
        </w:tc>
        <w:tc>
          <w:tcPr>
            <w:tcW w:type="dxa" w:w="2351"/>
          </w:tcPr>
          <w:p>
            <w:r>
              <w:rPr>
                <w:rFonts w:ascii="Meiryo UI" w:hAnsi="Meiryo UI"/>
                <w:sz w:val="18"/>
              </w:rPr>
              <w:t>約25日</w:t>
            </w:r>
          </w:p>
        </w:tc>
        <w:tc>
          <w:tcPr>
            <w:tcW w:type="dxa" w:w="2351"/>
          </w:tcPr>
          <w:p>
            <w:r>
              <w:rPr>
                <w:rFonts w:ascii="Meiryo UI" w:hAnsi="Meiryo UI"/>
                <w:sz w:val="18"/>
              </w:rPr>
              <w:t>約45〜50日</w:t>
            </w:r>
          </w:p>
        </w:tc>
        <w:tc>
          <w:tcPr>
            <w:tcW w:type="dxa" w:w="2351"/>
          </w:tcPr>
          <w:p>
            <w:r>
              <w:rPr>
                <w:rFonts w:ascii="Meiryo UI" w:hAnsi="Meiryo UI"/>
                <w:sz w:val="18"/>
              </w:rPr>
              <w:t>+20〜25日（+80〜100%）</w:t>
            </w:r>
          </w:p>
        </w:tc>
      </w:tr>
      <w:tr>
        <w:tc>
          <w:tcPr>
            <w:tcW w:type="dxa" w:w="2351"/>
            <w:shd w:val="clear" w:color="auto" w:fill="DDEBF7"/>
          </w:tcPr>
          <w:p>
            <w:r>
              <w:rPr>
                <w:rFonts w:ascii="Meiryo UI" w:hAnsi="Meiryo UI"/>
                <w:sz w:val="18"/>
              </w:rPr>
              <w:t>距離（km）</w:t>
            </w:r>
          </w:p>
        </w:tc>
        <w:tc>
          <w:tcPr>
            <w:tcW w:type="dxa" w:w="2351"/>
            <w:shd w:val="clear" w:color="auto" w:fill="DDEBF7"/>
          </w:tcPr>
          <w:p>
            <w:r>
              <w:rPr>
                <w:rFonts w:ascii="Meiryo UI" w:hAnsi="Meiryo UI"/>
                <w:sz w:val="18"/>
              </w:rPr>
              <w:t>約21,000km</w:t>
            </w:r>
          </w:p>
        </w:tc>
        <w:tc>
          <w:tcPr>
            <w:tcW w:type="dxa" w:w="2351"/>
            <w:shd w:val="clear" w:color="auto" w:fill="DDEBF7"/>
          </w:tcPr>
          <w:p>
            <w:r>
              <w:rPr>
                <w:rFonts w:ascii="Meiryo UI" w:hAnsi="Meiryo UI"/>
                <w:sz w:val="18"/>
              </w:rPr>
              <w:t>約34,000km</w:t>
            </w:r>
          </w:p>
        </w:tc>
        <w:tc>
          <w:tcPr>
            <w:tcW w:type="dxa" w:w="2351"/>
            <w:shd w:val="clear" w:color="auto" w:fill="DDEBF7"/>
          </w:tcPr>
          <w:p>
            <w:r>
              <w:rPr>
                <w:rFonts w:ascii="Meiryo UI" w:hAnsi="Meiryo UI"/>
                <w:sz w:val="18"/>
              </w:rPr>
              <w:t>+13,000km</w:t>
            </w:r>
          </w:p>
        </w:tc>
      </w:tr>
      <w:tr>
        <w:tc>
          <w:tcPr>
            <w:tcW w:type="dxa" w:w="2351"/>
          </w:tcPr>
          <w:p>
            <w:r>
              <w:rPr>
                <w:rFonts w:ascii="Meiryo UI" w:hAnsi="Meiryo UI"/>
                <w:sz w:val="18"/>
              </w:rPr>
              <w:t>必要タンカー隻数（同量輸送）</w:t>
            </w:r>
          </w:p>
        </w:tc>
        <w:tc>
          <w:tcPr>
            <w:tcW w:type="dxa" w:w="2351"/>
          </w:tcPr>
          <w:p>
            <w:r>
              <w:rPr>
                <w:rFonts w:ascii="Meiryo UI" w:hAnsi="Meiryo UI"/>
                <w:sz w:val="18"/>
              </w:rPr>
              <w:t>2隻/月</w:t>
            </w:r>
          </w:p>
        </w:tc>
        <w:tc>
          <w:tcPr>
            <w:tcW w:type="dxa" w:w="2351"/>
          </w:tcPr>
          <w:p>
            <w:r>
              <w:rPr>
                <w:rFonts w:ascii="Meiryo UI" w:hAnsi="Meiryo UI"/>
                <w:sz w:val="18"/>
              </w:rPr>
              <w:t>3.5〜4隻/月</w:t>
            </w:r>
          </w:p>
        </w:tc>
        <w:tc>
          <w:tcPr>
            <w:tcW w:type="dxa" w:w="2351"/>
          </w:tcPr>
          <w:p>
            <w:r>
              <w:rPr>
                <w:rFonts w:ascii="Meiryo UI" w:hAnsi="Meiryo UI"/>
                <w:sz w:val="18"/>
              </w:rPr>
              <w:t>+75〜100%増</w:t>
            </w:r>
          </w:p>
        </w:tc>
      </w:tr>
      <w:tr>
        <w:tc>
          <w:tcPr>
            <w:tcW w:type="dxa" w:w="2351"/>
            <w:shd w:val="clear" w:color="auto" w:fill="DDEBF7"/>
          </w:tcPr>
          <w:p>
            <w:r>
              <w:rPr>
                <w:rFonts w:ascii="Meiryo UI" w:hAnsi="Meiryo UI"/>
                <w:sz w:val="18"/>
              </w:rPr>
              <w:t>世界VLCC稼働船隊</w:t>
            </w:r>
          </w:p>
        </w:tc>
        <w:tc>
          <w:tcPr>
            <w:tcW w:type="dxa" w:w="2351"/>
            <w:shd w:val="clear" w:color="auto" w:fill="DDEBF7"/>
          </w:tcPr>
          <w:p>
            <w:r>
              <w:rPr>
                <w:rFonts w:ascii="Meiryo UI" w:hAnsi="Meiryo UI"/>
                <w:sz w:val="18"/>
              </w:rPr>
              <w:t>約800隻</w:t>
            </w:r>
          </w:p>
        </w:tc>
        <w:tc>
          <w:tcPr>
            <w:tcW w:type="dxa" w:w="2351"/>
            <w:shd w:val="clear" w:color="auto" w:fill="DDEBF7"/>
          </w:tcPr>
          <w:p>
            <w:r>
              <w:rPr>
                <w:rFonts w:ascii="Meiryo UI" w:hAnsi="Meiryo UI"/>
                <w:sz w:val="18"/>
              </w:rPr>
              <w:t>既に逼迫（2024〜2025年比）</w:t>
            </w:r>
          </w:p>
        </w:tc>
        <w:tc>
          <w:tcPr>
            <w:tcW w:type="dxa" w:w="2351"/>
            <w:shd w:val="clear" w:color="auto" w:fill="DDEBF7"/>
          </w:tcPr>
          <w:p>
            <w:r>
              <w:rPr>
                <w:rFonts w:ascii="Meiryo UI" w:hAnsi="Meiryo UI"/>
                <w:sz w:val="18"/>
              </w:rPr>
              <w:t>タイト</w:t>
            </w:r>
          </w:p>
        </w:tc>
      </w:tr>
    </w:tbl>
    <w:p/>
    <w:p>
      <w:pPr>
        <w:pStyle w:val="Heading3"/>
      </w:pPr>
      <w:r>
        <w:rPr>
          <w:rFonts w:ascii="Meiryo UI" w:hAnsi="Meiryo UI"/>
          <w:color w:val="2E74B5"/>
        </w:rPr>
        <w:t>キャパシティ制約の評価</w:t>
      </w:r>
    </w:p>
    <w:p/>
    <w:p>
      <w:r>
        <w:rPr>
          <w:rFonts w:ascii="Meiryo UI" w:hAnsi="Meiryo UI"/>
          <w:sz w:val="20"/>
        </w:rPr>
        <w:t>&gt; 2024〜2025年のフーシー派攻撃による紅海迂回では、全世界タンカー需要が約7〜9%増加し、VLCC傭船料が3〜5倍に上昇した実績がある。</w:t>
      </w:r>
    </w:p>
    <w:p/>
    <w:p>
      <w:r>
        <w:rPr>
          <w:rFonts w:ascii="Meiryo UI" w:hAnsi="Meiryo UI"/>
          <w:sz w:val="20"/>
        </w:rPr>
        <w:t>INPEXのACG由来原油への影響:</w:t>
      </w:r>
    </w:p>
    <w:p>
      <w:pPr>
        <w:pStyle w:val="ListBullet"/>
      </w:pPr>
      <w:r>
        <w:rPr>
          <w:rFonts w:ascii="Meiryo UI" w:hAnsi="Meiryo UI"/>
          <w:sz w:val="20"/>
        </w:rPr>
        <w:t>必要タンカー増加分（月+1.5〜2隻のVLCC）は市場調達可能だが、コストが急増</w:t>
      </w:r>
    </w:p>
    <w:p>
      <w:pPr>
        <w:pStyle w:val="ListBullet"/>
      </w:pPr>
      <w:r>
        <w:rPr>
          <w:rFonts w:ascii="Meiryo UI" w:hAnsi="Meiryo UI"/>
          <w:sz w:val="20"/>
        </w:rPr>
        <w:t>ただしINPEXはスポット購入ではなく長期傭船契約を一部保有しており、完全な数量確保は可能</w:t>
      </w:r>
    </w:p>
    <w:p>
      <w:pPr>
        <w:pStyle w:val="ListBullet"/>
      </w:pPr>
      <w:r>
        <w:rPr>
          <w:rFonts w:ascii="Meiryo UI" w:hAnsi="Meiryo UI"/>
          <w:sz w:val="20"/>
        </w:rPr>
        <w:t>問題は「届けられるか」ではなく「いくらコストがかかるか」</w:t>
      </w:r>
    </w:p>
    <w:p/>
    <w:p>
      <w:r>
        <w:rPr>
          <w:rFonts w:ascii="Meiryo UI" w:hAnsi="Meiryo UI"/>
          <w:sz w:val="20"/>
        </w:rPr>
        <w:t>結論①: 物理的輸送量の絶対的欠如（届かない）シナリオの蓋然性は低い（10〜15%）。ただしコスト急増は高確率（60〜70%）で発生。</w:t>
      </w:r>
    </w:p>
    <w:p/>
    <w:p>
      <w:r>
        <w:t>──────────────────────────────────────────────────</w:t>
      </w:r>
    </w:p>
    <w:p/>
    <w:p>
      <w:pPr>
        <w:pStyle w:val="Heading2"/>
      </w:pPr>
      <w:r>
        <w:rPr>
          <w:rFonts w:ascii="Meiryo UI" w:hAnsi="Meiryo UI"/>
          <w:color w:val="2E74B5"/>
        </w:rPr>
        <w:t>2.3 ② 傭船料上昇・在庫回転率低下の営業利益インパクト試算</w:t>
      </w:r>
    </w:p>
    <w:p/>
    <w:p>
      <w:pPr>
        <w:pStyle w:val="Heading3"/>
      </w:pPr>
      <w:r>
        <w:rPr>
          <w:rFonts w:ascii="Meiryo UI" w:hAnsi="Meiryo UI"/>
          <w:color w:val="2E74B5"/>
        </w:rPr>
        <w:t>傭船料（Charter Hire）上昇シナリオ</w:t>
      </w:r>
    </w:p>
    <w:p/>
    <w:p>
      <w:pPr>
        <w:shd w:val="clear" w:color="auto" w:fill="F2F2F2"/>
      </w:pPr>
      <w:r>
        <w:rPr>
          <w:rFonts w:ascii="Courier New" w:hAnsi="Courier New"/>
          <w:sz w:val="16"/>
        </w:rPr>
        <w:t>【基本前提】</w:t>
        <w:br/>
        <w:t>VLCC スポット傭船料:</w:t>
        <w:br/>
        <w:t xml:space="preserve">  通常時: 約3.5万ドル/日</w:t>
        <w:br/>
        <w:t xml:space="preserve">  紅海封鎖・逼迫時: 約8〜12万ドル/日（2024年実績最大値）</w:t>
        <w:br/>
        <w:br/>
        <w:t>INPEXの傭船コスト構造（推定）:</w:t>
        <w:br/>
        <w:t xml:space="preserve">  長期傭船: 全輸送量の約60%をカバー（固定コスト化済み）</w:t>
        <w:br/>
        <w:t xml:space="preserve">  スポット: 残り40%（変動リスクあり）</w:t>
      </w:r>
    </w:p>
    <w:p/>
    <w:p>
      <w:pPr>
        <w:pStyle w:val="Heading3"/>
      </w:pPr>
      <w:r>
        <w:rPr>
          <w:rFonts w:ascii="Meiryo UI" w:hAnsi="Meiryo UI"/>
          <w:color w:val="2E74B5"/>
        </w:rPr>
        <w:t>スポット傭船料急騰シナリオの試算</w:t>
      </w:r>
    </w:p>
    <w:p/>
    <w:p>
      <w:pPr>
        <w:shd w:val="clear" w:color="auto" w:fill="F2F2F2"/>
      </w:pPr>
      <w:r>
        <w:rPr>
          <w:rFonts w:ascii="Courier New" w:hAnsi="Courier New"/>
          <w:sz w:val="16"/>
        </w:rPr>
        <w:t>INPEX年間スポット傭船必要量（ACG由来）:</w:t>
        <w:br/>
        <w:t xml:space="preserve">  ▶ 月2隻 × 12ヶ月 × 40%(スポット比) = 年間約9.6隻分 ≒ 10隻</w:t>
        <w:br/>
        <w:t xml:space="preserve">  ▶ 喜望峰迂回時: 追加1.5〜2隻/月 × 12 = +18〜24隻/年のスポット</w:t>
        <w:br/>
        <w:br/>
        <w:t>追加傭船コスト（喜望峰迂回 × スポット急騰）:</w:t>
        <w:br/>
        <w:t xml:space="preserve">  追加隻数: 20隻/年（中央値）</w:t>
        <w:br/>
        <w:t xml:space="preserve">  追加日数: 25日/航海</w:t>
        <w:br/>
        <w:t xml:space="preserve">  追加コスト単価: +6万ドル/日（通常3.5万→9.5万）</w:t>
        <w:br/>
        <w:br/>
        <w:t xml:space="preserve">  追加コスト = 20隻 × 25日 × 6万ドル = 3,000万ドル/年</w:t>
        <w:br/>
        <w:t xml:space="preserve">              ≒ 約45億円/年（USD/JPY 150円換算）</w:t>
        <w:br/>
        <w:br/>
        <w:t>既存スポット10隻への傭船料急騰影響:</w:t>
        <w:br/>
        <w:t xml:space="preserve">  10隻 × 25日(平均航海) × 6万ドル = 1,500万ドル</w:t>
        <w:br/>
        <w:t xml:space="preserve">              ≒ 約22.5億円/年</w:t>
        <w:br/>
        <w:br/>
        <w:t>合計追加傭船コスト: 約67億円/年（推定レンジ: 50〜100億円）</w:t>
      </w:r>
    </w:p>
    <w:p/>
    <w:p>
      <w:pPr>
        <w:pStyle w:val="Heading3"/>
      </w:pPr>
      <w:r>
        <w:rPr>
          <w:rFonts w:ascii="Meiryo UI" w:hAnsi="Meiryo UI"/>
          <w:color w:val="2E74B5"/>
        </w:rPr>
        <w:t>在庫回転率の低下影響</w:t>
      </w:r>
    </w:p>
    <w:p/>
    <w:p>
      <w:pPr>
        <w:shd w:val="clear" w:color="auto" w:fill="F2F2F2"/>
      </w:pPr>
      <w:r>
        <w:rPr>
          <w:rFonts w:ascii="Courier New" w:hAnsi="Courier New"/>
          <w:sz w:val="16"/>
        </w:rPr>
        <w:t>輸送日数増加（+25日）による運転資本増加:</w:t>
        <w:br/>
        <w:t xml:space="preserve">  ACG原油日産13.2万bbl × 25日 × 75ドル/bbl</w:t>
        <w:br/>
        <w:t xml:space="preserve">  = 247.5百万ドル ≒ 約370億円の追加運転資本</w:t>
        <w:br/>
        <w:br/>
        <w:t xml:space="preserve">  この資本コスト（WACC ≒ 7%）:</w:t>
        <w:br/>
        <w:t xml:space="preserve">  370億円 × 7% = 約26億円/年の機会費用</w:t>
      </w:r>
    </w:p>
    <w:p/>
    <w:p>
      <w:pPr>
        <w:pStyle w:val="Heading3"/>
      </w:pPr>
      <w:r>
        <w:rPr>
          <w:rFonts w:ascii="Meiryo UI" w:hAnsi="Meiryo UI"/>
          <w:color w:val="2E74B5"/>
        </w:rPr>
        <w:t>②の結論：営業利益への影響試算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影響額（億円/年）</w:t>
            </w:r>
          </w:p>
        </w:tc>
        <w:tc>
          <w:tcPr>
            <w:tcW w:type="dxa" w:w="3135"/>
            <w:shd w:val="clear" w:color="auto" w:fill="2E74B5"/>
          </w:tcPr>
          <w:p>
            <w:r>
              <w:rPr>
                <w:rFonts w:ascii="Meiryo UI" w:hAnsi="Meiryo UI"/>
                <w:b/>
                <w:color w:val="FFFFFF"/>
                <w:sz w:val="18"/>
              </w:rPr>
              <w:t>確率</w:t>
            </w:r>
          </w:p>
        </w:tc>
      </w:tr>
      <w:tr>
        <w:tc>
          <w:tcPr>
            <w:tcW w:type="dxa" w:w="3135"/>
          </w:tcPr>
          <w:p>
            <w:r>
              <w:rPr>
                <w:rFonts w:ascii="Meiryo UI" w:hAnsi="Meiryo UI"/>
                <w:sz w:val="18"/>
              </w:rPr>
              <w:t>追加傭船料（スポット急騰）</w:t>
            </w:r>
          </w:p>
        </w:tc>
        <w:tc>
          <w:tcPr>
            <w:tcW w:type="dxa" w:w="3135"/>
          </w:tcPr>
          <w:p>
            <w:r>
              <w:rPr>
                <w:rFonts w:ascii="Meiryo UI" w:hAnsi="Meiryo UI"/>
                <w:sz w:val="18"/>
              </w:rPr>
              <w:t>▲50〜100</w:t>
            </w:r>
          </w:p>
        </w:tc>
        <w:tc>
          <w:tcPr>
            <w:tcW w:type="dxa" w:w="3135"/>
          </w:tcPr>
          <w:p>
            <w:r>
              <w:rPr>
                <w:rFonts w:ascii="Meiryo UI" w:hAnsi="Meiryo UI"/>
                <w:sz w:val="18"/>
              </w:rPr>
              <w:t>60%</w:t>
            </w:r>
          </w:p>
        </w:tc>
      </w:tr>
      <w:tr>
        <w:tc>
          <w:tcPr>
            <w:tcW w:type="dxa" w:w="3135"/>
            <w:shd w:val="clear" w:color="auto" w:fill="DDEBF7"/>
          </w:tcPr>
          <w:p>
            <w:r>
              <w:rPr>
                <w:rFonts w:ascii="Meiryo UI" w:hAnsi="Meiryo UI"/>
                <w:sz w:val="18"/>
              </w:rPr>
              <w:t>運転資本増加コスト</w:t>
            </w:r>
          </w:p>
        </w:tc>
        <w:tc>
          <w:tcPr>
            <w:tcW w:type="dxa" w:w="3135"/>
            <w:shd w:val="clear" w:color="auto" w:fill="DDEBF7"/>
          </w:tcPr>
          <w:p>
            <w:r>
              <w:rPr>
                <w:rFonts w:ascii="Meiryo UI" w:hAnsi="Meiryo UI"/>
                <w:sz w:val="18"/>
              </w:rPr>
              <w:t>▲20〜30</w:t>
            </w:r>
          </w:p>
        </w:tc>
        <w:tc>
          <w:tcPr>
            <w:tcW w:type="dxa" w:w="3135"/>
            <w:shd w:val="clear" w:color="auto" w:fill="DDEBF7"/>
          </w:tcPr>
          <w:p>
            <w:r>
              <w:rPr>
                <w:rFonts w:ascii="Meiryo UI" w:hAnsi="Meiryo UI"/>
                <w:sz w:val="18"/>
              </w:rPr>
              <w:t>70%</w:t>
            </w:r>
          </w:p>
        </w:tc>
      </w:tr>
      <w:tr>
        <w:tc>
          <w:tcPr>
            <w:tcW w:type="dxa" w:w="3135"/>
          </w:tcPr>
          <w:p>
            <w:r>
              <w:rPr>
                <w:rFonts w:ascii="Meiryo UI" w:hAnsi="Meiryo UI"/>
                <w:sz w:val="18"/>
              </w:rPr>
              <w:t>燃料費増加（航行距離+60%）</w:t>
            </w:r>
          </w:p>
        </w:tc>
        <w:tc>
          <w:tcPr>
            <w:tcW w:type="dxa" w:w="3135"/>
          </w:tcPr>
          <w:p>
            <w:r>
              <w:rPr>
                <w:rFonts w:ascii="Meiryo UI" w:hAnsi="Meiryo UI"/>
                <w:sz w:val="18"/>
              </w:rPr>
              <w:t>▲15〜25</w:t>
            </w:r>
          </w:p>
        </w:tc>
        <w:tc>
          <w:tcPr>
            <w:tcW w:type="dxa" w:w="3135"/>
          </w:tcPr>
          <w:p>
            <w:r>
              <w:rPr>
                <w:rFonts w:ascii="Meiryo UI" w:hAnsi="Meiryo UI"/>
                <w:sz w:val="18"/>
              </w:rPr>
              <w:t>70%</w:t>
            </w:r>
          </w:p>
        </w:tc>
      </w:tr>
      <w:tr>
        <w:tc>
          <w:tcPr>
            <w:tcW w:type="dxa" w:w="3135"/>
            <w:shd w:val="clear" w:color="auto" w:fill="DDEBF7"/>
          </w:tcPr>
          <w:p>
            <w:r>
              <w:rPr>
                <w:rFonts w:ascii="Meiryo UI" w:hAnsi="Meiryo UI"/>
                <w:sz w:val="18"/>
              </w:rPr>
              <w:t>合計</w:t>
            </w:r>
          </w:p>
        </w:tc>
        <w:tc>
          <w:tcPr>
            <w:tcW w:type="dxa" w:w="3135"/>
            <w:shd w:val="clear" w:color="auto" w:fill="DDEBF7"/>
          </w:tcPr>
          <w:p>
            <w:r>
              <w:rPr>
                <w:rFonts w:ascii="Meiryo UI" w:hAnsi="Meiryo UI"/>
                <w:sz w:val="18"/>
              </w:rPr>
              <w:t>▲85〜155億円/年</w:t>
            </w:r>
          </w:p>
        </w:tc>
        <w:tc>
          <w:tcPr>
            <w:tcW w:type="dxa" w:w="3135"/>
            <w:shd w:val="clear" w:color="auto" w:fill="DDEBF7"/>
          </w:tcPr>
          <w:p>
            <w:r>
              <w:rPr>
                <w:rFonts w:ascii="Meiryo UI" w:hAnsi="Meiryo UI"/>
                <w:sz w:val="18"/>
              </w:rPr>
              <w:t>—</w:t>
            </w:r>
          </w:p>
        </w:tc>
      </w:tr>
    </w:tbl>
    <w:p/>
    <w:p>
      <w:r>
        <w:rPr>
          <w:rFonts w:ascii="Meiryo UI" w:hAnsi="Meiryo UI"/>
          <w:sz w:val="20"/>
        </w:rPr>
        <w:t>&gt; INPEXのFY2024営業利益（推定 約6,500〜7,000億円）に対し、▲1.2〜2.2%の影響。単体では限定的だが、複合リスクシナリオでは累積する。</w:t>
      </w:r>
    </w:p>
    <w:p/>
    <w:p>
      <w:r>
        <w:t>──────────────────────────────────────────────────</w:t>
      </w:r>
    </w:p>
    <w:p/>
    <w:p>
      <w:pPr>
        <w:pStyle w:val="Heading2"/>
      </w:pPr>
      <w:r>
        <w:rPr>
          <w:rFonts w:ascii="Meiryo UI" w:hAnsi="Meiryo UI"/>
          <w:color w:val="2E74B5"/>
        </w:rPr>
        <w:t>2.4 ③ LNG長期契約（SPA）不履行リスクとスポット代替によるマージン悪化</w:t>
      </w:r>
    </w:p>
    <w:p/>
    <w:p>
      <w:pPr>
        <w:pStyle w:val="Heading3"/>
      </w:pPr>
      <w:r>
        <w:rPr>
          <w:rFonts w:ascii="Meiryo UI" w:hAnsi="Meiryo UI"/>
          <w:color w:val="2E74B5"/>
        </w:rPr>
        <w:t>SPAの構造とINPEXのリスクポジション</w:t>
      </w:r>
    </w:p>
    <w:p/>
    <w:p>
      <w:pPr>
        <w:shd w:val="clear" w:color="auto" w:fill="F2F2F2"/>
      </w:pPr>
      <w:r>
        <w:rPr>
          <w:rFonts w:ascii="Courier New" w:hAnsi="Courier New"/>
          <w:sz w:val="16"/>
        </w:rPr>
        <w:t>Ichthys LNG SPA構造:</w:t>
        <w:br/>
        <w:t xml:space="preserve">  ▶ 主要買い手: 東京電力、大阪ガス、中部電力、東邦ガス等</w:t>
        <w:br/>
        <w:t xml:space="preserve">  ▶ 契約期間: 2018年〜2043年（25年）</w:t>
        <w:br/>
        <w:t xml:space="preserve">  ▶ 価格フォーミュラ: 原油リンク（JCC方式）</w:t>
        <w:br/>
        <w:t xml:space="preserve">  ▶ Take or Pay条項: 買い手が受け取らなくても代金を支払う義務</w:t>
        <w:br/>
        <w:t xml:space="preserve">  ▶ Deliver or Pay条項: INPEXが届けられなければ損害賠償</w:t>
        <w:br/>
        <w:br/>
        <w:t>重要: Ichthys → 日本はスエズを通らないため、</w:t>
        <w:br/>
        <w:t xml:space="preserve">      SPA不履行リスクは【地政学ルート封鎖】より</w:t>
        <w:br/>
        <w:t xml:space="preserve">      【設備トラブル・天候・生産障害】由来が主</w:t>
      </w:r>
    </w:p>
    <w:p/>
    <w:p>
      <w:pPr>
        <w:pStyle w:val="Heading3"/>
      </w:pPr>
      <w:r>
        <w:rPr>
          <w:rFonts w:ascii="Meiryo UI" w:hAnsi="Meiryo UI"/>
          <w:color w:val="2E74B5"/>
        </w:rPr>
        <w:t>SPA不履行シナリオの試算</w:t>
      </w:r>
    </w:p>
    <w:p/>
    <w:p>
      <w:pPr>
        <w:shd w:val="clear" w:color="auto" w:fill="F2F2F2"/>
      </w:pPr>
      <w:r>
        <w:rPr>
          <w:rFonts w:ascii="Courier New" w:hAnsi="Courier New"/>
          <w:sz w:val="16"/>
        </w:rPr>
        <w:t>万一、Ichthys LNGの供給量が10%欠損した場合:</w:t>
        <w:br/>
        <w:t xml:space="preserve">  年間880万トン × 10% = 88万トンの不履行</w:t>
        <w:br/>
        <w:br/>
        <w:t>スポット代替コスト:</w:t>
        <w:br/>
        <w:t xml:space="preserve">  LNGスポット価格（2026年Q1推定）: 約12〜15ドル/MMBtu</w:t>
        <w:br/>
        <w:t xml:space="preserve">  LNG-SPA価格（JCCリンク、原油75ドル/bbl）: 約10〜11ドル/MMBtu</w:t>
        <w:br/>
        <w:t xml:space="preserve">  差分: ▲2〜4ドル/MMBtu</w:t>
        <w:br/>
        <w:br/>
        <w:t xml:space="preserve">  88万トン × 約54.7MMBtu/トン × 3ドル/MMBtu（中央値）</w:t>
        <w:br/>
        <w:t xml:space="preserve">  = 約14.4億ドル ≒ 約2,160億円の逸失利益 or 追加コスト</w:t>
        <w:br/>
        <w:br/>
        <w:t>ただし: Ichthys LNGの設備稼働率は近年改善し、</w:t>
        <w:br/>
        <w:t xml:space="preserve">         SPA不履行確率は通常時 約2〜3%、</w:t>
        <w:br/>
        <w:t xml:space="preserve">         重大事故時（カテゴリーIII）約10〜15%</w:t>
      </w:r>
    </w:p>
    <w:p/>
    <w:p>
      <w:pPr>
        <w:pStyle w:val="Heading3"/>
      </w:pPr>
      <w:r>
        <w:rPr>
          <w:rFonts w:ascii="Meiryo UI" w:hAnsi="Meiryo UI"/>
          <w:color w:val="2E74B5"/>
        </w:rPr>
        <w:t>③の結論</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SPA不履行率</w:t>
            </w:r>
          </w:p>
        </w:tc>
        <w:tc>
          <w:tcPr>
            <w:tcW w:type="dxa" w:w="2351"/>
            <w:shd w:val="clear" w:color="auto" w:fill="2E74B5"/>
          </w:tcPr>
          <w:p>
            <w:r>
              <w:rPr>
                <w:rFonts w:ascii="Meiryo UI" w:hAnsi="Meiryo UI"/>
                <w:b/>
                <w:color w:val="FFFFFF"/>
                <w:sz w:val="18"/>
              </w:rPr>
              <w:t>スポット代替コスト</w:t>
            </w:r>
          </w:p>
        </w:tc>
        <w:tc>
          <w:tcPr>
            <w:tcW w:type="dxa" w:w="2351"/>
            <w:shd w:val="clear" w:color="auto" w:fill="2E74B5"/>
          </w:tcPr>
          <w:p>
            <w:r>
              <w:rPr>
                <w:rFonts w:ascii="Meiryo UI" w:hAnsi="Meiryo UI"/>
                <w:b/>
                <w:color w:val="FFFFFF"/>
                <w:sz w:val="18"/>
              </w:rPr>
              <w:t>蓋然性</w:t>
            </w:r>
          </w:p>
        </w:tc>
      </w:tr>
      <w:tr>
        <w:tc>
          <w:tcPr>
            <w:tcW w:type="dxa" w:w="2351"/>
          </w:tcPr>
          <w:p>
            <w:r>
              <w:rPr>
                <w:rFonts w:ascii="Meiryo UI" w:hAnsi="Meiryo UI"/>
                <w:sz w:val="18"/>
              </w:rPr>
              <w:t>通常時</w:t>
            </w:r>
          </w:p>
        </w:tc>
        <w:tc>
          <w:tcPr>
            <w:tcW w:type="dxa" w:w="2351"/>
          </w:tcPr>
          <w:p>
            <w:r>
              <w:rPr>
                <w:rFonts w:ascii="Meiryo UI" w:hAnsi="Meiryo UI"/>
                <w:sz w:val="18"/>
              </w:rPr>
              <w:t>2〜3%</w:t>
            </w:r>
          </w:p>
        </w:tc>
        <w:tc>
          <w:tcPr>
            <w:tcW w:type="dxa" w:w="2351"/>
          </w:tcPr>
          <w:p>
            <w:r>
              <w:rPr>
                <w:rFonts w:ascii="Meiryo UI" w:hAnsi="Meiryo UI"/>
                <w:sz w:val="18"/>
              </w:rPr>
              <w:t>▲60〜130億円</w:t>
            </w:r>
          </w:p>
        </w:tc>
        <w:tc>
          <w:tcPr>
            <w:tcW w:type="dxa" w:w="2351"/>
          </w:tcPr>
          <w:p>
            <w:r>
              <w:rPr>
                <w:rFonts w:ascii="Meiryo UI" w:hAnsi="Meiryo UI"/>
                <w:sz w:val="18"/>
              </w:rPr>
              <w:t>70%</w:t>
            </w:r>
          </w:p>
        </w:tc>
      </w:tr>
      <w:tr>
        <w:tc>
          <w:tcPr>
            <w:tcW w:type="dxa" w:w="2351"/>
            <w:shd w:val="clear" w:color="auto" w:fill="DDEBF7"/>
          </w:tcPr>
          <w:p>
            <w:r>
              <w:rPr>
                <w:rFonts w:ascii="Meiryo UI" w:hAnsi="Meiryo UI"/>
                <w:sz w:val="18"/>
              </w:rPr>
              <w:t>中程度障害</w:t>
            </w:r>
          </w:p>
        </w:tc>
        <w:tc>
          <w:tcPr>
            <w:tcW w:type="dxa" w:w="2351"/>
            <w:shd w:val="clear" w:color="auto" w:fill="DDEBF7"/>
          </w:tcPr>
          <w:p>
            <w:r>
              <w:rPr>
                <w:rFonts w:ascii="Meiryo UI" w:hAnsi="Meiryo UI"/>
                <w:sz w:val="18"/>
              </w:rPr>
              <w:t>5〜7%</w:t>
            </w:r>
          </w:p>
        </w:tc>
        <w:tc>
          <w:tcPr>
            <w:tcW w:type="dxa" w:w="2351"/>
            <w:shd w:val="clear" w:color="auto" w:fill="DDEBF7"/>
          </w:tcPr>
          <w:p>
            <w:r>
              <w:rPr>
                <w:rFonts w:ascii="Meiryo UI" w:hAnsi="Meiryo UI"/>
                <w:sz w:val="18"/>
              </w:rPr>
              <w:t>▲150〜380億円</w:t>
            </w:r>
          </w:p>
        </w:tc>
        <w:tc>
          <w:tcPr>
            <w:tcW w:type="dxa" w:w="2351"/>
            <w:shd w:val="clear" w:color="auto" w:fill="DDEBF7"/>
          </w:tcPr>
          <w:p>
            <w:r>
              <w:rPr>
                <w:rFonts w:ascii="Meiryo UI" w:hAnsi="Meiryo UI"/>
                <w:sz w:val="18"/>
              </w:rPr>
              <w:t>20%</w:t>
            </w:r>
          </w:p>
        </w:tc>
      </w:tr>
      <w:tr>
        <w:tc>
          <w:tcPr>
            <w:tcW w:type="dxa" w:w="2351"/>
          </w:tcPr>
          <w:p>
            <w:r>
              <w:rPr>
                <w:rFonts w:ascii="Meiryo UI" w:hAnsi="Meiryo UI"/>
                <w:sz w:val="18"/>
              </w:rPr>
              <w:t>重大障害（天災・設備）</w:t>
            </w:r>
          </w:p>
        </w:tc>
        <w:tc>
          <w:tcPr>
            <w:tcW w:type="dxa" w:w="2351"/>
          </w:tcPr>
          <w:p>
            <w:r>
              <w:rPr>
                <w:rFonts w:ascii="Meiryo UI" w:hAnsi="Meiryo UI"/>
                <w:sz w:val="18"/>
              </w:rPr>
              <w:t>10〜15%</w:t>
            </w:r>
          </w:p>
        </w:tc>
        <w:tc>
          <w:tcPr>
            <w:tcW w:type="dxa" w:w="2351"/>
          </w:tcPr>
          <w:p>
            <w:r>
              <w:rPr>
                <w:rFonts w:ascii="Meiryo UI" w:hAnsi="Meiryo UI"/>
                <w:sz w:val="18"/>
              </w:rPr>
              <w:t>▲650〜1,100億円</w:t>
            </w:r>
          </w:p>
        </w:tc>
        <w:tc>
          <w:tcPr>
            <w:tcW w:type="dxa" w:w="2351"/>
          </w:tcPr>
          <w:p>
            <w:r>
              <w:rPr>
                <w:rFonts w:ascii="Meiryo UI" w:hAnsi="Meiryo UI"/>
                <w:sz w:val="18"/>
              </w:rPr>
              <w:t>10%</w:t>
            </w:r>
          </w:p>
        </w:tc>
      </w:tr>
    </w:tbl>
    <w:p/>
    <w:p>
      <w:r>
        <w:rPr>
          <w:rFonts w:ascii="Meiryo UI" w:hAnsi="Meiryo UI"/>
          <w:sz w:val="20"/>
        </w:rPr>
        <w:t>SPA不履行リスクの主因は地政学より「設備・天候」であることを明記。</w:t>
      </w:r>
    </w:p>
    <w:p/>
    <w:p>
      <w:r>
        <w:t>──────────────────────────────────────────────────</w:t>
      </w:r>
    </w:p>
    <w:p/>
    <w:p>
      <w:pPr>
        <w:pStyle w:val="Heading2"/>
      </w:pPr>
      <w:r>
        <w:rPr>
          <w:rFonts w:ascii="Meiryo UI" w:hAnsi="Meiryo UI"/>
          <w:color w:val="2E74B5"/>
        </w:rPr>
        <w:t>2.5 ④ 原油価格上昇プラスを相殺する「販売数量減少・機会損失シナリオ」の蓋然性</w:t>
      </w:r>
    </w:p>
    <w:p/>
    <w:p>
      <w:pPr>
        <w:pStyle w:val="Heading3"/>
      </w:pPr>
      <w:r>
        <w:rPr>
          <w:rFonts w:ascii="Meiryo UI" w:hAnsi="Meiryo UI"/>
          <w:color w:val="2E74B5"/>
        </w:rPr>
        <w:t>「価格↑・数量↓」の同時発生メカニズム</w:t>
      </w:r>
    </w:p>
    <w:p/>
    <w:p>
      <w:pPr>
        <w:shd w:val="clear" w:color="auto" w:fill="F2F2F2"/>
      </w:pPr>
      <w:r>
        <w:rPr>
          <w:rFonts w:ascii="Courier New" w:hAnsi="Courier New"/>
          <w:sz w:val="16"/>
        </w:rPr>
        <w:t>[中東有事発生]</w:t>
        <w:br/>
        <w:t xml:space="preserve">     │</w:t>
        <w:br/>
        <w:t xml:space="preserve">     ├─→ 原油価格上昇（+10〜20ドル/bbl）    → プラス効果</w:t>
        <w:br/>
        <w:t xml:space="preserve">     │</w:t>
        <w:br/>
        <w:t xml:space="preserve">     └─→ 物流混乱・生産制約</w:t>
        <w:br/>
        <w:t xml:space="preserve">              │</w:t>
        <w:br/>
        <w:t xml:space="preserve">              ├─→ タンカー不足・傭船料急騰    → コスト増</w:t>
        <w:br/>
        <w:t xml:space="preserve">              ├─→ 買い手サイドの受け取り遅延  → 計上ズレ</w:t>
        <w:br/>
        <w:t xml:space="preserve">              ├─→ スポット市場への転売困難    → 機会損失</w:t>
        <w:br/>
        <w:t xml:space="preserve">              └─→ 精製・仕向地での受け入れ拒否 → 在庫増</w:t>
      </w:r>
    </w:p>
    <w:p/>
    <w:p>
      <w:pPr>
        <w:pStyle w:val="Heading3"/>
      </w:pPr>
      <w:r>
        <w:rPr>
          <w:rFonts w:ascii="Meiryo UI" w:hAnsi="Meiryo UI"/>
          <w:color w:val="2E74B5"/>
        </w:rPr>
        <w:t>「価格↑相殺」の定量的蓋然性試算</w:t>
      </w:r>
    </w:p>
    <w:p/>
    <w:p>
      <w:pPr>
        <w:shd w:val="clear" w:color="auto" w:fill="F2F2F2"/>
      </w:pPr>
      <w:r>
        <w:rPr>
          <w:rFonts w:ascii="Courier New" w:hAnsi="Courier New"/>
          <w:sz w:val="16"/>
        </w:rPr>
        <w:t>シナリオ: 原油+15ドル/bbl上昇 &amp; ACG数量▲10%</w:t>
        <w:br/>
        <w:br/>
        <w:t>プラス効果（原油価格↑）:</w:t>
        <w:br/>
        <w:t xml:space="preserve">  ACG権益産油量: 13.2万bbl/日 × 365日 = 4,818万bbl/年</w:t>
        <w:br/>
        <w:t xml:space="preserve">  +15ドル/bbl効果: 4,818万 × 15 = 7.2億ドル ≒ 1,080億円</w:t>
        <w:br/>
        <w:br/>
        <w:t>マイナス効果（数量▲10%）:</w:t>
        <w:br/>
        <w:t xml:space="preserve">  4,818万 × 10% × 75ドル/bbl（元値）</w:t>
        <w:br/>
        <w:t xml:space="preserve">  = 3.6億ドル ≒ 540億円の機会損失</w:t>
        <w:br/>
        <w:br/>
        <w:t xml:space="preserve">  + 傭船料急騰: ▲67億円</w:t>
        <w:br/>
        <w:t xml:space="preserve">  + 運転資本コスト: ▲26億円</w:t>
        <w:br/>
        <w:t xml:space="preserve">  + その他: ▲30億円</w:t>
        <w:br/>
        <w:br/>
        <w:t>ネット効果:</w:t>
        <w:br/>
        <w:t xml:space="preserve">  +1,080億 ▲663億 = +417億円（純プラスだが「幻想」の半分が消える）</w:t>
      </w:r>
    </w:p>
    <w:p/>
    <w:p>
      <w:pPr>
        <w:pStyle w:val="Heading3"/>
      </w:pPr>
      <w:r>
        <w:rPr>
          <w:rFonts w:ascii="Meiryo UI" w:hAnsi="Meiryo UI"/>
          <w:color w:val="2E74B5"/>
        </w:rPr>
        <w:t>「完全相殺シナリオ」の蓋然性</w:t>
      </w:r>
    </w:p>
    <w:p/>
    <w:p>
      <w:pPr>
        <w:shd w:val="clear" w:color="auto" w:fill="F2F2F2"/>
      </w:pPr>
      <w:r>
        <w:rPr>
          <w:rFonts w:ascii="Courier New" w:hAnsi="Courier New"/>
          <w:sz w:val="16"/>
        </w:rPr>
        <w:t>完全相殺が起きる条件:</w:t>
        <w:br/>
        <w:t xml:space="preserve">  ① 数量減少 ▲20%以上</w:t>
        <w:br/>
        <w:t xml:space="preserve">  ② 傭船料 5倍以上（2024年紅海ピーク並み）</w:t>
        <w:br/>
        <w:t xml:space="preserve">  ③ SPA不履行によるペナルティ発生</w:t>
        <w:br/>
        <w:br/>
        <w:t>この3条件が同時成立する確率:</w:t>
        <w:br/>
        <w:t xml:space="preserve">  ① 単独: 15%</w:t>
        <w:br/>
        <w:t xml:space="preserve">  ② 単独: 25%</w:t>
        <w:br/>
        <w:t xml:space="preserve">  ③ 単独: 10%</w:t>
        <w:br/>
        <w:t xml:space="preserve">  ③ 同時成立（保守推定）: 約5〜8%</w:t>
      </w:r>
    </w:p>
    <w:p/>
    <w:p>
      <w:r>
        <w:rPr>
          <w:rFonts w:ascii="Meiryo UI" w:hAnsi="Meiryo UI"/>
          <w:sz w:val="20"/>
        </w:rPr>
        <w:t>④の結論：「価格上昇プラスを完全相殺する物流崩壊」の蓋然性 → 約5〜8%</w:t>
      </w:r>
    </w:p>
    <w:p>
      <w:r>
        <w:rPr>
          <w:rFonts w:ascii="Meiryo UI" w:hAnsi="Meiryo UI"/>
          <w:sz w:val="20"/>
        </w:rPr>
        <w:t>「部分的相殺（プラス効果の30〜50%が削減）」の蓋然性 → 約35〜45%</w:t>
      </w:r>
    </w:p>
    <w:p/>
    <w:p>
      <w:r>
        <w:t>──────────────────────────────────────────────────</w:t>
      </w:r>
    </w:p>
    <w:p/>
    <w:p>
      <w:pPr>
        <w:pStyle w:val="Heading2"/>
      </w:pPr>
      <w:r>
        <w:rPr>
          <w:rFonts w:ascii="Meiryo UI" w:hAnsi="Meiryo UI"/>
          <w:color w:val="2E74B5"/>
        </w:rPr>
        <w:t>2.6 ⑤ 「中東リスク＝資源高でプラス」二元論を排した真のMoS再定義</w:t>
      </w:r>
    </w:p>
    <w:p/>
    <w:p>
      <w:pPr>
        <w:pStyle w:val="Heading3"/>
      </w:pPr>
      <w:r>
        <w:rPr>
          <w:rFonts w:ascii="Meiryo UI" w:hAnsi="Meiryo UI"/>
          <w:color w:val="2E74B5"/>
        </w:rPr>
        <w:t>二元論の欠陥整理</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二元論の前提（誤）</w:t>
            </w:r>
          </w:p>
        </w:tc>
        <w:tc>
          <w:tcPr>
            <w:tcW w:type="dxa" w:w="4703"/>
            <w:shd w:val="clear" w:color="auto" w:fill="2E74B5"/>
          </w:tcPr>
          <w:p>
            <w:r>
              <w:rPr>
                <w:rFonts w:ascii="Meiryo UI" w:hAnsi="Meiryo UI"/>
                <w:b/>
                <w:color w:val="FFFFFF"/>
                <w:sz w:val="18"/>
              </w:rPr>
              <w:t>現実</w:t>
            </w:r>
          </w:p>
        </w:tc>
      </w:tr>
      <w:tr>
        <w:tc>
          <w:tcPr>
            <w:tcW w:type="dxa" w:w="4703"/>
          </w:tcPr>
          <w:p>
            <w:r>
              <w:rPr>
                <w:rFonts w:ascii="Meiryo UI" w:hAnsi="Meiryo UI"/>
                <w:sz w:val="18"/>
              </w:rPr>
              <w:t>中東有事→全石油高</w:t>
            </w:r>
          </w:p>
        </w:tc>
        <w:tc>
          <w:tcPr>
            <w:tcW w:type="dxa" w:w="4703"/>
          </w:tcPr>
          <w:p>
            <w:r>
              <w:rPr>
                <w:rFonts w:ascii="Meiryo UI" w:hAnsi="Meiryo UI"/>
                <w:sz w:val="18"/>
              </w:rPr>
              <w:t>生産地・輸送路によって価格受益が異なる</w:t>
            </w:r>
          </w:p>
        </w:tc>
      </w:tr>
      <w:tr>
        <w:tc>
          <w:tcPr>
            <w:tcW w:type="dxa" w:w="4703"/>
            <w:shd w:val="clear" w:color="auto" w:fill="DDEBF7"/>
          </w:tcPr>
          <w:p>
            <w:r>
              <w:rPr>
                <w:rFonts w:ascii="Meiryo UI" w:hAnsi="Meiryo UI"/>
                <w:sz w:val="18"/>
              </w:rPr>
              <w:t>価格高→INPEX増益</w:t>
            </w:r>
          </w:p>
        </w:tc>
        <w:tc>
          <w:tcPr>
            <w:tcW w:type="dxa" w:w="4703"/>
            <w:shd w:val="clear" w:color="auto" w:fill="DDEBF7"/>
          </w:tcPr>
          <w:p>
            <w:r>
              <w:rPr>
                <w:rFonts w:ascii="Meiryo UI" w:hAnsi="Meiryo UI"/>
                <w:sz w:val="18"/>
              </w:rPr>
              <w:t>コスト増（傭船・在庫・ペナルティ）が同時発生</w:t>
            </w:r>
          </w:p>
        </w:tc>
      </w:tr>
      <w:tr>
        <w:tc>
          <w:tcPr>
            <w:tcW w:type="dxa" w:w="4703"/>
          </w:tcPr>
          <w:p>
            <w:r>
              <w:rPr>
                <w:rFonts w:ascii="Meiryo UI" w:hAnsi="Meiryo UI"/>
                <w:sz w:val="18"/>
              </w:rPr>
              <w:t>Ichthysは安全</w:t>
            </w:r>
          </w:p>
        </w:tc>
        <w:tc>
          <w:tcPr>
            <w:tcW w:type="dxa" w:w="4703"/>
          </w:tcPr>
          <w:p>
            <w:r>
              <w:rPr>
                <w:rFonts w:ascii="Meiryo UI" w:hAnsi="Meiryo UI"/>
                <w:sz w:val="18"/>
              </w:rPr>
              <w:t>✓ルート安全だがBrent価格との乖離（LNG-JCC連動ラグ）あり</w:t>
            </w:r>
          </w:p>
        </w:tc>
      </w:tr>
      <w:tr>
        <w:tc>
          <w:tcPr>
            <w:tcW w:type="dxa" w:w="4703"/>
            <w:shd w:val="clear" w:color="auto" w:fill="DDEBF7"/>
          </w:tcPr>
          <w:p>
            <w:r>
              <w:rPr>
                <w:rFonts w:ascii="Meiryo UI" w:hAnsi="Meiryo UI"/>
                <w:sz w:val="18"/>
              </w:rPr>
              <w:t>数量は保証される</w:t>
            </w:r>
          </w:p>
        </w:tc>
        <w:tc>
          <w:tcPr>
            <w:tcW w:type="dxa" w:w="4703"/>
            <w:shd w:val="clear" w:color="auto" w:fill="DDEBF7"/>
          </w:tcPr>
          <w:p>
            <w:r>
              <w:rPr>
                <w:rFonts w:ascii="Meiryo UI" w:hAnsi="Meiryo UI"/>
                <w:sz w:val="18"/>
              </w:rPr>
              <w:t>SPA・操業リスク・物流制約で変動しうる</w:t>
            </w:r>
          </w:p>
        </w:tc>
      </w:tr>
      <w:tr>
        <w:tc>
          <w:tcPr>
            <w:tcW w:type="dxa" w:w="4703"/>
          </w:tcPr>
          <w:p>
            <w:r>
              <w:rPr>
                <w:rFonts w:ascii="Meiryo UI" w:hAnsi="Meiryo UI"/>
                <w:sz w:val="18"/>
              </w:rPr>
              <w:t>為替プラス一方向</w:t>
            </w:r>
          </w:p>
        </w:tc>
        <w:tc>
          <w:tcPr>
            <w:tcW w:type="dxa" w:w="4703"/>
          </w:tcPr>
          <w:p>
            <w:r>
              <w:rPr>
                <w:rFonts w:ascii="Meiryo UI" w:hAnsi="Meiryo UI"/>
                <w:sz w:val="18"/>
              </w:rPr>
              <w:t>円高転換（有事=円買い）リスクも内包</w:t>
            </w:r>
          </w:p>
        </w:tc>
      </w:tr>
    </w:tbl>
    <w:p/>
    <w:p>
      <w:pPr>
        <w:pStyle w:val="Heading3"/>
      </w:pPr>
      <w:r>
        <w:rPr>
          <w:rFonts w:ascii="Meiryo UI" w:hAnsi="Meiryo UI"/>
          <w:color w:val="2E74B5"/>
        </w:rPr>
        <w:t>真のMoS（安全域）再定義</w:t>
      </w:r>
    </w:p>
    <w:p/>
    <w:p>
      <w:r>
        <w:rPr>
          <w:rFonts w:ascii="Meiryo UI" w:hAnsi="Meiryo UI"/>
          <w:sz w:val="20"/>
        </w:rPr>
        <w:t>従来の（単純）MoS計算:</w:t>
      </w:r>
    </w:p>
    <w:p>
      <w:pPr>
        <w:shd w:val="clear" w:color="auto" w:fill="F2F2F2"/>
      </w:pPr>
      <w:r>
        <w:rPr>
          <w:rFonts w:ascii="Courier New" w:hAnsi="Courier New"/>
          <w:sz w:val="16"/>
        </w:rPr>
        <w:t>MoS = (理論株価 - 現在株価) / 理論株価</w:t>
      </w:r>
    </w:p>
    <w:p/>
    <w:p>
      <w:r>
        <w:rPr>
          <w:rFonts w:ascii="Meiryo UI" w:hAnsi="Meiryo UI"/>
          <w:sz w:val="20"/>
        </w:rPr>
        <w:t>深井版・修正MoS（ロジスティクス・ストレス調整後）:</w:t>
      </w:r>
    </w:p>
    <w:p>
      <w:pPr>
        <w:shd w:val="clear" w:color="auto" w:fill="F2F2F2"/>
      </w:pPr>
      <w:r>
        <w:rPr>
          <w:rFonts w:ascii="Courier New" w:hAnsi="Courier New"/>
          <w:sz w:val="16"/>
        </w:rPr>
        <w:t>Stress-Adjusted MoS = MoS × (1 - P_logistics_shock × Impact_ratio)</w:t>
        <w:br/>
        <w:br/>
        <w:t>P_logistics_shock（複合ロジスティクスショック確率）= 25〜35%</w:t>
        <w:br/>
        <w:t>Impact_ratio（ショック時のFCF毀損率）= 15〜25%</w:t>
        <w:br/>
        <w:br/>
        <w:t>例:</w:t>
        <w:br/>
        <w:t xml:space="preserve">  単純MoS = 30%（後述DCF結果より）</w:t>
        <w:br/>
        <w:t xml:space="preserve">  Stress-Adjusted MoS = 30% × (1 - 0.30 × 0.20)</w:t>
        <w:br/>
        <w:t xml:space="preserve">                      = 30% × 0.94</w:t>
        <w:br/>
        <w:t xml:space="preserve">                      = 約28.2%</w:t>
      </w:r>
    </w:p>
    <w:p/>
    <w:p>
      <w:pPr>
        <w:pStyle w:val="Heading3"/>
      </w:pPr>
      <w:r>
        <w:rPr>
          <w:rFonts w:ascii="Meiryo UI" w:hAnsi="Meiryo UI"/>
          <w:color w:val="2E74B5"/>
        </w:rPr>
        <w:t>「物流崩壊による減収減益シナリオ」の蓋然性【社長指示回答】</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シナリオ分類</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蓋然性（%）</w:t>
            </w:r>
          </w:p>
        </w:tc>
      </w:tr>
      <w:tr>
        <w:tc>
          <w:tcPr>
            <w:tcW w:type="dxa" w:w="3135"/>
          </w:tcPr>
          <w:p>
            <w:r>
              <w:rPr>
                <w:rFonts w:ascii="Meiryo UI" w:hAnsi="Meiryo UI"/>
                <w:sz w:val="18"/>
              </w:rPr>
              <w:t>軽微ロジスティクス障害</w:t>
            </w:r>
          </w:p>
        </w:tc>
        <w:tc>
          <w:tcPr>
            <w:tcW w:type="dxa" w:w="3135"/>
          </w:tcPr>
          <w:p>
            <w:r>
              <w:rPr>
                <w:rFonts w:ascii="Meiryo UI" w:hAnsi="Meiryo UI"/>
                <w:sz w:val="18"/>
              </w:rPr>
              <w:t>傭船料高騰のみ、数量変化なし</w:t>
            </w:r>
          </w:p>
        </w:tc>
        <w:tc>
          <w:tcPr>
            <w:tcW w:type="dxa" w:w="3135"/>
          </w:tcPr>
          <w:p>
            <w:r>
              <w:rPr>
                <w:rFonts w:ascii="Meiryo UI" w:hAnsi="Meiryo UI"/>
                <w:sz w:val="18"/>
              </w:rPr>
              <w:t>40%</w:t>
            </w:r>
          </w:p>
        </w:tc>
      </w:tr>
      <w:tr>
        <w:tc>
          <w:tcPr>
            <w:tcW w:type="dxa" w:w="3135"/>
            <w:shd w:val="clear" w:color="auto" w:fill="DDEBF7"/>
          </w:tcPr>
          <w:p>
            <w:r>
              <w:rPr>
                <w:rFonts w:ascii="Meiryo UI" w:hAnsi="Meiryo UI"/>
                <w:sz w:val="18"/>
              </w:rPr>
              <w:t>中程度ロジスティクス障害</w:t>
            </w:r>
          </w:p>
        </w:tc>
        <w:tc>
          <w:tcPr>
            <w:tcW w:type="dxa" w:w="3135"/>
            <w:shd w:val="clear" w:color="auto" w:fill="DDEBF7"/>
          </w:tcPr>
          <w:p>
            <w:r>
              <w:rPr>
                <w:rFonts w:ascii="Meiryo UI" w:hAnsi="Meiryo UI"/>
                <w:sz w:val="18"/>
              </w:rPr>
              <w:t>傭船料急騰＋数量▲5〜10%、営業利益▲3〜8%</w:t>
            </w:r>
          </w:p>
        </w:tc>
        <w:tc>
          <w:tcPr>
            <w:tcW w:type="dxa" w:w="3135"/>
            <w:shd w:val="clear" w:color="auto" w:fill="DDEBF7"/>
          </w:tcPr>
          <w:p>
            <w:r>
              <w:rPr>
                <w:rFonts w:ascii="Meiryo UI" w:hAnsi="Meiryo UI"/>
                <w:sz w:val="18"/>
              </w:rPr>
              <w:t>30%</w:t>
            </w:r>
          </w:p>
        </w:tc>
      </w:tr>
      <w:tr>
        <w:tc>
          <w:tcPr>
            <w:tcW w:type="dxa" w:w="3135"/>
          </w:tcPr>
          <w:p>
            <w:r>
              <w:rPr>
                <w:rFonts w:ascii="Meiryo UI" w:hAnsi="Meiryo UI"/>
                <w:sz w:val="18"/>
              </w:rPr>
              <w:t>重大ロジスティクス障害</w:t>
            </w:r>
          </w:p>
        </w:tc>
        <w:tc>
          <w:tcPr>
            <w:tcW w:type="dxa" w:w="3135"/>
          </w:tcPr>
          <w:p>
            <w:r>
              <w:rPr>
                <w:rFonts w:ascii="Meiryo UI" w:hAnsi="Meiryo UI"/>
                <w:sz w:val="18"/>
              </w:rPr>
              <w:t>SPA一部不履行＋数量▲15%、営業利益▲10〜20%</w:t>
            </w:r>
          </w:p>
        </w:tc>
        <w:tc>
          <w:tcPr>
            <w:tcW w:type="dxa" w:w="3135"/>
          </w:tcPr>
          <w:p>
            <w:r>
              <w:rPr>
                <w:rFonts w:ascii="Meiryo UI" w:hAnsi="Meiryo UI"/>
                <w:sz w:val="18"/>
              </w:rPr>
              <w:t>15%</w:t>
            </w:r>
          </w:p>
        </w:tc>
      </w:tr>
      <w:tr>
        <w:tc>
          <w:tcPr>
            <w:tcW w:type="dxa" w:w="3135"/>
            <w:shd w:val="clear" w:color="auto" w:fill="DDEBF7"/>
          </w:tcPr>
          <w:p>
            <w:r>
              <w:rPr>
                <w:rFonts w:ascii="Meiryo UI" w:hAnsi="Meiryo UI"/>
                <w:sz w:val="18"/>
              </w:rPr>
              <w:t>物流崩壊（壊滅的）</w:t>
            </w:r>
          </w:p>
        </w:tc>
        <w:tc>
          <w:tcPr>
            <w:tcW w:type="dxa" w:w="3135"/>
            <w:shd w:val="clear" w:color="auto" w:fill="DDEBF7"/>
          </w:tcPr>
          <w:p>
            <w:r>
              <w:rPr>
                <w:rFonts w:ascii="Meiryo UI" w:hAnsi="Meiryo UI"/>
                <w:sz w:val="18"/>
              </w:rPr>
              <w:t>ホルムズ全封鎖＋Ichthys設備事故同時発生、営業利益▲30%超</w:t>
            </w:r>
          </w:p>
        </w:tc>
        <w:tc>
          <w:tcPr>
            <w:tcW w:type="dxa" w:w="3135"/>
            <w:shd w:val="clear" w:color="auto" w:fill="DDEBF7"/>
          </w:tcPr>
          <w:p>
            <w:r>
              <w:rPr>
                <w:rFonts w:ascii="Meiryo UI" w:hAnsi="Meiryo UI"/>
                <w:sz w:val="18"/>
              </w:rPr>
              <w:t>5%</w:t>
            </w:r>
          </w:p>
        </w:tc>
      </w:tr>
      <w:tr>
        <w:tc>
          <w:tcPr>
            <w:tcW w:type="dxa" w:w="3135"/>
          </w:tcPr>
          <w:p>
            <w:r>
              <w:rPr>
                <w:rFonts w:ascii="Meiryo UI" w:hAnsi="Meiryo UI"/>
                <w:sz w:val="18"/>
              </w:rPr>
              <w:t>影響なし（ベースライン）</w:t>
            </w:r>
          </w:p>
        </w:tc>
        <w:tc>
          <w:tcPr>
            <w:tcW w:type="dxa" w:w="3135"/>
          </w:tcPr>
          <w:p>
            <w:r>
              <w:rPr>
                <w:rFonts w:ascii="Meiryo UI" w:hAnsi="Meiryo UI"/>
                <w:sz w:val="18"/>
              </w:rPr>
              <w:t>物流正常、価格のみの変動</w:t>
            </w:r>
          </w:p>
        </w:tc>
        <w:tc>
          <w:tcPr>
            <w:tcW w:type="dxa" w:w="3135"/>
          </w:tcPr>
          <w:p>
            <w:r>
              <w:rPr>
                <w:rFonts w:ascii="Meiryo UI" w:hAnsi="Meiryo UI"/>
                <w:sz w:val="18"/>
              </w:rPr>
              <w:t>10%</w:t>
            </w:r>
          </w:p>
        </w:tc>
      </w:tr>
    </w:tbl>
    <w:p/>
    <w:p>
      <w:r>
        <w:rPr>
          <w:rFonts w:ascii="Meiryo UI" w:hAnsi="Meiryo UI"/>
          <w:sz w:val="20"/>
        </w:rPr>
        <w:t>&gt; 深井結論: 「減収減益シナリオ」（中程度以上）の合計蓋然性は50%。うち「重大以上（物流崩壊）」は20%。浅井速報+98のBUY判断を支える「ロジスティクス安全神話」には統計的根拠が不十分であり、リスクプレミアムの過小評価を指摘する。</w:t>
      </w:r>
    </w:p>
    <w:p/>
    <w:p>
      <w:r>
        <w:t>──────────────────────────────────────────────────</w:t>
      </w:r>
    </w:p>
    <w:p/>
    <w:p>
      <w:pPr>
        <w:pStyle w:val="Heading1"/>
      </w:pPr>
      <w:r>
        <w:rPr>
          <w:rFonts w:ascii="Meiryo UI" w:hAnsi="Meiryo UI"/>
          <w:color w:val="1F3864"/>
        </w:rPr>
        <w:t>3. 財務ハイライト</w:t>
      </w:r>
    </w:p>
    <w:p/>
    <w:p>
      <w:pPr>
        <w:pStyle w:val="Heading2"/>
      </w:pPr>
      <w:r>
        <w:rPr>
          <w:rFonts w:ascii="Meiryo UI" w:hAnsi="Meiryo UI"/>
          <w:color w:val="2E74B5"/>
        </w:rPr>
        <w:t>3.1 直近FY実績（FY2024推定）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FY2022</w:t>
            </w:r>
          </w:p>
        </w:tc>
        <w:tc>
          <w:tcPr>
            <w:tcW w:type="dxa" w:w="1881"/>
            <w:shd w:val="clear" w:color="auto" w:fill="2E74B5"/>
          </w:tcPr>
          <w:p>
            <w:r>
              <w:rPr>
                <w:rFonts w:ascii="Meiryo UI" w:hAnsi="Meiryo UI"/>
                <w:b/>
                <w:color w:val="FFFFFF"/>
                <w:sz w:val="18"/>
              </w:rPr>
              <w:t>FY2023</w:t>
            </w:r>
          </w:p>
        </w:tc>
        <w:tc>
          <w:tcPr>
            <w:tcW w:type="dxa" w:w="1881"/>
            <w:shd w:val="clear" w:color="auto" w:fill="2E74B5"/>
          </w:tcPr>
          <w:p>
            <w:r>
              <w:rPr>
                <w:rFonts w:ascii="Meiryo UI" w:hAnsi="Meiryo UI"/>
                <w:b/>
                <w:color w:val="FFFFFF"/>
                <w:sz w:val="18"/>
              </w:rPr>
              <w:t>FY2024推定</w:t>
            </w:r>
          </w:p>
        </w:tc>
        <w:tc>
          <w:tcPr>
            <w:tcW w:type="dxa" w:w="1881"/>
            <w:shd w:val="clear" w:color="auto" w:fill="2E74B5"/>
          </w:tcPr>
          <w:p>
            <w:r>
              <w:rPr>
                <w:rFonts w:ascii="Meiryo UI" w:hAnsi="Meiryo UI"/>
                <w:b/>
                <w:color w:val="FFFFFF"/>
                <w:sz w:val="18"/>
              </w:rPr>
              <w:t>YoY変化</w:t>
            </w:r>
          </w:p>
        </w:tc>
      </w:tr>
      <w:tr>
        <w:tc>
          <w:tcPr>
            <w:tcW w:type="dxa" w:w="1881"/>
          </w:tcPr>
          <w:p>
            <w:r>
              <w:rPr>
                <w:rFonts w:ascii="Meiryo UI" w:hAnsi="Meiryo UI"/>
                <w:sz w:val="18"/>
              </w:rPr>
              <w:t>売上高（億円）</w:t>
            </w:r>
          </w:p>
        </w:tc>
        <w:tc>
          <w:tcPr>
            <w:tcW w:type="dxa" w:w="1881"/>
          </w:tcPr>
          <w:p>
            <w:r>
              <w:rPr>
                <w:rFonts w:ascii="Meiryo UI" w:hAnsi="Meiryo UI"/>
                <w:sz w:val="18"/>
              </w:rPr>
              <w:t>37,500</w:t>
            </w:r>
          </w:p>
        </w:tc>
        <w:tc>
          <w:tcPr>
            <w:tcW w:type="dxa" w:w="1881"/>
          </w:tcPr>
          <w:p>
            <w:r>
              <w:rPr>
                <w:rFonts w:ascii="Meiryo UI" w:hAnsi="Meiryo UI"/>
                <w:sz w:val="18"/>
              </w:rPr>
              <w:t>32,000</w:t>
            </w:r>
          </w:p>
        </w:tc>
        <w:tc>
          <w:tcPr>
            <w:tcW w:type="dxa" w:w="1881"/>
          </w:tcPr>
          <w:p>
            <w:r>
              <w:rPr>
                <w:rFonts w:ascii="Meiryo UI" w:hAnsi="Meiryo UI"/>
                <w:sz w:val="18"/>
              </w:rPr>
              <w:t>28,000〜30,000</w:t>
            </w:r>
          </w:p>
        </w:tc>
        <w:tc>
          <w:tcPr>
            <w:tcW w:type="dxa" w:w="1881"/>
          </w:tcPr>
          <w:p>
            <w:r>
              <w:rPr>
                <w:rFonts w:ascii="Meiryo UI" w:hAnsi="Meiryo UI"/>
                <w:sz w:val="18"/>
              </w:rPr>
              <w:t>▲6〜12%</w:t>
            </w:r>
          </w:p>
        </w:tc>
      </w:tr>
      <w:tr>
        <w:tc>
          <w:tcPr>
            <w:tcW w:type="dxa" w:w="1881"/>
            <w:shd w:val="clear" w:color="auto" w:fill="DDEBF7"/>
          </w:tcPr>
          <w:p>
            <w:r>
              <w:rPr>
                <w:rFonts w:ascii="Meiryo UI" w:hAnsi="Meiryo UI"/>
                <w:sz w:val="18"/>
              </w:rPr>
              <w:t>営業利益（億円）</w:t>
            </w:r>
          </w:p>
        </w:tc>
        <w:tc>
          <w:tcPr>
            <w:tcW w:type="dxa" w:w="1881"/>
            <w:shd w:val="clear" w:color="auto" w:fill="DDEBF7"/>
          </w:tcPr>
          <w:p>
            <w:r>
              <w:rPr>
                <w:rFonts w:ascii="Meiryo UI" w:hAnsi="Meiryo UI"/>
                <w:sz w:val="18"/>
              </w:rPr>
              <w:t>16,000</w:t>
            </w:r>
          </w:p>
        </w:tc>
        <w:tc>
          <w:tcPr>
            <w:tcW w:type="dxa" w:w="1881"/>
            <w:shd w:val="clear" w:color="auto" w:fill="DDEBF7"/>
          </w:tcPr>
          <w:p>
            <w:r>
              <w:rPr>
                <w:rFonts w:ascii="Meiryo UI" w:hAnsi="Meiryo UI"/>
                <w:sz w:val="18"/>
              </w:rPr>
              <w:t>11,500</w:t>
            </w:r>
          </w:p>
        </w:tc>
        <w:tc>
          <w:tcPr>
            <w:tcW w:type="dxa" w:w="1881"/>
            <w:shd w:val="clear" w:color="auto" w:fill="DDEBF7"/>
          </w:tcPr>
          <w:p>
            <w:r>
              <w:rPr>
                <w:rFonts w:ascii="Meiryo UI" w:hAnsi="Meiryo UI"/>
                <w:sz w:val="18"/>
              </w:rPr>
              <w:t>7,500〜8,500</w:t>
            </w:r>
          </w:p>
        </w:tc>
        <w:tc>
          <w:tcPr>
            <w:tcW w:type="dxa" w:w="1881"/>
            <w:shd w:val="clear" w:color="auto" w:fill="DDEBF7"/>
          </w:tcPr>
          <w:p>
            <w:r>
              <w:rPr>
                <w:rFonts w:ascii="Meiryo UI" w:hAnsi="Meiryo UI"/>
                <w:sz w:val="18"/>
              </w:rPr>
              <w:t>▲26〜35%</w:t>
            </w:r>
          </w:p>
        </w:tc>
      </w:tr>
      <w:tr>
        <w:tc>
          <w:tcPr>
            <w:tcW w:type="dxa" w:w="1881"/>
          </w:tcPr>
          <w:p>
            <w:r>
              <w:rPr>
                <w:rFonts w:ascii="Meiryo UI" w:hAnsi="Meiryo UI"/>
                <w:sz w:val="18"/>
              </w:rPr>
              <w:t>営業利益率（%）</w:t>
            </w:r>
          </w:p>
        </w:tc>
        <w:tc>
          <w:tcPr>
            <w:tcW w:type="dxa" w:w="1881"/>
          </w:tcPr>
          <w:p>
            <w:r>
              <w:rPr>
                <w:rFonts w:ascii="Meiryo UI" w:hAnsi="Meiryo UI"/>
                <w:sz w:val="18"/>
              </w:rPr>
              <w:t>42.7%</w:t>
            </w:r>
          </w:p>
        </w:tc>
        <w:tc>
          <w:tcPr>
            <w:tcW w:type="dxa" w:w="1881"/>
          </w:tcPr>
          <w:p>
            <w:r>
              <w:rPr>
                <w:rFonts w:ascii="Meiryo UI" w:hAnsi="Meiryo UI"/>
                <w:sz w:val="18"/>
              </w:rPr>
              <w:t>35.9%</w:t>
            </w:r>
          </w:p>
        </w:tc>
        <w:tc>
          <w:tcPr>
            <w:tcW w:type="dxa" w:w="1881"/>
          </w:tcPr>
          <w:p>
            <w:r>
              <w:rPr>
                <w:rFonts w:ascii="Meiryo UI" w:hAnsi="Meiryo UI"/>
                <w:sz w:val="18"/>
              </w:rPr>
              <w:t>27〜28%</w:t>
            </w:r>
          </w:p>
        </w:tc>
        <w:tc>
          <w:tcPr>
            <w:tcW w:type="dxa" w:w="1881"/>
          </w:tcPr>
          <w:p>
            <w:r>
              <w:rPr>
                <w:rFonts w:ascii="Meiryo UI" w:hAnsi="Meiryo UI"/>
                <w:sz w:val="18"/>
              </w:rPr>
              <w:t>縮小</w:t>
            </w:r>
          </w:p>
        </w:tc>
      </w:tr>
      <w:tr>
        <w:tc>
          <w:tcPr>
            <w:tcW w:type="dxa" w:w="1881"/>
            <w:shd w:val="clear" w:color="auto" w:fill="DDEBF7"/>
          </w:tcPr>
          <w:p>
            <w:r>
              <w:rPr>
                <w:rFonts w:ascii="Meiryo UI" w:hAnsi="Meiryo UI"/>
                <w:sz w:val="18"/>
              </w:rPr>
              <w:t>当期純利益（億円）</w:t>
            </w:r>
          </w:p>
        </w:tc>
        <w:tc>
          <w:tcPr>
            <w:tcW w:type="dxa" w:w="1881"/>
            <w:shd w:val="clear" w:color="auto" w:fill="DDEBF7"/>
          </w:tcPr>
          <w:p>
            <w:r>
              <w:rPr>
                <w:rFonts w:ascii="Meiryo UI" w:hAnsi="Meiryo UI"/>
                <w:sz w:val="18"/>
              </w:rPr>
              <w:t>9,000</w:t>
            </w:r>
          </w:p>
        </w:tc>
        <w:tc>
          <w:tcPr>
            <w:tcW w:type="dxa" w:w="1881"/>
            <w:shd w:val="clear" w:color="auto" w:fill="DDEBF7"/>
          </w:tcPr>
          <w:p>
            <w:r>
              <w:rPr>
                <w:rFonts w:ascii="Meiryo UI" w:hAnsi="Meiryo UI"/>
                <w:sz w:val="18"/>
              </w:rPr>
              <w:t>7,000</w:t>
            </w:r>
          </w:p>
        </w:tc>
        <w:tc>
          <w:tcPr>
            <w:tcW w:type="dxa" w:w="1881"/>
            <w:shd w:val="clear" w:color="auto" w:fill="DDEBF7"/>
          </w:tcPr>
          <w:p>
            <w:r>
              <w:rPr>
                <w:rFonts w:ascii="Meiryo UI" w:hAnsi="Meiryo UI"/>
                <w:sz w:val="18"/>
              </w:rPr>
              <w:t>4,800〜5,500</w:t>
            </w:r>
          </w:p>
        </w:tc>
        <w:tc>
          <w:tcPr>
            <w:tcW w:type="dxa" w:w="1881"/>
            <w:shd w:val="clear" w:color="auto" w:fill="DDEBF7"/>
          </w:tcPr>
          <w:p>
            <w:r>
              <w:rPr>
                <w:rFonts w:ascii="Meiryo UI" w:hAnsi="Meiryo UI"/>
                <w:sz w:val="18"/>
              </w:rPr>
              <w:t>▲21〜31%</w:t>
            </w:r>
          </w:p>
        </w:tc>
      </w:tr>
      <w:tr>
        <w:tc>
          <w:tcPr>
            <w:tcW w:type="dxa" w:w="1881"/>
          </w:tcPr>
          <w:p>
            <w:r>
              <w:rPr>
                <w:rFonts w:ascii="Meiryo UI" w:hAnsi="Meiryo UI"/>
                <w:sz w:val="18"/>
              </w:rPr>
              <w:t>FCF（億円）</w:t>
            </w:r>
          </w:p>
        </w:tc>
        <w:tc>
          <w:tcPr>
            <w:tcW w:type="dxa" w:w="1881"/>
          </w:tcPr>
          <w:p>
            <w:r>
              <w:rPr>
                <w:rFonts w:ascii="Meiryo UI" w:hAnsi="Meiryo UI"/>
                <w:sz w:val="18"/>
              </w:rPr>
              <w:t>12,000</w:t>
            </w:r>
          </w:p>
        </w:tc>
        <w:tc>
          <w:tcPr>
            <w:tcW w:type="dxa" w:w="1881"/>
          </w:tcPr>
          <w:p>
            <w:r>
              <w:rPr>
                <w:rFonts w:ascii="Meiryo UI" w:hAnsi="Meiryo UI"/>
                <w:sz w:val="18"/>
              </w:rPr>
              <w:t>9,000</w:t>
            </w:r>
          </w:p>
        </w:tc>
        <w:tc>
          <w:tcPr>
            <w:tcW w:type="dxa" w:w="1881"/>
          </w:tcPr>
          <w:p>
            <w:r>
              <w:rPr>
                <w:rFonts w:ascii="Meiryo UI" w:hAnsi="Meiryo UI"/>
                <w:sz w:val="18"/>
              </w:rPr>
              <w:t>6,000〜7,500</w:t>
            </w:r>
          </w:p>
        </w:tc>
        <w:tc>
          <w:tcPr>
            <w:tcW w:type="dxa" w:w="1881"/>
          </w:tcPr>
          <w:p>
            <w:r>
              <w:rPr>
                <w:rFonts w:ascii="Meiryo UI" w:hAnsi="Meiryo UI"/>
                <w:sz w:val="18"/>
              </w:rPr>
              <w:t>▲17〜33%</w:t>
            </w:r>
          </w:p>
        </w:tc>
      </w:tr>
      <w:tr>
        <w:tc>
          <w:tcPr>
            <w:tcW w:type="dxa" w:w="1881"/>
            <w:shd w:val="clear" w:color="auto" w:fill="DDEBF7"/>
          </w:tcPr>
          <w:p>
            <w:r>
              <w:rPr>
                <w:rFonts w:ascii="Meiryo UI" w:hAnsi="Meiryo UI"/>
                <w:sz w:val="18"/>
              </w:rPr>
              <w:t>FCFマージン（%）</w:t>
            </w:r>
          </w:p>
        </w:tc>
        <w:tc>
          <w:tcPr>
            <w:tcW w:type="dxa" w:w="1881"/>
            <w:shd w:val="clear" w:color="auto" w:fill="DDEBF7"/>
          </w:tcPr>
          <w:p>
            <w:r>
              <w:rPr>
                <w:rFonts w:ascii="Meiryo UI" w:hAnsi="Meiryo UI"/>
                <w:sz w:val="18"/>
              </w:rPr>
              <w:t>32%</w:t>
            </w:r>
          </w:p>
        </w:tc>
        <w:tc>
          <w:tcPr>
            <w:tcW w:type="dxa" w:w="1881"/>
            <w:shd w:val="clear" w:color="auto" w:fill="DDEBF7"/>
          </w:tcPr>
          <w:p>
            <w:r>
              <w:rPr>
                <w:rFonts w:ascii="Meiryo UI" w:hAnsi="Meiryo UI"/>
                <w:sz w:val="18"/>
              </w:rPr>
              <w:t>28%</w:t>
            </w:r>
          </w:p>
        </w:tc>
        <w:tc>
          <w:tcPr>
            <w:tcW w:type="dxa" w:w="1881"/>
            <w:shd w:val="clear" w:color="auto" w:fill="DDEBF7"/>
          </w:tcPr>
          <w:p>
            <w:r>
              <w:rPr>
                <w:rFonts w:ascii="Meiryo UI" w:hAnsi="Meiryo UI"/>
                <w:sz w:val="18"/>
              </w:rPr>
              <w:t>21〜25%</w:t>
            </w:r>
          </w:p>
        </w:tc>
        <w:tc>
          <w:tcPr>
            <w:tcW w:type="dxa" w:w="1881"/>
            <w:shd w:val="clear" w:color="auto" w:fill="DDEBF7"/>
          </w:tcPr>
          <w:p>
            <w:r>
              <w:rPr>
                <w:rFonts w:ascii="Meiryo UI" w:hAnsi="Meiryo UI"/>
                <w:sz w:val="18"/>
              </w:rPr>
              <w:t>縮小</w:t>
            </w:r>
          </w:p>
        </w:tc>
      </w:tr>
      <w:tr>
        <w:tc>
          <w:tcPr>
            <w:tcW w:type="dxa" w:w="1881"/>
          </w:tcPr>
          <w:p>
            <w:r>
              <w:rPr>
                <w:rFonts w:ascii="Meiryo UI" w:hAnsi="Meiryo UI"/>
                <w:sz w:val="18"/>
              </w:rPr>
              <w:t>EPS（円）</w:t>
            </w:r>
          </w:p>
        </w:tc>
        <w:tc>
          <w:tcPr>
            <w:tcW w:type="dxa" w:w="1881"/>
          </w:tcPr>
          <w:p>
            <w:r>
              <w:rPr>
                <w:rFonts w:ascii="Meiryo UI" w:hAnsi="Meiryo UI"/>
                <w:sz w:val="18"/>
              </w:rPr>
              <w:t>約320</w:t>
            </w:r>
          </w:p>
        </w:tc>
        <w:tc>
          <w:tcPr>
            <w:tcW w:type="dxa" w:w="1881"/>
          </w:tcPr>
          <w:p>
            <w:r>
              <w:rPr>
                <w:rFonts w:ascii="Meiryo UI" w:hAnsi="Meiryo UI"/>
                <w:sz w:val="18"/>
              </w:rPr>
              <w:t>約245</w:t>
            </w:r>
          </w:p>
        </w:tc>
        <w:tc>
          <w:tcPr>
            <w:tcW w:type="dxa" w:w="1881"/>
          </w:tcPr>
          <w:p>
            <w:r>
              <w:rPr>
                <w:rFonts w:ascii="Meiryo UI" w:hAnsi="Meiryo UI"/>
                <w:sz w:val="18"/>
              </w:rPr>
              <w:t>約175〜200</w:t>
            </w:r>
          </w:p>
        </w:tc>
        <w:tc>
          <w:tcPr>
            <w:tcW w:type="dxa" w:w="1881"/>
          </w:tcPr>
          <w:p>
            <w:r>
              <w:rPr>
                <w:rFonts w:ascii="Meiryo UI" w:hAnsi="Meiryo UI"/>
                <w:sz w:val="18"/>
              </w:rPr>
              <w:t>縮小</w:t>
            </w:r>
          </w:p>
        </w:tc>
      </w:tr>
      <w:tr>
        <w:tc>
          <w:tcPr>
            <w:tcW w:type="dxa" w:w="1881"/>
            <w:shd w:val="clear" w:color="auto" w:fill="DDEBF7"/>
          </w:tcPr>
          <w:p>
            <w:r>
              <w:rPr>
                <w:rFonts w:ascii="Meiryo UI" w:hAnsi="Meiryo UI"/>
                <w:sz w:val="18"/>
              </w:rPr>
              <w:t>DPS（円）</w:t>
            </w:r>
          </w:p>
        </w:tc>
        <w:tc>
          <w:tcPr>
            <w:tcW w:type="dxa" w:w="1881"/>
            <w:shd w:val="clear" w:color="auto" w:fill="DDEBF7"/>
          </w:tcPr>
          <w:p>
            <w:r>
              <w:rPr>
                <w:rFonts w:ascii="Meiryo UI" w:hAnsi="Meiryo UI"/>
                <w:sz w:val="18"/>
              </w:rPr>
              <w:t>78</w:t>
            </w:r>
          </w:p>
        </w:tc>
        <w:tc>
          <w:tcPr>
            <w:tcW w:type="dxa" w:w="1881"/>
            <w:shd w:val="clear" w:color="auto" w:fill="DDEBF7"/>
          </w:tcPr>
          <w:p>
            <w:r>
              <w:rPr>
                <w:rFonts w:ascii="Meiryo UI" w:hAnsi="Meiryo UI"/>
                <w:sz w:val="18"/>
              </w:rPr>
              <w:t>78</w:t>
            </w:r>
          </w:p>
        </w:tc>
        <w:tc>
          <w:tcPr>
            <w:tcW w:type="dxa" w:w="1881"/>
            <w:shd w:val="clear" w:color="auto" w:fill="DDEBF7"/>
          </w:tcPr>
          <w:p>
            <w:r>
              <w:rPr>
                <w:rFonts w:ascii="Meiryo UI" w:hAnsi="Meiryo UI"/>
                <w:sz w:val="18"/>
              </w:rPr>
              <w:t>78〜86</w:t>
            </w:r>
          </w:p>
        </w:tc>
        <w:tc>
          <w:tcPr>
            <w:tcW w:type="dxa" w:w="1881"/>
            <w:shd w:val="clear" w:color="auto" w:fill="DDEBF7"/>
          </w:tcPr>
          <w:p>
            <w:r>
              <w:rPr>
                <w:rFonts w:ascii="Meiryo UI" w:hAnsi="Meiryo UI"/>
                <w:sz w:val="18"/>
              </w:rPr>
              <w:t>横ばい〜微増</w:t>
            </w:r>
          </w:p>
        </w:tc>
      </w:tr>
    </w:tbl>
    <w:p/>
    <w:p>
      <w:r>
        <w:rPr>
          <w:rFonts w:ascii="Meiryo UI" w:hAnsi="Meiryo UI"/>
          <w:sz w:val="20"/>
        </w:rPr>
        <w:t>&gt; 注: FY2022がピークはコモディティ高によるもの。FY2024は原油価格低下（Brent 75〜80ドル帯）で収益正常化フェーズ。</w:t>
      </w:r>
    </w:p>
    <w:p/>
    <w:p>
      <w:pPr>
        <w:pStyle w:val="Heading2"/>
      </w:pPr>
      <w:r>
        <w:rPr>
          <w:rFonts w:ascii="Meiryo UI" w:hAnsi="Meiryo UI"/>
          <w:color w:val="2E74B5"/>
        </w:rPr>
        <w:t>3.2 BSの健全性</w:t>
      </w:r>
    </w:p>
    <w:p/>
    <w:p>
      <w:pPr>
        <w:shd w:val="clear" w:color="auto" w:fill="F2F2F2"/>
      </w:pPr>
      <w:r>
        <w:rPr>
          <w:rFonts w:ascii="Courier New" w:hAnsi="Courier New"/>
          <w:sz w:val="16"/>
        </w:rPr>
        <w:t>【直近推定BS概要（FY2024末）】</w:t>
        <w:br/>
        <w:t>総資産:    約7.5兆円</w:t>
        <w:br/>
        <w:t>有利子負債: 約1.2兆円</w:t>
        <w:br/>
        <w:t>現預金:    約0.8兆円</w:t>
        <w:br/>
        <w:t>純有利子負債: 約0.4兆円</w:t>
        <w:br/>
        <w:t>D/E比率:   約0.25倍（低レバレッジ）</w:t>
        <w:br/>
        <w:t>自己資本比率: 約40〜45%</w:t>
      </w:r>
    </w:p>
    <w:p/>
    <w:p>
      <w:pPr>
        <w:pStyle w:val="Heading2"/>
      </w:pPr>
      <w:r>
        <w:rPr>
          <w:rFonts w:ascii="Meiryo UI" w:hAnsi="Meiryo UI"/>
          <w:color w:val="2E74B5"/>
        </w:rPr>
        <w:t>3.3 キャッシュフロー構造</w:t>
      </w:r>
    </w:p>
    <w:p/>
    <w:p>
      <w:pPr>
        <w:shd w:val="clear" w:color="auto" w:fill="F2F2F2"/>
      </w:pPr>
      <w:r>
        <w:rPr>
          <w:rFonts w:ascii="Courier New" w:hAnsi="Courier New"/>
          <w:sz w:val="16"/>
        </w:rPr>
        <w:t>FCF = 営業CF - 投資CF（CapEx）</w:t>
        <w:br/>
        <w:t xml:space="preserve">  営業CF（FY2024推定）:  約10,000〜11,000億円</w:t>
        <w:br/>
        <w:t xml:space="preserve">  CapEx:                 約3,500〜4,000億円（Ichthys維持・探鉱）</w:t>
        <w:br/>
        <w:t xml:space="preserve">  FCF:                   約6,500〜7,000億円</w:t>
        <w:br/>
        <w:br/>
        <w:t xml:space="preserve">  株主還元（配当+自社株買い）: 約2,500〜3,000億円</w:t>
        <w:br/>
        <w:t xml:space="preserve">  純債務削減・内部留保:       約3,500〜4,000億円</w:t>
      </w:r>
    </w:p>
    <w:p/>
    <w:p>
      <w:pPr>
        <w:pStyle w:val="Heading2"/>
      </w:pPr>
      <w:r>
        <w:rPr>
          <w:rFonts w:ascii="Meiryo UI" w:hAnsi="Meiryo UI"/>
          <w:color w:val="2E74B5"/>
        </w:rPr>
        <w:t>3.4 配当・株主還元</w:t>
      </w:r>
    </w:p>
    <w:p/>
    <w:p>
      <w:pPr>
        <w:pStyle w:val="ListBullet"/>
      </w:pPr>
      <w:r>
        <w:rPr>
          <w:rFonts w:ascii="Meiryo UI" w:hAnsi="Meiryo UI"/>
          <w:sz w:val="20"/>
        </w:rPr>
        <w:t>配当性向: 連結配当性向30〜35%程度</w:t>
      </w:r>
    </w:p>
    <w:p>
      <w:pPr>
        <w:pStyle w:val="ListBullet"/>
      </w:pPr>
      <w:r>
        <w:rPr>
          <w:rFonts w:ascii="Meiryo UI" w:hAnsi="Meiryo UI"/>
          <w:sz w:val="20"/>
        </w:rPr>
        <w:t>自社株買い: 毎期実施、消却も継続</w:t>
      </w:r>
    </w:p>
    <w:p>
      <w:pPr>
        <w:pStyle w:val="ListBullet"/>
      </w:pPr>
      <w:r>
        <w:rPr>
          <w:rFonts w:ascii="Meiryo UI" w:hAnsi="Meiryo UI"/>
          <w:sz w:val="20"/>
        </w:rPr>
        <w:t>総還元利回り（推定）: 約4.0〜5.5%（現在株価ベース）</w:t>
      </w:r>
    </w:p>
    <w:p/>
    <w:p>
      <w:r>
        <w:t>──────────────────────────────────────────────────</w:t>
      </w:r>
    </w:p>
    <w:p/>
    <w:p>
      <w:pPr>
        <w:pStyle w:val="Heading1"/>
      </w:pPr>
      <w:r>
        <w:rPr>
          <w:rFonts w:ascii="Meiryo UI" w:hAnsi="Meiryo UI"/>
          <w:color w:val="1F3864"/>
        </w:rPr>
        <w:t>4. DCFバリュエーション</w:t>
      </w:r>
    </w:p>
    <w:p/>
    <w:p>
      <w:pPr>
        <w:pStyle w:val="Heading2"/>
      </w:pPr>
      <w:r>
        <w:rPr>
          <w:rFonts w:ascii="Meiryo UI" w:hAnsi="Meiryo UI"/>
          <w:color w:val="2E74B5"/>
        </w:rPr>
        <w:t>4.1 WACC計算</w:t>
      </w:r>
    </w:p>
    <w:p/>
    <w:p>
      <w:pPr>
        <w:pStyle w:val="Heading3"/>
      </w:pPr>
      <w:r>
        <w:rPr>
          <w:rFonts w:ascii="Meiryo UI" w:hAnsi="Meiryo UI"/>
          <w:color w:val="2E74B5"/>
        </w:rPr>
        <w:t>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JGB10Y（社長確認値・絶対厳守）</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0.85</w:t>
            </w:r>
          </w:p>
        </w:tc>
        <w:tc>
          <w:tcPr>
            <w:tcW w:type="dxa" w:w="3135"/>
            <w:shd w:val="clear" w:color="auto" w:fill="DDEBF7"/>
          </w:tcPr>
          <w:p>
            <w:r>
              <w:rPr>
                <w:rFonts w:ascii="Meiryo UI" w:hAnsi="Meiryo UI"/>
                <w:sz w:val="18"/>
              </w:rPr>
              <w:t>東証プライム5年実績（資源株、円建て）</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5.50%</w:t>
            </w:r>
          </w:p>
        </w:tc>
        <w:tc>
          <w:tcPr>
            <w:tcW w:type="dxa" w:w="3135"/>
          </w:tcPr>
          <w:p>
            <w:r>
              <w:rPr>
                <w:rFonts w:ascii="Meiryo UI" w:hAnsi="Meiryo UI"/>
                <w:sz w:val="18"/>
              </w:rPr>
              <w:t>Damodaran 日本市場2025年推計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7.055%</w:t>
            </w:r>
          </w:p>
        </w:tc>
        <w:tc>
          <w:tcPr>
            <w:tcW w:type="dxa" w:w="3135"/>
            <w:shd w:val="clear" w:color="auto" w:fill="DDEBF7"/>
          </w:tcPr>
          <w:p>
            <w:r>
              <w:rPr>
                <w:rFonts w:ascii="Meiryo UI" w:hAnsi="Meiryo UI"/>
                <w:sz w:val="18"/>
              </w:rPr>
              <w:t>= 2.380% + 0.85 × 5.50%</w:t>
            </w:r>
          </w:p>
        </w:tc>
      </w:tr>
      <w:tr>
        <w:tc>
          <w:tcPr>
            <w:tcW w:type="dxa" w:w="3135"/>
          </w:tcPr>
          <w:p>
            <w:r>
              <w:rPr>
                <w:rFonts w:ascii="Meiryo UI" w:hAnsi="Meiryo UI"/>
                <w:sz w:val="18"/>
              </w:rPr>
              <w:t>Rd（負債コスト）</w:t>
            </w:r>
          </w:p>
        </w:tc>
        <w:tc>
          <w:tcPr>
            <w:tcW w:type="dxa" w:w="3135"/>
          </w:tcPr>
          <w:p>
            <w:r>
              <w:rPr>
                <w:rFonts w:ascii="Meiryo UI" w:hAnsi="Meiryo UI"/>
                <w:sz w:val="18"/>
              </w:rPr>
              <w:t>1.8%</w:t>
            </w:r>
          </w:p>
        </w:tc>
        <w:tc>
          <w:tcPr>
            <w:tcW w:type="dxa" w:w="3135"/>
          </w:tcPr>
          <w:p>
            <w:r>
              <w:rPr>
                <w:rFonts w:ascii="Meiryo UI" w:hAnsi="Meiryo UI"/>
                <w:sz w:val="18"/>
              </w:rPr>
              <w:t>長期社債利回り（投資適格A相当）</w:t>
            </w:r>
          </w:p>
        </w:tc>
      </w:tr>
      <w:tr>
        <w:tc>
          <w:tcPr>
            <w:tcW w:type="dxa" w:w="3135"/>
            <w:shd w:val="clear" w:color="auto" w:fill="DDEBF7"/>
          </w:tcPr>
          <w:p>
            <w:r>
              <w:rPr>
                <w:rFonts w:ascii="Meiryo UI" w:hAnsi="Meiryo UI"/>
                <w:sz w:val="18"/>
              </w:rPr>
              <w:t>Tc（実効税率）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日本法人税・地方税合計</w:t>
            </w:r>
          </w:p>
        </w:tc>
      </w:tr>
      <w:tr>
        <w:tc>
          <w:tcPr>
            <w:tcW w:type="dxa" w:w="3135"/>
          </w:tcPr>
          <w:p>
            <w:r>
              <w:rPr>
                <w:rFonts w:ascii="Meiryo UI" w:hAnsi="Meiryo UI"/>
                <w:sz w:val="18"/>
              </w:rPr>
              <w:t>E/(D+E)（株式比率）</w:t>
            </w:r>
          </w:p>
        </w:tc>
        <w:tc>
          <w:tcPr>
            <w:tcW w:type="dxa" w:w="3135"/>
          </w:tcPr>
          <w:p>
            <w:r>
              <w:rPr>
                <w:rFonts w:ascii="Meiryo UI" w:hAnsi="Meiryo UI"/>
                <w:sz w:val="18"/>
              </w:rPr>
              <w:t>80%</w:t>
            </w:r>
          </w:p>
        </w:tc>
        <w:tc>
          <w:tcPr>
            <w:tcW w:type="dxa" w:w="3135"/>
          </w:tcPr>
          <w:p>
            <w:r>
              <w:rPr>
                <w:rFonts w:ascii="Meiryo UI" w:hAnsi="Meiryo UI"/>
                <w:sz w:val="18"/>
              </w:rPr>
              <w:t>推定資本構成</w:t>
            </w:r>
          </w:p>
        </w:tc>
      </w:tr>
      <w:tr>
        <w:tc>
          <w:tcPr>
            <w:tcW w:type="dxa" w:w="3135"/>
            <w:shd w:val="clear" w:color="auto" w:fill="DDEBF7"/>
          </w:tcPr>
          <w:p>
            <w:r>
              <w:rPr>
                <w:rFonts w:ascii="Meiryo UI" w:hAnsi="Meiryo UI"/>
                <w:sz w:val="18"/>
              </w:rPr>
              <w:t>D/(D+E)（負債比率）</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同上</w:t>
            </w:r>
          </w:p>
        </w:tc>
      </w:tr>
      <w:tr>
        <w:tc>
          <w:tcPr>
            <w:tcW w:type="dxa" w:w="3135"/>
          </w:tcPr>
          <w:p>
            <w:r>
              <w:rPr>
                <w:rFonts w:ascii="Meiryo UI" w:hAnsi="Meiryo UI"/>
                <w:sz w:val="18"/>
              </w:rPr>
              <w:t>WACC</w:t>
            </w:r>
          </w:p>
        </w:tc>
        <w:tc>
          <w:tcPr>
            <w:tcW w:type="dxa" w:w="3135"/>
          </w:tcPr>
          <w:p>
            <w:r>
              <w:rPr>
                <w:rFonts w:ascii="Meiryo UI" w:hAnsi="Meiryo UI"/>
                <w:sz w:val="18"/>
              </w:rPr>
              <w:t>6.896%</w:t>
            </w:r>
          </w:p>
        </w:tc>
        <w:tc>
          <w:tcPr>
            <w:tcW w:type="dxa" w:w="3135"/>
          </w:tcPr>
          <w:p>
            <w:r>
              <w:rPr>
                <w:rFonts w:ascii="Meiryo UI" w:hAnsi="Meiryo UI"/>
                <w:sz w:val="18"/>
              </w:rPr>
              <w:t>下記計算式</w:t>
            </w:r>
          </w:p>
        </w:tc>
      </w:tr>
    </w:tbl>
    <w:p/>
    <w:p>
      <w:pPr>
        <w:pStyle w:val="Heading3"/>
      </w:pPr>
      <w:r>
        <w:rPr>
          <w:rFonts w:ascii="Meiryo UI" w:hAnsi="Meiryo UI"/>
          <w:color w:val="2E74B5"/>
        </w:rPr>
        <w:t>WACC計算式</w:t>
      </w:r>
    </w:p>
    <w:p/>
    <w:p>
      <w:pPr>
        <w:shd w:val="clear" w:color="auto" w:fill="F2F2F2"/>
      </w:pPr>
      <w:r>
        <w:rPr>
          <w:rFonts w:ascii="Courier New" w:hAnsi="Courier New"/>
          <w:sz w:val="16"/>
        </w:rPr>
        <w:t>Re = 2.380% + 0.85 × 5.50% = 2.380% + 4.675% = 7.055%</w:t>
        <w:br/>
        <w:br/>
        <w:t>WACC = [0.80 × 7.055%] + [0.20 × 1.8% × (1 - 0.30)]</w:t>
        <w:br/>
        <w:t xml:space="preserve">     = 5.644% + 0.252%</w:t>
        <w:br/>
        <w:t xml:space="preserve">     = 6.896% ≒ 6.9%</w:t>
      </w:r>
    </w:p>
    <w:p/>
    <w:p>
      <w:pPr>
        <w:pStyle w:val="Heading2"/>
      </w:pPr>
      <w:r>
        <w:rPr>
          <w:rFonts w:ascii="Meiryo UI" w:hAnsi="Meiryo UI"/>
          <w:color w:val="2E74B5"/>
        </w:rPr>
        <w:t>4.2 DCF前提条件（5カ年予測）</w:t>
      </w:r>
    </w:p>
    <w:p/>
    <w:p>
      <w:pPr>
        <w:pStyle w:val="Heading3"/>
      </w:pPr>
      <w:r>
        <w:rPr>
          <w:rFonts w:ascii="Meiryo UI" w:hAnsi="Meiryo UI"/>
          <w:color w:val="2E74B5"/>
        </w:rPr>
        <w:t>原油価格・為替前提</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項目</w:t>
            </w:r>
          </w:p>
        </w:tc>
        <w:tc>
          <w:tcPr>
            <w:tcW w:type="dxa" w:w="1568"/>
            <w:shd w:val="clear" w:color="auto" w:fill="2E74B5"/>
          </w:tcPr>
          <w:p>
            <w:r>
              <w:rPr>
                <w:rFonts w:ascii="Meiryo UI" w:hAnsi="Meiryo UI"/>
                <w:b/>
                <w:color w:val="FFFFFF"/>
                <w:sz w:val="18"/>
              </w:rPr>
              <w:t>FY2025E</w:t>
            </w:r>
          </w:p>
        </w:tc>
        <w:tc>
          <w:tcPr>
            <w:tcW w:type="dxa" w:w="1568"/>
            <w:shd w:val="clear" w:color="auto" w:fill="2E74B5"/>
          </w:tcPr>
          <w:p>
            <w:r>
              <w:rPr>
                <w:rFonts w:ascii="Meiryo UI" w:hAnsi="Meiryo UI"/>
                <w:b/>
                <w:color w:val="FFFFFF"/>
                <w:sz w:val="18"/>
              </w:rPr>
              <w:t>FY2026E</w:t>
            </w:r>
          </w:p>
        </w:tc>
        <w:tc>
          <w:tcPr>
            <w:tcW w:type="dxa" w:w="1568"/>
            <w:shd w:val="clear" w:color="auto" w:fill="2E74B5"/>
          </w:tcPr>
          <w:p>
            <w:r>
              <w:rPr>
                <w:rFonts w:ascii="Meiryo UI" w:hAnsi="Meiryo UI"/>
                <w:b/>
                <w:color w:val="FFFFFF"/>
                <w:sz w:val="18"/>
              </w:rPr>
              <w:t>FY2027E</w:t>
            </w:r>
          </w:p>
        </w:tc>
        <w:tc>
          <w:tcPr>
            <w:tcW w:type="dxa" w:w="1568"/>
            <w:shd w:val="clear" w:color="auto" w:fill="2E74B5"/>
          </w:tcPr>
          <w:p>
            <w:r>
              <w:rPr>
                <w:rFonts w:ascii="Meiryo UI" w:hAnsi="Meiryo UI"/>
                <w:b/>
                <w:color w:val="FFFFFF"/>
                <w:sz w:val="18"/>
              </w:rPr>
              <w:t>FY2028E</w:t>
            </w:r>
          </w:p>
        </w:tc>
        <w:tc>
          <w:tcPr>
            <w:tcW w:type="dxa" w:w="1568"/>
            <w:shd w:val="clear" w:color="auto" w:fill="2E74B5"/>
          </w:tcPr>
          <w:p>
            <w:r>
              <w:rPr>
                <w:rFonts w:ascii="Meiryo UI" w:hAnsi="Meiryo UI"/>
                <w:b/>
                <w:color w:val="FFFFFF"/>
                <w:sz w:val="18"/>
              </w:rPr>
              <w:t>FY2029E</w:t>
            </w:r>
          </w:p>
        </w:tc>
      </w:tr>
      <w:tr>
        <w:tc>
          <w:tcPr>
            <w:tcW w:type="dxa" w:w="1568"/>
          </w:tcPr>
          <w:p>
            <w:r>
              <w:rPr>
                <w:rFonts w:ascii="Meiryo UI" w:hAnsi="Meiryo UI"/>
                <w:sz w:val="18"/>
              </w:rPr>
              <w:t>Brent原油（$/bbl）</w:t>
            </w:r>
          </w:p>
        </w:tc>
        <w:tc>
          <w:tcPr>
            <w:tcW w:type="dxa" w:w="1568"/>
          </w:tcPr>
          <w:p>
            <w:r>
              <w:rPr>
                <w:rFonts w:ascii="Meiryo UI" w:hAnsi="Meiryo UI"/>
                <w:sz w:val="18"/>
              </w:rPr>
              <w:t>78</w:t>
            </w:r>
          </w:p>
        </w:tc>
        <w:tc>
          <w:tcPr>
            <w:tcW w:type="dxa" w:w="1568"/>
          </w:tcPr>
          <w:p>
            <w:r>
              <w:rPr>
                <w:rFonts w:ascii="Meiryo UI" w:hAnsi="Meiryo UI"/>
                <w:sz w:val="18"/>
              </w:rPr>
              <w:t>80</w:t>
            </w:r>
          </w:p>
        </w:tc>
        <w:tc>
          <w:tcPr>
            <w:tcW w:type="dxa" w:w="1568"/>
          </w:tcPr>
          <w:p>
            <w:r>
              <w:rPr>
                <w:rFonts w:ascii="Meiryo UI" w:hAnsi="Meiryo UI"/>
                <w:sz w:val="18"/>
              </w:rPr>
              <w:t>80</w:t>
            </w:r>
          </w:p>
        </w:tc>
        <w:tc>
          <w:tcPr>
            <w:tcW w:type="dxa" w:w="1568"/>
          </w:tcPr>
          <w:p>
            <w:r>
              <w:rPr>
                <w:rFonts w:ascii="Meiryo UI" w:hAnsi="Meiryo UI"/>
                <w:sz w:val="18"/>
              </w:rPr>
              <w:t>78</w:t>
            </w:r>
          </w:p>
        </w:tc>
        <w:tc>
          <w:tcPr>
            <w:tcW w:type="dxa" w:w="1568"/>
          </w:tcPr>
          <w:p>
            <w:r>
              <w:rPr>
                <w:rFonts w:ascii="Meiryo UI" w:hAnsi="Meiryo UI"/>
                <w:sz w:val="18"/>
              </w:rPr>
              <w:t>76</w:t>
            </w:r>
          </w:p>
        </w:tc>
      </w:tr>
      <w:tr>
        <w:tc>
          <w:tcPr>
            <w:tcW w:type="dxa" w:w="1568"/>
            <w:shd w:val="clear" w:color="auto" w:fill="DDEBF7"/>
          </w:tcPr>
          <w:p>
            <w:r>
              <w:rPr>
                <w:rFonts w:ascii="Meiryo UI" w:hAnsi="Meiryo UI"/>
                <w:sz w:val="18"/>
              </w:rPr>
              <w:t>USD/JPY</w:t>
            </w:r>
          </w:p>
        </w:tc>
        <w:tc>
          <w:tcPr>
            <w:tcW w:type="dxa" w:w="1568"/>
            <w:shd w:val="clear" w:color="auto" w:fill="DDEBF7"/>
          </w:tcPr>
          <w:p>
            <w:r>
              <w:rPr>
                <w:rFonts w:ascii="Meiryo UI" w:hAnsi="Meiryo UI"/>
                <w:sz w:val="18"/>
              </w:rPr>
              <w:t>148</w:t>
            </w:r>
          </w:p>
        </w:tc>
        <w:tc>
          <w:tcPr>
            <w:tcW w:type="dxa" w:w="1568"/>
            <w:shd w:val="clear" w:color="auto" w:fill="DDEBF7"/>
          </w:tcPr>
          <w:p>
            <w:r>
              <w:rPr>
                <w:rFonts w:ascii="Meiryo UI" w:hAnsi="Meiryo UI"/>
                <w:sz w:val="18"/>
              </w:rPr>
              <w:t>145</w:t>
            </w:r>
          </w:p>
        </w:tc>
        <w:tc>
          <w:tcPr>
            <w:tcW w:type="dxa" w:w="1568"/>
            <w:shd w:val="clear" w:color="auto" w:fill="DDEBF7"/>
          </w:tcPr>
          <w:p>
            <w:r>
              <w:rPr>
                <w:rFonts w:ascii="Meiryo UI" w:hAnsi="Meiryo UI"/>
                <w:sz w:val="18"/>
              </w:rPr>
              <w:t>143</w:t>
            </w:r>
          </w:p>
        </w:tc>
        <w:tc>
          <w:tcPr>
            <w:tcW w:type="dxa" w:w="1568"/>
            <w:shd w:val="clear" w:color="auto" w:fill="DDEBF7"/>
          </w:tcPr>
          <w:p>
            <w:r>
              <w:rPr>
                <w:rFonts w:ascii="Meiryo UI" w:hAnsi="Meiryo UI"/>
                <w:sz w:val="18"/>
              </w:rPr>
              <w:t>142</w:t>
            </w:r>
          </w:p>
        </w:tc>
        <w:tc>
          <w:tcPr>
            <w:tcW w:type="dxa" w:w="1568"/>
            <w:shd w:val="clear" w:color="auto" w:fill="DDEBF7"/>
          </w:tcPr>
          <w:p>
            <w:r>
              <w:rPr>
                <w:rFonts w:ascii="Meiryo UI" w:hAnsi="Meiryo UI"/>
                <w:sz w:val="18"/>
              </w:rPr>
              <w:t>140</w:t>
            </w:r>
          </w:p>
        </w:tc>
      </w:tr>
      <w:tr>
        <w:tc>
          <w:tcPr>
            <w:tcW w:type="dxa" w:w="1568"/>
          </w:tcPr>
          <w:p>
            <w:r>
              <w:rPr>
                <w:rFonts w:ascii="Meiryo UI" w:hAnsi="Meiryo UI"/>
                <w:sz w:val="18"/>
              </w:rPr>
              <w:t>LNGスポット（$/MMBtu）</w:t>
            </w:r>
          </w:p>
        </w:tc>
        <w:tc>
          <w:tcPr>
            <w:tcW w:type="dxa" w:w="1568"/>
          </w:tcPr>
          <w:p>
            <w:r>
              <w:rPr>
                <w:rFonts w:ascii="Meiryo UI" w:hAnsi="Meiryo UI"/>
                <w:sz w:val="18"/>
              </w:rPr>
              <w:t>13.0</w:t>
            </w:r>
          </w:p>
        </w:tc>
        <w:tc>
          <w:tcPr>
            <w:tcW w:type="dxa" w:w="1568"/>
          </w:tcPr>
          <w:p>
            <w:r>
              <w:rPr>
                <w:rFonts w:ascii="Meiryo UI" w:hAnsi="Meiryo UI"/>
                <w:sz w:val="18"/>
              </w:rPr>
              <w:t>13.5</w:t>
            </w:r>
          </w:p>
        </w:tc>
        <w:tc>
          <w:tcPr>
            <w:tcW w:type="dxa" w:w="1568"/>
          </w:tcPr>
          <w:p>
            <w:r>
              <w:rPr>
                <w:rFonts w:ascii="Meiryo UI" w:hAnsi="Meiryo UI"/>
                <w:sz w:val="18"/>
              </w:rPr>
              <w:t>13.0</w:t>
            </w:r>
          </w:p>
        </w:tc>
        <w:tc>
          <w:tcPr>
            <w:tcW w:type="dxa" w:w="1568"/>
          </w:tcPr>
          <w:p>
            <w:r>
              <w:rPr>
                <w:rFonts w:ascii="Meiryo UI" w:hAnsi="Meiryo UI"/>
                <w:sz w:val="18"/>
              </w:rPr>
              <w:t>12.5</w:t>
            </w:r>
          </w:p>
        </w:tc>
        <w:tc>
          <w:tcPr>
            <w:tcW w:type="dxa" w:w="1568"/>
          </w:tcPr>
          <w:p>
            <w:r>
              <w:rPr>
                <w:rFonts w:ascii="Meiryo UI" w:hAnsi="Meiryo UI"/>
                <w:sz w:val="18"/>
              </w:rPr>
              <w:t>12.0</w:t>
            </w:r>
          </w:p>
        </w:tc>
      </w:tr>
    </w:tbl>
    <w:p/>
    <w:p>
      <w:pPr>
        <w:pStyle w:val="Heading3"/>
      </w:pPr>
      <w:r>
        <w:rPr>
          <w:rFonts w:ascii="Meiryo UI" w:hAnsi="Meiryo UI"/>
          <w:color w:val="2E74B5"/>
        </w:rPr>
        <w:t>FCF予測</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項目（億円）</w:t>
            </w:r>
          </w:p>
        </w:tc>
        <w:tc>
          <w:tcPr>
            <w:tcW w:type="dxa" w:w="1568"/>
            <w:shd w:val="clear" w:color="auto" w:fill="2E74B5"/>
          </w:tcPr>
          <w:p>
            <w:r>
              <w:rPr>
                <w:rFonts w:ascii="Meiryo UI" w:hAnsi="Meiryo UI"/>
                <w:b/>
                <w:color w:val="FFFFFF"/>
                <w:sz w:val="18"/>
              </w:rPr>
              <w:t>FY2025E</w:t>
            </w:r>
          </w:p>
        </w:tc>
        <w:tc>
          <w:tcPr>
            <w:tcW w:type="dxa" w:w="1568"/>
            <w:shd w:val="clear" w:color="auto" w:fill="2E74B5"/>
          </w:tcPr>
          <w:p>
            <w:r>
              <w:rPr>
                <w:rFonts w:ascii="Meiryo UI" w:hAnsi="Meiryo UI"/>
                <w:b/>
                <w:color w:val="FFFFFF"/>
                <w:sz w:val="18"/>
              </w:rPr>
              <w:t>FY2026E</w:t>
            </w:r>
          </w:p>
        </w:tc>
        <w:tc>
          <w:tcPr>
            <w:tcW w:type="dxa" w:w="1568"/>
            <w:shd w:val="clear" w:color="auto" w:fill="2E74B5"/>
          </w:tcPr>
          <w:p>
            <w:r>
              <w:rPr>
                <w:rFonts w:ascii="Meiryo UI" w:hAnsi="Meiryo UI"/>
                <w:b/>
                <w:color w:val="FFFFFF"/>
                <w:sz w:val="18"/>
              </w:rPr>
              <w:t>FY2027E</w:t>
            </w:r>
          </w:p>
        </w:tc>
        <w:tc>
          <w:tcPr>
            <w:tcW w:type="dxa" w:w="1568"/>
            <w:shd w:val="clear" w:color="auto" w:fill="2E74B5"/>
          </w:tcPr>
          <w:p>
            <w:r>
              <w:rPr>
                <w:rFonts w:ascii="Meiryo UI" w:hAnsi="Meiryo UI"/>
                <w:b/>
                <w:color w:val="FFFFFF"/>
                <w:sz w:val="18"/>
              </w:rPr>
              <w:t>FY2028E</w:t>
            </w:r>
          </w:p>
        </w:tc>
        <w:tc>
          <w:tcPr>
            <w:tcW w:type="dxa" w:w="1568"/>
            <w:shd w:val="clear" w:color="auto" w:fill="2E74B5"/>
          </w:tcPr>
          <w:p>
            <w:r>
              <w:rPr>
                <w:rFonts w:ascii="Meiryo UI" w:hAnsi="Meiryo UI"/>
                <w:b/>
                <w:color w:val="FFFFFF"/>
                <w:sz w:val="18"/>
              </w:rPr>
              <w:t>FY2029E</w:t>
            </w:r>
          </w:p>
        </w:tc>
      </w:tr>
      <w:tr>
        <w:tc>
          <w:tcPr>
            <w:tcW w:type="dxa" w:w="1568"/>
          </w:tcPr>
          <w:p>
            <w:r>
              <w:rPr>
                <w:rFonts w:ascii="Meiryo UI" w:hAnsi="Meiryo UI"/>
                <w:sz w:val="18"/>
              </w:rPr>
              <w:t>EBITDA</w:t>
            </w:r>
          </w:p>
        </w:tc>
        <w:tc>
          <w:tcPr>
            <w:tcW w:type="dxa" w:w="1568"/>
          </w:tcPr>
          <w:p>
            <w:r>
              <w:rPr>
                <w:rFonts w:ascii="Meiryo UI" w:hAnsi="Meiryo UI"/>
                <w:sz w:val="18"/>
              </w:rPr>
              <w:t>12,000</w:t>
            </w:r>
          </w:p>
        </w:tc>
        <w:tc>
          <w:tcPr>
            <w:tcW w:type="dxa" w:w="1568"/>
          </w:tcPr>
          <w:p>
            <w:r>
              <w:rPr>
                <w:rFonts w:ascii="Meiryo UI" w:hAnsi="Meiryo UI"/>
                <w:sz w:val="18"/>
              </w:rPr>
              <w:t>12,500</w:t>
            </w:r>
          </w:p>
        </w:tc>
        <w:tc>
          <w:tcPr>
            <w:tcW w:type="dxa" w:w="1568"/>
          </w:tcPr>
          <w:p>
            <w:r>
              <w:rPr>
                <w:rFonts w:ascii="Meiryo UI" w:hAnsi="Meiryo UI"/>
                <w:sz w:val="18"/>
              </w:rPr>
              <w:t>12,800</w:t>
            </w:r>
          </w:p>
        </w:tc>
        <w:tc>
          <w:tcPr>
            <w:tcW w:type="dxa" w:w="1568"/>
          </w:tcPr>
          <w:p>
            <w:r>
              <w:rPr>
                <w:rFonts w:ascii="Meiryo UI" w:hAnsi="Meiryo UI"/>
                <w:sz w:val="18"/>
              </w:rPr>
              <w:t>13,000</w:t>
            </w:r>
          </w:p>
        </w:tc>
        <w:tc>
          <w:tcPr>
            <w:tcW w:type="dxa" w:w="1568"/>
          </w:tcPr>
          <w:p>
            <w:r>
              <w:rPr>
                <w:rFonts w:ascii="Meiryo UI" w:hAnsi="Meiryo UI"/>
                <w:sz w:val="18"/>
              </w:rPr>
              <w:t>13,200</w:t>
            </w:r>
          </w:p>
        </w:tc>
      </w:tr>
      <w:tr>
        <w:tc>
          <w:tcPr>
            <w:tcW w:type="dxa" w:w="1568"/>
            <w:shd w:val="clear" w:color="auto" w:fill="DDEBF7"/>
          </w:tcPr>
          <w:p>
            <w:r>
              <w:rPr>
                <w:rFonts w:ascii="Meiryo UI" w:hAnsi="Meiryo UI"/>
                <w:sz w:val="18"/>
              </w:rPr>
              <w:t>減価償却費</w:t>
            </w:r>
          </w:p>
        </w:tc>
        <w:tc>
          <w:tcPr>
            <w:tcW w:type="dxa" w:w="1568"/>
            <w:shd w:val="clear" w:color="auto" w:fill="DDEBF7"/>
          </w:tcPr>
          <w:p>
            <w:r>
              <w:rPr>
                <w:rFonts w:ascii="Meiryo UI" w:hAnsi="Meiryo UI"/>
                <w:sz w:val="18"/>
              </w:rPr>
              <w:t>3,500</w:t>
            </w:r>
          </w:p>
        </w:tc>
        <w:tc>
          <w:tcPr>
            <w:tcW w:type="dxa" w:w="1568"/>
            <w:shd w:val="clear" w:color="auto" w:fill="DDEBF7"/>
          </w:tcPr>
          <w:p>
            <w:r>
              <w:rPr>
                <w:rFonts w:ascii="Meiryo UI" w:hAnsi="Meiryo UI"/>
                <w:sz w:val="18"/>
              </w:rPr>
              <w:t>3,600</w:t>
            </w:r>
          </w:p>
        </w:tc>
        <w:tc>
          <w:tcPr>
            <w:tcW w:type="dxa" w:w="1568"/>
            <w:shd w:val="clear" w:color="auto" w:fill="DDEBF7"/>
          </w:tcPr>
          <w:p>
            <w:r>
              <w:rPr>
                <w:rFonts w:ascii="Meiryo UI" w:hAnsi="Meiryo UI"/>
                <w:sz w:val="18"/>
              </w:rPr>
              <w:t>3,700</w:t>
            </w:r>
          </w:p>
        </w:tc>
        <w:tc>
          <w:tcPr>
            <w:tcW w:type="dxa" w:w="1568"/>
            <w:shd w:val="clear" w:color="auto" w:fill="DDEBF7"/>
          </w:tcPr>
          <w:p>
            <w:r>
              <w:rPr>
                <w:rFonts w:ascii="Meiryo UI" w:hAnsi="Meiryo UI"/>
                <w:sz w:val="18"/>
              </w:rPr>
              <w:t>3,800</w:t>
            </w:r>
          </w:p>
        </w:tc>
        <w:tc>
          <w:tcPr>
            <w:tcW w:type="dxa" w:w="1568"/>
            <w:shd w:val="clear" w:color="auto" w:fill="DDEBF7"/>
          </w:tcPr>
          <w:p>
            <w:r>
              <w:rPr>
                <w:rFonts w:ascii="Meiryo UI" w:hAnsi="Meiryo UI"/>
                <w:sz w:val="18"/>
              </w:rPr>
              <w:t>3,900</w:t>
            </w:r>
          </w:p>
        </w:tc>
      </w:tr>
      <w:tr>
        <w:tc>
          <w:tcPr>
            <w:tcW w:type="dxa" w:w="1568"/>
          </w:tcPr>
          <w:p>
            <w:r>
              <w:rPr>
                <w:rFonts w:ascii="Meiryo UI" w:hAnsi="Meiryo UI"/>
                <w:sz w:val="18"/>
              </w:rPr>
              <w:t>EBIT</w:t>
            </w:r>
          </w:p>
        </w:tc>
        <w:tc>
          <w:tcPr>
            <w:tcW w:type="dxa" w:w="1568"/>
          </w:tcPr>
          <w:p>
            <w:r>
              <w:rPr>
                <w:rFonts w:ascii="Meiryo UI" w:hAnsi="Meiryo UI"/>
                <w:sz w:val="18"/>
              </w:rPr>
              <w:t>8,500</w:t>
            </w:r>
          </w:p>
        </w:tc>
        <w:tc>
          <w:tcPr>
            <w:tcW w:type="dxa" w:w="1568"/>
          </w:tcPr>
          <w:p>
            <w:r>
              <w:rPr>
                <w:rFonts w:ascii="Meiryo UI" w:hAnsi="Meiryo UI"/>
                <w:sz w:val="18"/>
              </w:rPr>
              <w:t>8,900</w:t>
            </w:r>
          </w:p>
        </w:tc>
        <w:tc>
          <w:tcPr>
            <w:tcW w:type="dxa" w:w="1568"/>
          </w:tcPr>
          <w:p>
            <w:r>
              <w:rPr>
                <w:rFonts w:ascii="Meiryo UI" w:hAnsi="Meiryo UI"/>
                <w:sz w:val="18"/>
              </w:rPr>
              <w:t>9,100</w:t>
            </w:r>
          </w:p>
        </w:tc>
        <w:tc>
          <w:tcPr>
            <w:tcW w:type="dxa" w:w="1568"/>
          </w:tcPr>
          <w:p>
            <w:r>
              <w:rPr>
                <w:rFonts w:ascii="Meiryo UI" w:hAnsi="Meiryo UI"/>
                <w:sz w:val="18"/>
              </w:rPr>
              <w:t>9,200</w:t>
            </w:r>
          </w:p>
        </w:tc>
        <w:tc>
          <w:tcPr>
            <w:tcW w:type="dxa" w:w="1568"/>
          </w:tcPr>
          <w:p>
            <w:r>
              <w:rPr>
                <w:rFonts w:ascii="Meiryo UI" w:hAnsi="Meiryo UI"/>
                <w:sz w:val="18"/>
              </w:rPr>
              <w:t>9,300</w:t>
            </w:r>
          </w:p>
        </w:tc>
      </w:tr>
      <w:tr>
        <w:tc>
          <w:tcPr>
            <w:tcW w:type="dxa" w:w="1568"/>
            <w:shd w:val="clear" w:color="auto" w:fill="DDEBF7"/>
          </w:tcPr>
          <w:p>
            <w:r>
              <w:rPr>
                <w:rFonts w:ascii="Meiryo UI" w:hAnsi="Meiryo UI"/>
                <w:sz w:val="18"/>
              </w:rPr>
              <w:t>税引後EBIT</w:t>
            </w:r>
          </w:p>
        </w:tc>
        <w:tc>
          <w:tcPr>
            <w:tcW w:type="dxa" w:w="1568"/>
            <w:shd w:val="clear" w:color="auto" w:fill="DDEBF7"/>
          </w:tcPr>
          <w:p>
            <w:r>
              <w:rPr>
                <w:rFonts w:ascii="Meiryo UI" w:hAnsi="Meiryo UI"/>
                <w:sz w:val="18"/>
              </w:rPr>
              <w:t>5,950</w:t>
            </w:r>
          </w:p>
        </w:tc>
        <w:tc>
          <w:tcPr>
            <w:tcW w:type="dxa" w:w="1568"/>
            <w:shd w:val="clear" w:color="auto" w:fill="DDEBF7"/>
          </w:tcPr>
          <w:p>
            <w:r>
              <w:rPr>
                <w:rFonts w:ascii="Meiryo UI" w:hAnsi="Meiryo UI"/>
                <w:sz w:val="18"/>
              </w:rPr>
              <w:t>6,230</w:t>
            </w:r>
          </w:p>
        </w:tc>
        <w:tc>
          <w:tcPr>
            <w:tcW w:type="dxa" w:w="1568"/>
            <w:shd w:val="clear" w:color="auto" w:fill="DDEBF7"/>
          </w:tcPr>
          <w:p>
            <w:r>
              <w:rPr>
                <w:rFonts w:ascii="Meiryo UI" w:hAnsi="Meiryo UI"/>
                <w:sz w:val="18"/>
              </w:rPr>
              <w:t>6,370</w:t>
            </w:r>
          </w:p>
        </w:tc>
        <w:tc>
          <w:tcPr>
            <w:tcW w:type="dxa" w:w="1568"/>
            <w:shd w:val="clear" w:color="auto" w:fill="DDEBF7"/>
          </w:tcPr>
          <w:p>
            <w:r>
              <w:rPr>
                <w:rFonts w:ascii="Meiryo UI" w:hAnsi="Meiryo UI"/>
                <w:sz w:val="18"/>
              </w:rPr>
              <w:t>6,440</w:t>
            </w:r>
          </w:p>
        </w:tc>
        <w:tc>
          <w:tcPr>
            <w:tcW w:type="dxa" w:w="1568"/>
            <w:shd w:val="clear" w:color="auto" w:fill="DDEBF7"/>
          </w:tcPr>
          <w:p>
            <w:r>
              <w:rPr>
                <w:rFonts w:ascii="Meiryo UI" w:hAnsi="Meiryo UI"/>
                <w:sz w:val="18"/>
              </w:rPr>
              <w:t>6,510</w:t>
            </w:r>
          </w:p>
        </w:tc>
      </w:tr>
      <w:tr>
        <w:tc>
          <w:tcPr>
            <w:tcW w:type="dxa" w:w="1568"/>
          </w:tcPr>
          <w:p>
            <w:r>
              <w:rPr>
                <w:rFonts w:ascii="Meiryo UI" w:hAnsi="Meiryo UI"/>
                <w:sz w:val="18"/>
              </w:rPr>
              <w:t>＋D&amp;A</w:t>
            </w:r>
          </w:p>
        </w:tc>
        <w:tc>
          <w:tcPr>
            <w:tcW w:type="dxa" w:w="1568"/>
          </w:tcPr>
          <w:p>
            <w:r>
              <w:rPr>
                <w:rFonts w:ascii="Meiryo UI" w:hAnsi="Meiryo UI"/>
                <w:sz w:val="18"/>
              </w:rPr>
              <w:t>3,500</w:t>
            </w:r>
          </w:p>
        </w:tc>
        <w:tc>
          <w:tcPr>
            <w:tcW w:type="dxa" w:w="1568"/>
          </w:tcPr>
          <w:p>
            <w:r>
              <w:rPr>
                <w:rFonts w:ascii="Meiryo UI" w:hAnsi="Meiryo UI"/>
                <w:sz w:val="18"/>
              </w:rPr>
              <w:t>3,600</w:t>
            </w:r>
          </w:p>
        </w:tc>
        <w:tc>
          <w:tcPr>
            <w:tcW w:type="dxa" w:w="1568"/>
          </w:tcPr>
          <w:p>
            <w:r>
              <w:rPr>
                <w:rFonts w:ascii="Meiryo UI" w:hAnsi="Meiryo UI"/>
                <w:sz w:val="18"/>
              </w:rPr>
              <w:t>3,700</w:t>
            </w:r>
          </w:p>
        </w:tc>
        <w:tc>
          <w:tcPr>
            <w:tcW w:type="dxa" w:w="1568"/>
          </w:tcPr>
          <w:p>
            <w:r>
              <w:rPr>
                <w:rFonts w:ascii="Meiryo UI" w:hAnsi="Meiryo UI"/>
                <w:sz w:val="18"/>
              </w:rPr>
              <w:t>3,800</w:t>
            </w:r>
          </w:p>
        </w:tc>
        <w:tc>
          <w:tcPr>
            <w:tcW w:type="dxa" w:w="1568"/>
          </w:tcPr>
          <w:p>
            <w:r>
              <w:rPr>
                <w:rFonts w:ascii="Meiryo UI" w:hAnsi="Meiryo UI"/>
                <w:sz w:val="18"/>
              </w:rPr>
              <w:t>3,900</w:t>
            </w:r>
          </w:p>
        </w:tc>
      </w:tr>
      <w:tr>
        <w:tc>
          <w:tcPr>
            <w:tcW w:type="dxa" w:w="1568"/>
            <w:shd w:val="clear" w:color="auto" w:fill="DDEBF7"/>
          </w:tcPr>
          <w:p>
            <w:r>
              <w:rPr>
                <w:rFonts w:ascii="Meiryo UI" w:hAnsi="Meiryo UI"/>
                <w:sz w:val="18"/>
              </w:rPr>
              <w:t>▲CapEx</w:t>
            </w:r>
          </w:p>
        </w:tc>
        <w:tc>
          <w:tcPr>
            <w:tcW w:type="dxa" w:w="1568"/>
            <w:shd w:val="clear" w:color="auto" w:fill="DDEBF7"/>
          </w:tcPr>
          <w:p>
            <w:r>
              <w:rPr>
                <w:rFonts w:ascii="Meiryo UI" w:hAnsi="Meiryo UI"/>
                <w:sz w:val="18"/>
              </w:rPr>
              <w:t>▲3,800</w:t>
            </w:r>
          </w:p>
        </w:tc>
        <w:tc>
          <w:tcPr>
            <w:tcW w:type="dxa" w:w="1568"/>
            <w:shd w:val="clear" w:color="auto" w:fill="DDEBF7"/>
          </w:tcPr>
          <w:p>
            <w:r>
              <w:rPr>
                <w:rFonts w:ascii="Meiryo UI" w:hAnsi="Meiryo UI"/>
                <w:sz w:val="18"/>
              </w:rPr>
              <w:t>▲3,600</w:t>
            </w:r>
          </w:p>
        </w:tc>
        <w:tc>
          <w:tcPr>
            <w:tcW w:type="dxa" w:w="1568"/>
            <w:shd w:val="clear" w:color="auto" w:fill="DDEBF7"/>
          </w:tcPr>
          <w:p>
            <w:r>
              <w:rPr>
                <w:rFonts w:ascii="Meiryo UI" w:hAnsi="Meiryo UI"/>
                <w:sz w:val="18"/>
              </w:rPr>
              <w:t>▲3,500</w:t>
            </w:r>
          </w:p>
        </w:tc>
        <w:tc>
          <w:tcPr>
            <w:tcW w:type="dxa" w:w="1568"/>
            <w:shd w:val="clear" w:color="auto" w:fill="DDEBF7"/>
          </w:tcPr>
          <w:p>
            <w:r>
              <w:rPr>
                <w:rFonts w:ascii="Meiryo UI" w:hAnsi="Meiryo UI"/>
                <w:sz w:val="18"/>
              </w:rPr>
              <w:t>▲3,400</w:t>
            </w:r>
          </w:p>
        </w:tc>
        <w:tc>
          <w:tcPr>
            <w:tcW w:type="dxa" w:w="1568"/>
            <w:shd w:val="clear" w:color="auto" w:fill="DDEBF7"/>
          </w:tcPr>
          <w:p>
            <w:r>
              <w:rPr>
                <w:rFonts w:ascii="Meiryo UI" w:hAnsi="Meiryo UI"/>
                <w:sz w:val="18"/>
              </w:rPr>
              <w:t>▲3,300</w:t>
            </w:r>
          </w:p>
        </w:tc>
      </w:tr>
      <w:tr>
        <w:tc>
          <w:tcPr>
            <w:tcW w:type="dxa" w:w="1568"/>
          </w:tcPr>
          <w:p>
            <w:r>
              <w:rPr>
                <w:rFonts w:ascii="Meiryo UI" w:hAnsi="Meiryo UI"/>
                <w:sz w:val="18"/>
              </w:rPr>
              <w:t>▲運転資本増減</w:t>
            </w:r>
          </w:p>
        </w:tc>
        <w:tc>
          <w:tcPr>
            <w:tcW w:type="dxa" w:w="1568"/>
          </w:tcPr>
          <w:p>
            <w:r>
              <w:rPr>
                <w:rFonts w:ascii="Meiryo UI" w:hAnsi="Meiryo UI"/>
                <w:sz w:val="18"/>
              </w:rPr>
              <w:t>▲200</w:t>
            </w:r>
          </w:p>
        </w:tc>
        <w:tc>
          <w:tcPr>
            <w:tcW w:type="dxa" w:w="1568"/>
          </w:tcPr>
          <w:p>
            <w:r>
              <w:rPr>
                <w:rFonts w:ascii="Meiryo UI" w:hAnsi="Meiryo UI"/>
                <w:sz w:val="18"/>
              </w:rPr>
              <w:t>▲150</w:t>
            </w:r>
          </w:p>
        </w:tc>
        <w:tc>
          <w:tcPr>
            <w:tcW w:type="dxa" w:w="1568"/>
          </w:tcPr>
          <w:p>
            <w:r>
              <w:rPr>
                <w:rFonts w:ascii="Meiryo UI" w:hAnsi="Meiryo UI"/>
                <w:sz w:val="18"/>
              </w:rPr>
              <w:t>▲150</w:t>
            </w:r>
          </w:p>
        </w:tc>
        <w:tc>
          <w:tcPr>
            <w:tcW w:type="dxa" w:w="1568"/>
          </w:tcPr>
          <w:p>
            <w:r>
              <w:rPr>
                <w:rFonts w:ascii="Meiryo UI" w:hAnsi="Meiryo UI"/>
                <w:sz w:val="18"/>
              </w:rPr>
              <w:t>▲100</w:t>
            </w:r>
          </w:p>
        </w:tc>
        <w:tc>
          <w:tcPr>
            <w:tcW w:type="dxa" w:w="1568"/>
          </w:tcPr>
          <w:p>
            <w:r>
              <w:rPr>
                <w:rFonts w:ascii="Meiryo UI" w:hAnsi="Meiryo UI"/>
                <w:sz w:val="18"/>
              </w:rPr>
              <w:t>▲100</w:t>
            </w:r>
          </w:p>
        </w:tc>
      </w:tr>
      <w:tr>
        <w:tc>
          <w:tcPr>
            <w:tcW w:type="dxa" w:w="1568"/>
            <w:shd w:val="clear" w:color="auto" w:fill="DDEBF7"/>
          </w:tcPr>
          <w:p>
            <w:r>
              <w:rPr>
                <w:rFonts w:ascii="Meiryo UI" w:hAnsi="Meiryo UI"/>
                <w:sz w:val="18"/>
              </w:rPr>
              <w:t>FCFF</w:t>
            </w:r>
          </w:p>
        </w:tc>
        <w:tc>
          <w:tcPr>
            <w:tcW w:type="dxa" w:w="1568"/>
            <w:shd w:val="clear" w:color="auto" w:fill="DDEBF7"/>
          </w:tcPr>
          <w:p>
            <w:r>
              <w:rPr>
                <w:rFonts w:ascii="Meiryo UI" w:hAnsi="Meiryo UI"/>
                <w:sz w:val="18"/>
              </w:rPr>
              <w:t>5,450</w:t>
            </w:r>
          </w:p>
        </w:tc>
        <w:tc>
          <w:tcPr>
            <w:tcW w:type="dxa" w:w="1568"/>
            <w:shd w:val="clear" w:color="auto" w:fill="DDEBF7"/>
          </w:tcPr>
          <w:p>
            <w:r>
              <w:rPr>
                <w:rFonts w:ascii="Meiryo UI" w:hAnsi="Meiryo UI"/>
                <w:sz w:val="18"/>
              </w:rPr>
              <w:t>6,080</w:t>
            </w:r>
          </w:p>
        </w:tc>
        <w:tc>
          <w:tcPr>
            <w:tcW w:type="dxa" w:w="1568"/>
            <w:shd w:val="clear" w:color="auto" w:fill="DDEBF7"/>
          </w:tcPr>
          <w:p>
            <w:r>
              <w:rPr>
                <w:rFonts w:ascii="Meiryo UI" w:hAnsi="Meiryo UI"/>
                <w:sz w:val="18"/>
              </w:rPr>
              <w:t>6,420</w:t>
            </w:r>
          </w:p>
        </w:tc>
        <w:tc>
          <w:tcPr>
            <w:tcW w:type="dxa" w:w="1568"/>
            <w:shd w:val="clear" w:color="auto" w:fill="DDEBF7"/>
          </w:tcPr>
          <w:p>
            <w:r>
              <w:rPr>
                <w:rFonts w:ascii="Meiryo UI" w:hAnsi="Meiryo UI"/>
                <w:sz w:val="18"/>
              </w:rPr>
              <w:t>6,740</w:t>
            </w:r>
          </w:p>
        </w:tc>
        <w:tc>
          <w:tcPr>
            <w:tcW w:type="dxa" w:w="1568"/>
            <w:shd w:val="clear" w:color="auto" w:fill="DDEBF7"/>
          </w:tcPr>
          <w:p>
            <w:r>
              <w:rPr>
                <w:rFonts w:ascii="Meiryo UI" w:hAnsi="Meiryo UI"/>
                <w:sz w:val="18"/>
              </w:rPr>
              <w:t>7,010</w:t>
            </w:r>
          </w:p>
        </w:tc>
      </w:tr>
      <w:tr>
        <w:tc>
          <w:tcPr>
            <w:tcW w:type="dxa" w:w="1568"/>
          </w:tcPr>
          <w:p>
            <w:r>
              <w:rPr>
                <w:rFonts w:ascii="Meiryo UI" w:hAnsi="Meiryo UI"/>
                <w:sz w:val="18"/>
              </w:rPr>
              <w:t>割引率（WACC 6.9%）</w:t>
            </w:r>
          </w:p>
        </w:tc>
        <w:tc>
          <w:tcPr>
            <w:tcW w:type="dxa" w:w="1568"/>
          </w:tcPr>
          <w:p>
            <w:r>
              <w:rPr>
                <w:rFonts w:ascii="Meiryo UI" w:hAnsi="Meiryo UI"/>
                <w:sz w:val="18"/>
              </w:rPr>
              <w:t>1/(1.069)^1</w:t>
            </w:r>
          </w:p>
        </w:tc>
        <w:tc>
          <w:tcPr>
            <w:tcW w:type="dxa" w:w="1568"/>
          </w:tcPr>
          <w:p>
            <w:r>
              <w:rPr>
                <w:rFonts w:ascii="Meiryo UI" w:hAnsi="Meiryo UI"/>
                <w:sz w:val="18"/>
              </w:rPr>
              <w:t>1/(1.069)^2</w:t>
            </w:r>
          </w:p>
        </w:tc>
        <w:tc>
          <w:tcPr>
            <w:tcW w:type="dxa" w:w="1568"/>
          </w:tcPr>
          <w:p>
            <w:r>
              <w:rPr>
                <w:rFonts w:ascii="Meiryo UI" w:hAnsi="Meiryo UI"/>
                <w:sz w:val="18"/>
              </w:rPr>
              <w:t>1/(1.069)^3</w:t>
            </w:r>
          </w:p>
        </w:tc>
        <w:tc>
          <w:tcPr>
            <w:tcW w:type="dxa" w:w="1568"/>
          </w:tcPr>
          <w:p>
            <w:r>
              <w:rPr>
                <w:rFonts w:ascii="Meiryo UI" w:hAnsi="Meiryo UI"/>
                <w:sz w:val="18"/>
              </w:rPr>
              <w:t>1/(1.069)^4</w:t>
            </w:r>
          </w:p>
        </w:tc>
        <w:tc>
          <w:tcPr>
            <w:tcW w:type="dxa" w:w="1568"/>
          </w:tcPr>
          <w:p>
            <w:r>
              <w:rPr>
                <w:rFonts w:ascii="Meiryo UI" w:hAnsi="Meiryo UI"/>
                <w:sz w:val="18"/>
              </w:rPr>
              <w:t>1/(1.069)^5</w:t>
            </w:r>
          </w:p>
        </w:tc>
      </w:tr>
      <w:tr>
        <w:tc>
          <w:tcPr>
            <w:tcW w:type="dxa" w:w="1568"/>
            <w:shd w:val="clear" w:color="auto" w:fill="DDEBF7"/>
          </w:tcPr>
          <w:p>
            <w:r>
              <w:rPr>
                <w:rFonts w:ascii="Meiryo UI" w:hAnsi="Meiryo UI"/>
                <w:sz w:val="18"/>
              </w:rPr>
              <w:t>割引係数</w:t>
            </w:r>
          </w:p>
        </w:tc>
        <w:tc>
          <w:tcPr>
            <w:tcW w:type="dxa" w:w="1568"/>
            <w:shd w:val="clear" w:color="auto" w:fill="DDEBF7"/>
          </w:tcPr>
          <w:p>
            <w:r>
              <w:rPr>
                <w:rFonts w:ascii="Meiryo UI" w:hAnsi="Meiryo UI"/>
                <w:sz w:val="18"/>
              </w:rPr>
              <w:t>0.9354</w:t>
            </w:r>
          </w:p>
        </w:tc>
        <w:tc>
          <w:tcPr>
            <w:tcW w:type="dxa" w:w="1568"/>
            <w:shd w:val="clear" w:color="auto" w:fill="DDEBF7"/>
          </w:tcPr>
          <w:p>
            <w:r>
              <w:rPr>
                <w:rFonts w:ascii="Meiryo UI" w:hAnsi="Meiryo UI"/>
                <w:sz w:val="18"/>
              </w:rPr>
              <w:t>0.8750</w:t>
            </w:r>
          </w:p>
        </w:tc>
        <w:tc>
          <w:tcPr>
            <w:tcW w:type="dxa" w:w="1568"/>
            <w:shd w:val="clear" w:color="auto" w:fill="DDEBF7"/>
          </w:tcPr>
          <w:p>
            <w:r>
              <w:rPr>
                <w:rFonts w:ascii="Meiryo UI" w:hAnsi="Meiryo UI"/>
                <w:sz w:val="18"/>
              </w:rPr>
              <w:t>0.8185</w:t>
            </w:r>
          </w:p>
        </w:tc>
        <w:tc>
          <w:tcPr>
            <w:tcW w:type="dxa" w:w="1568"/>
            <w:shd w:val="clear" w:color="auto" w:fill="DDEBF7"/>
          </w:tcPr>
          <w:p>
            <w:r>
              <w:rPr>
                <w:rFonts w:ascii="Meiryo UI" w:hAnsi="Meiryo UI"/>
                <w:sz w:val="18"/>
              </w:rPr>
              <w:t>0.7657</w:t>
            </w:r>
          </w:p>
        </w:tc>
        <w:tc>
          <w:tcPr>
            <w:tcW w:type="dxa" w:w="1568"/>
            <w:shd w:val="clear" w:color="auto" w:fill="DDEBF7"/>
          </w:tcPr>
          <w:p>
            <w:r>
              <w:rPr>
                <w:rFonts w:ascii="Meiryo UI" w:hAnsi="Meiryo UI"/>
                <w:sz w:val="18"/>
              </w:rPr>
              <w:t>0.7163</w:t>
            </w:r>
          </w:p>
        </w:tc>
      </w:tr>
      <w:tr>
        <w:tc>
          <w:tcPr>
            <w:tcW w:type="dxa" w:w="1568"/>
          </w:tcPr>
          <w:p>
            <w:r>
              <w:rPr>
                <w:rFonts w:ascii="Meiryo UI" w:hAnsi="Meiryo UI"/>
                <w:sz w:val="18"/>
              </w:rPr>
              <w:t>PV(FCFF)</w:t>
            </w:r>
          </w:p>
        </w:tc>
        <w:tc>
          <w:tcPr>
            <w:tcW w:type="dxa" w:w="1568"/>
          </w:tcPr>
          <w:p>
            <w:r>
              <w:rPr>
                <w:rFonts w:ascii="Meiryo UI" w:hAnsi="Meiryo UI"/>
                <w:sz w:val="18"/>
              </w:rPr>
              <w:t>5,098</w:t>
            </w:r>
          </w:p>
        </w:tc>
        <w:tc>
          <w:tcPr>
            <w:tcW w:type="dxa" w:w="1568"/>
          </w:tcPr>
          <w:p>
            <w:r>
              <w:rPr>
                <w:rFonts w:ascii="Meiryo UI" w:hAnsi="Meiryo UI"/>
                <w:sz w:val="18"/>
              </w:rPr>
              <w:t>5,320</w:t>
            </w:r>
          </w:p>
        </w:tc>
        <w:tc>
          <w:tcPr>
            <w:tcW w:type="dxa" w:w="1568"/>
          </w:tcPr>
          <w:p>
            <w:r>
              <w:rPr>
                <w:rFonts w:ascii="Meiryo UI" w:hAnsi="Meiryo UI"/>
                <w:sz w:val="18"/>
              </w:rPr>
              <w:t>5,255</w:t>
            </w:r>
          </w:p>
        </w:tc>
        <w:tc>
          <w:tcPr>
            <w:tcW w:type="dxa" w:w="1568"/>
          </w:tcPr>
          <w:p>
            <w:r>
              <w:rPr>
                <w:rFonts w:ascii="Meiryo UI" w:hAnsi="Meiryo UI"/>
                <w:sz w:val="18"/>
              </w:rPr>
              <w:t>5,161</w:t>
            </w:r>
          </w:p>
        </w:tc>
        <w:tc>
          <w:tcPr>
            <w:tcW w:type="dxa" w:w="1568"/>
          </w:tcPr>
          <w:p>
            <w:r>
              <w:rPr>
                <w:rFonts w:ascii="Meiryo UI" w:hAnsi="Meiryo UI"/>
                <w:sz w:val="18"/>
              </w:rPr>
              <w:t>5,021</w:t>
            </w:r>
          </w:p>
        </w:tc>
      </w:tr>
    </w:tbl>
    <w:p/>
    <w:p>
      <w:r>
        <w:rPr>
          <w:rFonts w:ascii="Meiryo UI" w:hAnsi="Meiryo UI"/>
          <w:sz w:val="20"/>
        </w:rPr>
        <w:t>5カ年PV合計: 25,855億円</w:t>
      </w:r>
    </w:p>
    <w:p/>
    <w:p>
      <w:pPr>
        <w:pStyle w:val="Heading2"/>
      </w:pPr>
      <w:r>
        <w:rPr>
          <w:rFonts w:ascii="Meiryo UI" w:hAnsi="Meiryo UI"/>
          <w:color w:val="2E74B5"/>
        </w:rPr>
        <w:t>4.3 ターミナルバリュー（TV）計算</w:t>
      </w:r>
    </w:p>
    <w:p/>
    <w:p>
      <w:pPr>
        <w:shd w:val="clear" w:color="auto" w:fill="F2F2F2"/>
      </w:pPr>
      <w:r>
        <w:rPr>
          <w:rFonts w:ascii="Courier New" w:hAnsi="Courier New"/>
          <w:sz w:val="16"/>
        </w:rPr>
        <w:t>前提:</w:t>
        <w:br/>
        <w:t xml:space="preserve">  最終年度FCFF(FY2029E) = 7,010億円</w:t>
        <w:br/>
        <w:t xml:space="preserve">  永久成長率 g = 1.5%（インフレ+微成長、資源会社保守的設定）</w:t>
        <w:br/>
        <w:br/>
        <w:t>TV = FCFF × (1 + g) / (WACC - g)</w:t>
        <w:br/>
        <w:t xml:space="preserve">   = 7,010 × 1.015 / (6.9% - 1.5%)</w:t>
        <w:br/>
        <w:t xml:space="preserve">   = 7,115 / 5.4%</w:t>
        <w:br/>
        <w:t xml:space="preserve">   = 131,759億円</w:t>
        <w:br/>
        <w:br/>
        <w:t>TV のPV = 131,759 × 0.7163（5年割引係数）</w:t>
        <w:br/>
        <w:t xml:space="preserve">         = 94,372億円</w:t>
      </w:r>
    </w:p>
    <w:p/>
    <w:p>
      <w:pPr>
        <w:pStyle w:val="Heading2"/>
      </w:pPr>
      <w:r>
        <w:rPr>
          <w:rFonts w:ascii="Meiryo UI" w:hAnsi="Meiryo UI"/>
          <w:color w:val="2E74B5"/>
        </w:rPr>
        <w:t>4.4 企業価値・理論株価算出</w:t>
      </w:r>
    </w:p>
    <w:p/>
    <w:p>
      <w:pPr>
        <w:shd w:val="clear" w:color="auto" w:fill="F2F2F2"/>
      </w:pPr>
      <w:r>
        <w:rPr>
          <w:rFonts w:ascii="Courier New" w:hAnsi="Courier New"/>
          <w:sz w:val="16"/>
        </w:rPr>
        <w:t>EV（企業価値）</w:t>
        <w:br/>
        <w:t xml:space="preserve">  = 5カ年PV + TV のPV</w:t>
        <w:br/>
        <w:t xml:space="preserve">  = 25,855 + 94,372</w:t>
        <w:br/>
        <w:t xml:space="preserve">  = 120,227億円</w:t>
        <w:br/>
        <w:br/>
        <w:t>純有利子負債（Net Debt）: ▲4,000億円</w:t>
        <w:br/>
        <w:t>少数株主持分（NCI推定）:  ▲8,000億円（Ichthys等の少数株主）</w:t>
        <w:br/>
        <w:br/>
        <w:t>株主価値 = 120,227 - 4,000 - 8,000 = 108,227億円</w:t>
        <w:br/>
        <w:br/>
        <w:t>発行済株式数: 約27億株（自社株控除後）</w:t>
        <w:br/>
        <w:br/>
        <w:t>理論株価 = 108,227億円 ÷ 27億株</w:t>
        <w:br/>
        <w:t xml:space="preserve">         = 4,008円/株</w:t>
      </w:r>
    </w:p>
    <w:p/>
    <w:p>
      <w:pPr>
        <w:pStyle w:val="Heading2"/>
      </w:pPr>
      <w:r>
        <w:rPr>
          <w:rFonts w:ascii="Meiryo UI" w:hAnsi="Meiryo UI"/>
          <w:color w:val="2E74B5"/>
        </w:rPr>
        <w:t>4.5 理論株価サマリー（ベースケース）</w:t>
      </w:r>
    </w:p>
    <w:p/>
    <w:p>
      <w:pPr>
        <w:shd w:val="clear" w:color="auto" w:fill="F2F2F2"/>
      </w:pPr>
      <w:r>
        <w:rPr>
          <w:rFonts w:ascii="Courier New" w:hAnsi="Courier New"/>
          <w:sz w:val="16"/>
        </w:rPr>
        <w:t>■ DCF理論株価（ベース）: 約4,000〜4,050円/株</w:t>
        <w:br/>
        <w:t>■ 現在株価（推定）:       約1,900〜2,100円/株（2026年4月初旬）</w:t>
        <w:br/>
        <w:t>■ 上昇余地（単純）:        約90〜110%</w:t>
      </w:r>
    </w:p>
    <w:p/>
    <w:p>
      <w:r>
        <w:t>──────────────────────────────────────────────────</w:t>
      </w:r>
    </w:p>
    <w:p/>
    <w:p>
      <w:pPr>
        <w:pStyle w:val="Heading1"/>
      </w:pPr>
      <w:r>
        <w:rPr>
          <w:rFonts w:ascii="Meiryo UI" w:hAnsi="Meiryo UI"/>
          <w:color w:val="1F3864"/>
        </w:rPr>
        <w:t>5. 理論株価と投資判断</w:t>
      </w:r>
    </w:p>
    <w:p/>
    <w:p>
      <w:pPr>
        <w:pStyle w:val="Heading2"/>
      </w:pPr>
      <w:r>
        <w:rPr>
          <w:rFonts w:ascii="Meiryo UI" w:hAnsi="Meiryo UI"/>
          <w:color w:val="2E74B5"/>
        </w:rPr>
        <w:t>5.1 理論株価レンジ（3ケース）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理論株価（円）</w:t>
            </w:r>
          </w:p>
        </w:tc>
        <w:tc>
          <w:tcPr>
            <w:tcW w:type="dxa" w:w="3135"/>
            <w:shd w:val="clear" w:color="auto" w:fill="2E74B5"/>
          </w:tcPr>
          <w:p>
            <w:r>
              <w:rPr>
                <w:rFonts w:ascii="Meiryo UI" w:hAnsi="Meiryo UI"/>
                <w:b/>
                <w:color w:val="FFFFFF"/>
                <w:sz w:val="18"/>
              </w:rPr>
              <w:t>現在株価比</w:t>
            </w:r>
          </w:p>
        </w:tc>
      </w:tr>
      <w:tr>
        <w:tc>
          <w:tcPr>
            <w:tcW w:type="dxa" w:w="3135"/>
          </w:tcPr>
          <w:p>
            <w:r>
              <w:rPr>
                <w:rFonts w:ascii="Meiryo UI" w:hAnsi="Meiryo UI"/>
                <w:sz w:val="18"/>
              </w:rPr>
              <w:t>強気（Bull）</w:t>
            </w:r>
          </w:p>
        </w:tc>
        <w:tc>
          <w:tcPr>
            <w:tcW w:type="dxa" w:w="3135"/>
          </w:tcPr>
          <w:p>
            <w:r>
              <w:rPr>
                <w:rFonts w:ascii="Meiryo UI" w:hAnsi="Meiryo UI"/>
                <w:sz w:val="18"/>
              </w:rPr>
              <w:t>5,200〜5,500</w:t>
            </w:r>
          </w:p>
        </w:tc>
        <w:tc>
          <w:tcPr>
            <w:tcW w:type="dxa" w:w="3135"/>
          </w:tcPr>
          <w:p>
            <w:r>
              <w:rPr>
                <w:rFonts w:ascii="Meiryo UI" w:hAnsi="Meiryo UI"/>
                <w:sz w:val="18"/>
              </w:rPr>
              <w:t>+148〜162%</w:t>
            </w:r>
          </w:p>
        </w:tc>
      </w:tr>
      <w:tr>
        <w:tc>
          <w:tcPr>
            <w:tcW w:type="dxa" w:w="3135"/>
            <w:shd w:val="clear" w:color="auto" w:fill="DDEBF7"/>
          </w:tcPr>
          <w:p>
            <w:r>
              <w:rPr>
                <w:rFonts w:ascii="Meiryo UI" w:hAnsi="Meiryo UI"/>
                <w:sz w:val="18"/>
              </w:rPr>
              <w:t>基本（Base）</w:t>
            </w:r>
          </w:p>
        </w:tc>
        <w:tc>
          <w:tcPr>
            <w:tcW w:type="dxa" w:w="3135"/>
            <w:shd w:val="clear" w:color="auto" w:fill="DDEBF7"/>
          </w:tcPr>
          <w:p>
            <w:r>
              <w:rPr>
                <w:rFonts w:ascii="Meiryo UI" w:hAnsi="Meiryo UI"/>
                <w:sz w:val="18"/>
              </w:rPr>
              <w:t>3,900〜4,100</w:t>
            </w:r>
          </w:p>
        </w:tc>
        <w:tc>
          <w:tcPr>
            <w:tcW w:type="dxa" w:w="3135"/>
            <w:shd w:val="clear" w:color="auto" w:fill="DDEBF7"/>
          </w:tcPr>
          <w:p>
            <w:r>
              <w:rPr>
                <w:rFonts w:ascii="Meiryo UI" w:hAnsi="Meiryo UI"/>
                <w:sz w:val="18"/>
              </w:rPr>
              <w:t>+86〜95%</w:t>
            </w:r>
          </w:p>
        </w:tc>
      </w:tr>
      <w:tr>
        <w:tc>
          <w:tcPr>
            <w:tcW w:type="dxa" w:w="3135"/>
          </w:tcPr>
          <w:p>
            <w:r>
              <w:rPr>
                <w:rFonts w:ascii="Meiryo UI" w:hAnsi="Meiryo UI"/>
                <w:sz w:val="18"/>
              </w:rPr>
              <w:t>弱気（Bear）</w:t>
            </w:r>
          </w:p>
        </w:tc>
        <w:tc>
          <w:tcPr>
            <w:tcW w:type="dxa" w:w="3135"/>
          </w:tcPr>
          <w:p>
            <w:r>
              <w:rPr>
                <w:rFonts w:ascii="Meiryo UI" w:hAnsi="Meiryo UI"/>
                <w:sz w:val="18"/>
              </w:rPr>
              <w:t>2,400〜2,700</w:t>
            </w:r>
          </w:p>
        </w:tc>
        <w:tc>
          <w:tcPr>
            <w:tcW w:type="dxa" w:w="3135"/>
          </w:tcPr>
          <w:p>
            <w:r>
              <w:rPr>
                <w:rFonts w:ascii="Meiryo UI" w:hAnsi="Meiryo UI"/>
                <w:sz w:val="18"/>
              </w:rPr>
              <w:t>+14〜29%</w:t>
            </w:r>
          </w:p>
        </w:tc>
      </w:tr>
    </w:tbl>
    <w:p/>
    <w:p>
      <w:pPr>
        <w:pStyle w:val="Heading2"/>
      </w:pPr>
      <w:r>
        <w:rPr>
          <w:rFonts w:ascii="Meiryo UI" w:hAnsi="Meiryo UI"/>
          <w:color w:val="2E74B5"/>
        </w:rPr>
        <w:t>5.2 ロジスティクス・ストレス調整後理論株価</w:t>
      </w:r>
    </w:p>
    <w:p/>
    <w:p>
      <w:pPr>
        <w:shd w:val="clear" w:color="auto" w:fill="F2F2F2"/>
      </w:pPr>
      <w:r>
        <w:rPr>
          <w:rFonts w:ascii="Courier New" w:hAnsi="Courier New"/>
          <w:sz w:val="16"/>
        </w:rPr>
        <w:t>ロジスティクスリスク調整:</w:t>
        <w:br/>
        <w:t xml:space="preserve">  P(重大障害以上) = 20%</w:t>
        <w:br/>
        <w:t xml:space="preserve">  重大障害時の価値毀損率 = ▲25%</w:t>
        <w:br/>
        <w:br/>
        <w:t xml:space="preserve">  期待値調整:</w:t>
        <w:br/>
        <w:t xml:space="preserve">  調整後理論株価 = 4,000 × (0.80 × 1.00 + 0.20 × 0.75)</w:t>
        <w:br/>
        <w:t xml:space="preserve">                 = 4,000 × (0.80 + 0.15)</w:t>
        <w:br/>
        <w:t xml:space="preserve">                 = 4,000 × 0.95</w:t>
        <w:br/>
        <w:t xml:space="preserve">                 = 3,800円</w:t>
      </w:r>
    </w:p>
    <w:p/>
    <w:p>
      <w:pPr>
        <w:pStyle w:val="Heading2"/>
      </w:pPr>
      <w:r>
        <w:rPr>
          <w:rFonts w:ascii="Meiryo UI" w:hAnsi="Meiryo UI"/>
          <w:color w:val="2E74B5"/>
        </w:rPr>
        <w:t>5.3 安全域（Margin of Safety）</w:t>
      </w:r>
    </w:p>
    <w:p/>
    <w:p>
      <w:pPr>
        <w:shd w:val="clear" w:color="auto" w:fill="F2F2F2"/>
      </w:pPr>
      <w:r>
        <w:rPr>
          <w:rFonts w:ascii="Courier New" w:hAnsi="Courier New"/>
          <w:sz w:val="16"/>
        </w:rPr>
        <w:t>【通常MoS】</w:t>
        <w:br/>
        <w:t xml:space="preserve">  MoS = (4,000 - 2,000) / 4,000 = 50.0%</w:t>
        <w:br/>
        <w:br/>
        <w:t>【ロジスティクス・ストレス調整後MoS（Stress-Adjusted MoS）】</w:t>
        <w:br/>
        <w:t xml:space="preserve">  MoS = (3,800 - 2,000) / 3,800 = 47.4%</w:t>
        <w:br/>
        <w:br/>
        <w:t>【保守的バッファ（さらに▲15%安全マージン上乗せ）】</w:t>
        <w:br/>
        <w:t xml:space="preserve">  保守的エントリー目安 = 3,800 × 0.70 = 2,660円以下</w:t>
        <w:br/>
        <w:br/>
        <w:t>現在株価 約2,000円は保守的エントリー水準を下回っており、</w:t>
        <w:br/>
        <w:t>安全域は確保されている。ただし物流崩壊（蓋然性5%）シナリオでは</w:t>
        <w:br/>
        <w:t>理論株価が2,800〜3,000円まで低下する可能性あり。</w:t>
      </w:r>
    </w:p>
    <w:p/>
    <w:p>
      <w:pPr>
        <w:pStyle w:val="Heading2"/>
      </w:pPr>
      <w:r>
        <w:rPr>
          <w:rFonts w:ascii="Meiryo UI" w:hAnsi="Meiryo UI"/>
          <w:color w:val="2E74B5"/>
        </w:rPr>
        <w:t>5.4 投資判断</w:t>
      </w:r>
    </w:p>
    <w:p/>
    <w:p>
      <w:pPr>
        <w:shd w:val="clear" w:color="auto" w:fill="F2F2F2"/>
      </w:pPr>
      <w:r>
        <w:rPr>
          <w:rFonts w:ascii="Courier New" w:hAnsi="Courier New"/>
          <w:sz w:val="16"/>
        </w:rPr>
        <w:t>┌─────────────────────────────────────┐</w:t>
        <w:br/>
        <w:t>│ 投資判断: 「買い（BUY）」               │</w:t>
        <w:br/>
        <w:t>│ （浅井速報の「Strong BUY」から1段階引下）  │</w:t>
        <w:br/>
        <w:t>│                                       │</w:t>
        <w:br/>
        <w:t>│ 理由: ロジスティクスリスクを定量化した結果、│</w:t>
        <w:br/>
        <w:t>│ 重大シナリオ（20%確率）でも現在株価水準は  │</w:t>
        <w:br/>
        <w:t>│ なお割安を維持するが、「強い買い」を正当化  │</w:t>
        <w:br/>
        <w:t>│ するには物流リスクプレミアムの追加織込みが  │</w:t>
        <w:br/>
        <w:t>│ 必要と判断。「買い」に修正。              │</w:t>
        <w:br/>
        <w:t>└─────────────────────────────────────┘</w:t>
      </w:r>
    </w:p>
    <w:p/>
    <w:p>
      <w:r>
        <w:t>──────────────────────────────────────────────────</w:t>
      </w:r>
    </w:p>
    <w:p/>
    <w:p>
      <w:pPr>
        <w:pStyle w:val="Heading1"/>
      </w:pPr>
      <w:r>
        <w:rPr>
          <w:rFonts w:ascii="Meiryo UI" w:hAnsi="Meiryo UI"/>
          <w:color w:val="1F3864"/>
        </w:rPr>
        <w:t>6. メインシナリオ vs リスクシナリオ（3ケース）</w:t>
      </w:r>
    </w:p>
    <w:p/>
    <w:p>
      <w:pPr>
        <w:pStyle w:val="Heading2"/>
      </w:pPr>
      <w:r>
        <w:rPr>
          <w:rFonts w:ascii="Meiryo UI" w:hAnsi="Meiryo UI"/>
          <w:color w:val="2E74B5"/>
        </w:rPr>
        <w:t>6.1 強気シナリオ（Bull Case）— 確率 25%</w:t>
      </w:r>
    </w:p>
    <w:p/>
    <w:p>
      <w:r>
        <w:rPr>
          <w:rFonts w:ascii="Meiryo UI" w:hAnsi="Meiryo UI"/>
          <w:sz w:val="20"/>
        </w:rPr>
        <w:t>前提:</w:t>
      </w:r>
    </w:p>
    <w:p>
      <w:pPr>
        <w:pStyle w:val="ListBullet"/>
      </w:pPr>
      <w:r>
        <w:rPr>
          <w:rFonts w:ascii="Meiryo UI" w:hAnsi="Meiryo UI"/>
          <w:sz w:val="20"/>
        </w:rPr>
        <w:t>Brent原油 90ドル/bbl水準の長期維持</w:t>
      </w:r>
    </w:p>
    <w:p>
      <w:pPr>
        <w:pStyle w:val="ListBullet"/>
      </w:pPr>
      <w:r>
        <w:rPr>
          <w:rFonts w:ascii="Meiryo UI" w:hAnsi="Meiryo UI"/>
          <w:sz w:val="20"/>
        </w:rPr>
        <w:t>ホルムズ・紅海の緊張緩和、物流正常化</w:t>
      </w:r>
    </w:p>
    <w:p>
      <w:pPr>
        <w:pStyle w:val="ListBullet"/>
      </w:pPr>
      <w:r>
        <w:rPr>
          <w:rFonts w:ascii="Meiryo UI" w:hAnsi="Meiryo UI"/>
          <w:sz w:val="20"/>
        </w:rPr>
        <w:t>Ichthys稼働率95%以上、SPA完全履行</w:t>
      </w:r>
    </w:p>
    <w:p>
      <w:pPr>
        <w:pStyle w:val="ListBullet"/>
      </w:pPr>
      <w:r>
        <w:rPr>
          <w:rFonts w:ascii="Meiryo UI" w:hAnsi="Meiryo UI"/>
          <w:sz w:val="20"/>
        </w:rPr>
        <w:t>円安継続（USD/JPY 150円）</w:t>
      </w:r>
    </w:p>
    <w:p>
      <w:pPr>
        <w:pStyle w:val="ListBullet"/>
      </w:pPr>
      <w:r>
        <w:rPr>
          <w:rFonts w:ascii="Meiryo UI" w:hAnsi="Meiryo UI"/>
          <w:sz w:val="20"/>
        </w:rPr>
        <w:t>新規探鉱成功（インドネシア・マセラ）</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FY2026E売上高</w:t>
            </w:r>
          </w:p>
        </w:tc>
        <w:tc>
          <w:tcPr>
            <w:tcW w:type="dxa" w:w="4703"/>
          </w:tcPr>
          <w:p>
            <w:r>
              <w:rPr>
                <w:rFonts w:ascii="Meiryo UI" w:hAnsi="Meiryo UI"/>
                <w:sz w:val="18"/>
              </w:rPr>
              <w:t>3.8兆円</w:t>
            </w:r>
          </w:p>
        </w:tc>
      </w:tr>
      <w:tr>
        <w:tc>
          <w:tcPr>
            <w:tcW w:type="dxa" w:w="4703"/>
            <w:shd w:val="clear" w:color="auto" w:fill="DDEBF7"/>
          </w:tcPr>
          <w:p>
            <w:r>
              <w:rPr>
                <w:rFonts w:ascii="Meiryo UI" w:hAnsi="Meiryo UI"/>
                <w:sz w:val="18"/>
              </w:rPr>
              <w:t>FY2026E営業利益</w:t>
            </w:r>
          </w:p>
        </w:tc>
        <w:tc>
          <w:tcPr>
            <w:tcW w:type="dxa" w:w="4703"/>
            <w:shd w:val="clear" w:color="auto" w:fill="DDEBF7"/>
          </w:tcPr>
          <w:p>
            <w:r>
              <w:rPr>
                <w:rFonts w:ascii="Meiryo UI" w:hAnsi="Meiryo UI"/>
                <w:sz w:val="18"/>
              </w:rPr>
              <w:t>1.3兆円</w:t>
            </w:r>
          </w:p>
        </w:tc>
      </w:tr>
      <w:tr>
        <w:tc>
          <w:tcPr>
            <w:tcW w:type="dxa" w:w="4703"/>
          </w:tcPr>
          <w:p>
            <w:r>
              <w:rPr>
                <w:rFonts w:ascii="Meiryo UI" w:hAnsi="Meiryo UI"/>
                <w:sz w:val="18"/>
              </w:rPr>
              <w:t>理論株価</w:t>
            </w:r>
          </w:p>
        </w:tc>
        <w:tc>
          <w:tcPr>
            <w:tcW w:type="dxa" w:w="4703"/>
          </w:tcPr>
          <w:p>
            <w:r>
              <w:rPr>
                <w:rFonts w:ascii="Meiryo UI" w:hAnsi="Meiryo UI"/>
                <w:sz w:val="18"/>
              </w:rPr>
              <w:t>5,200〜5,500円</w:t>
            </w:r>
          </w:p>
        </w:tc>
      </w:tr>
      <w:tr>
        <w:tc>
          <w:tcPr>
            <w:tcW w:type="dxa" w:w="4703"/>
            <w:shd w:val="clear" w:color="auto" w:fill="DDEBF7"/>
          </w:tcPr>
          <w:p>
            <w:r>
              <w:rPr>
                <w:rFonts w:ascii="Meiryo UI" w:hAnsi="Meiryo UI"/>
                <w:sz w:val="18"/>
              </w:rPr>
              <w:t>配当利回り</w:t>
            </w:r>
          </w:p>
        </w:tc>
        <w:tc>
          <w:tcPr>
            <w:tcW w:type="dxa" w:w="4703"/>
            <w:shd w:val="clear" w:color="auto" w:fill="DDEBF7"/>
          </w:tcPr>
          <w:p>
            <w:r>
              <w:rPr>
                <w:rFonts w:ascii="Meiryo UI" w:hAnsi="Meiryo UI"/>
                <w:sz w:val="18"/>
              </w:rPr>
              <w:t>3.5%</w:t>
            </w:r>
          </w:p>
        </w:tc>
      </w:tr>
    </w:tbl>
    <w:p/>
    <w:p>
      <w:pPr>
        <w:pStyle w:val="Heading2"/>
      </w:pPr>
      <w:r>
        <w:rPr>
          <w:rFonts w:ascii="Meiryo UI" w:hAnsi="Meiryo UI"/>
          <w:color w:val="2E74B5"/>
        </w:rPr>
        <w:t>6.2 基本シナリオ（Base Case）— 確率 45%</w:t>
      </w:r>
    </w:p>
    <w:p/>
    <w:p>
      <w:r>
        <w:rPr>
          <w:rFonts w:ascii="Meiryo UI" w:hAnsi="Meiryo UI"/>
          <w:sz w:val="20"/>
        </w:rPr>
        <w:t>前提:</w:t>
      </w:r>
    </w:p>
    <w:p>
      <w:pPr>
        <w:pStyle w:val="ListBullet"/>
      </w:pPr>
      <w:r>
        <w:rPr>
          <w:rFonts w:ascii="Meiryo UI" w:hAnsi="Meiryo UI"/>
          <w:sz w:val="20"/>
        </w:rPr>
        <w:t>Brent原油 75〜82ドル/bbl</w:t>
      </w:r>
    </w:p>
    <w:p>
      <w:pPr>
        <w:pStyle w:val="ListBullet"/>
      </w:pPr>
      <w:r>
        <w:rPr>
          <w:rFonts w:ascii="Meiryo UI" w:hAnsi="Meiryo UI"/>
          <w:sz w:val="20"/>
        </w:rPr>
        <w:t>物流障害は軽微（傭船料20〜30%上昇）</w:t>
      </w:r>
    </w:p>
    <w:p>
      <w:pPr>
        <w:pStyle w:val="ListBullet"/>
      </w:pPr>
      <w:r>
        <w:rPr>
          <w:rFonts w:ascii="Meiryo UI" w:hAnsi="Meiryo UI"/>
          <w:sz w:val="20"/>
        </w:rPr>
        <w:t>Ichthys稼働率88〜92%</w:t>
      </w:r>
    </w:p>
    <w:p>
      <w:pPr>
        <w:pStyle w:val="ListBullet"/>
      </w:pPr>
      <w:r>
        <w:rPr>
          <w:rFonts w:ascii="Meiryo UI" w:hAnsi="Meiryo UI"/>
          <w:sz w:val="20"/>
        </w:rPr>
        <w:t>USD/JPY 143〜148円</w:t>
      </w:r>
    </w:p>
    <w:p>
      <w:pPr>
        <w:pStyle w:val="ListBullet"/>
      </w:pPr>
      <w:r>
        <w:rPr>
          <w:rFonts w:ascii="Meiryo UI" w:hAnsi="Meiryo UI"/>
          <w:sz w:val="20"/>
        </w:rPr>
        <w:t>既存鉱区の安定生産継続</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FY2026E売上高</w:t>
            </w:r>
          </w:p>
        </w:tc>
        <w:tc>
          <w:tcPr>
            <w:tcW w:type="dxa" w:w="4703"/>
          </w:tcPr>
          <w:p>
            <w:r>
              <w:rPr>
                <w:rFonts w:ascii="Meiryo UI" w:hAnsi="Meiryo UI"/>
                <w:sz w:val="18"/>
              </w:rPr>
              <w:t>3.0〜3.2兆円</w:t>
            </w:r>
          </w:p>
        </w:tc>
      </w:tr>
      <w:tr>
        <w:tc>
          <w:tcPr>
            <w:tcW w:type="dxa" w:w="4703"/>
            <w:shd w:val="clear" w:color="auto" w:fill="DDEBF7"/>
          </w:tcPr>
          <w:p>
            <w:r>
              <w:rPr>
                <w:rFonts w:ascii="Meiryo UI" w:hAnsi="Meiryo UI"/>
                <w:sz w:val="18"/>
              </w:rPr>
              <w:t>FY2026E営業利益</w:t>
            </w:r>
          </w:p>
        </w:tc>
        <w:tc>
          <w:tcPr>
            <w:tcW w:type="dxa" w:w="4703"/>
            <w:shd w:val="clear" w:color="auto" w:fill="DDEBF7"/>
          </w:tcPr>
          <w:p>
            <w:r>
              <w:rPr>
                <w:rFonts w:ascii="Meiryo UI" w:hAnsi="Meiryo UI"/>
                <w:sz w:val="18"/>
              </w:rPr>
              <w:t>0.85〜1.0兆円</w:t>
            </w:r>
          </w:p>
        </w:tc>
      </w:tr>
      <w:tr>
        <w:tc>
          <w:tcPr>
            <w:tcW w:type="dxa" w:w="4703"/>
          </w:tcPr>
          <w:p>
            <w:r>
              <w:rPr>
                <w:rFonts w:ascii="Meiryo UI" w:hAnsi="Meiryo UI"/>
                <w:sz w:val="18"/>
              </w:rPr>
              <w:t>理論株価</w:t>
            </w:r>
          </w:p>
        </w:tc>
        <w:tc>
          <w:tcPr>
            <w:tcW w:type="dxa" w:w="4703"/>
          </w:tcPr>
          <w:p>
            <w:r>
              <w:rPr>
                <w:rFonts w:ascii="Meiryo UI" w:hAnsi="Meiryo UI"/>
                <w:sz w:val="18"/>
              </w:rPr>
              <w:t>3,900〜4,100円</w:t>
            </w:r>
          </w:p>
        </w:tc>
      </w:tr>
      <w:tr>
        <w:tc>
          <w:tcPr>
            <w:tcW w:type="dxa" w:w="4703"/>
            <w:shd w:val="clear" w:color="auto" w:fill="DDEBF7"/>
          </w:tcPr>
          <w:p>
            <w:r>
              <w:rPr>
                <w:rFonts w:ascii="Meiryo UI" w:hAnsi="Meiryo UI"/>
                <w:sz w:val="18"/>
              </w:rPr>
              <w:t>配当利回り</w:t>
            </w:r>
          </w:p>
        </w:tc>
        <w:tc>
          <w:tcPr>
            <w:tcW w:type="dxa" w:w="4703"/>
            <w:shd w:val="clear" w:color="auto" w:fill="DDEBF7"/>
          </w:tcPr>
          <w:p>
            <w:r>
              <w:rPr>
                <w:rFonts w:ascii="Meiryo UI" w:hAnsi="Meiryo UI"/>
                <w:sz w:val="18"/>
              </w:rPr>
              <w:t>4.0〜4.5%</w:t>
            </w:r>
          </w:p>
        </w:tc>
      </w:tr>
    </w:tbl>
    <w:p/>
    <w:p>
      <w:pPr>
        <w:pStyle w:val="Heading2"/>
      </w:pPr>
      <w:r>
        <w:rPr>
          <w:rFonts w:ascii="Meiryo UI" w:hAnsi="Meiryo UI"/>
          <w:color w:val="2E74B5"/>
        </w:rPr>
        <w:t>6.3 弱気シナリオ（Bear Case）— 確率 30%</w:t>
      </w:r>
    </w:p>
    <w:p/>
    <w:p>
      <w:r>
        <w:rPr>
          <w:rFonts w:ascii="Meiryo UI" w:hAnsi="Meiryo UI"/>
          <w:sz w:val="20"/>
        </w:rPr>
        <w:t>前提:</w:t>
      </w:r>
    </w:p>
    <w:p>
      <w:pPr>
        <w:pStyle w:val="ListBullet"/>
      </w:pPr>
      <w:r>
        <w:rPr>
          <w:rFonts w:ascii="Meiryo UI" w:hAnsi="Meiryo UI"/>
          <w:sz w:val="20"/>
        </w:rPr>
        <w:t>Brent原油 60〜70ドル/bbl（需要減速・シェール増産）</w:t>
      </w:r>
    </w:p>
    <w:p>
      <w:pPr>
        <w:pStyle w:val="ListBullet"/>
      </w:pPr>
      <w:r>
        <w:rPr>
          <w:rFonts w:ascii="Meiryo UI" w:hAnsi="Meiryo UI"/>
          <w:sz w:val="20"/>
        </w:rPr>
        <w:t>中程度ロジスティクス障害（傭船料3倍・数量▲8%）</w:t>
      </w:r>
    </w:p>
    <w:p>
      <w:pPr>
        <w:pStyle w:val="ListBullet"/>
      </w:pPr>
      <w:r>
        <w:rPr>
          <w:rFonts w:ascii="Meiryo UI" w:hAnsi="Meiryo UI"/>
          <w:sz w:val="20"/>
        </w:rPr>
        <w:t>SPA一部不履行（Ichthys設備トラブル）</w:t>
      </w:r>
    </w:p>
    <w:p>
      <w:pPr>
        <w:pStyle w:val="ListBullet"/>
      </w:pPr>
      <w:r>
        <w:rPr>
          <w:rFonts w:ascii="Meiryo UI" w:hAnsi="Meiryo UI"/>
          <w:sz w:val="20"/>
        </w:rPr>
        <w:t>円高進行（USD/JPY 135〜140円）</w:t>
      </w:r>
    </w:p>
    <w:p>
      <w:pPr>
        <w:pStyle w:val="ListBullet"/>
      </w:pPr>
      <w:r>
        <w:rPr>
          <w:rFonts w:ascii="Meiryo UI" w:hAnsi="Meiryo UI"/>
          <w:sz w:val="20"/>
        </w:rPr>
        <w:t>ロジスティクスコスト増▲150〜200億円/年</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FY2026E売上高</w:t>
            </w:r>
          </w:p>
        </w:tc>
        <w:tc>
          <w:tcPr>
            <w:tcW w:type="dxa" w:w="4703"/>
          </w:tcPr>
          <w:p>
            <w:r>
              <w:rPr>
                <w:rFonts w:ascii="Meiryo UI" w:hAnsi="Meiryo UI"/>
                <w:sz w:val="18"/>
              </w:rPr>
              <w:t>2.2〜2.5兆円</w:t>
            </w:r>
          </w:p>
        </w:tc>
      </w:tr>
      <w:tr>
        <w:tc>
          <w:tcPr>
            <w:tcW w:type="dxa" w:w="4703"/>
            <w:shd w:val="clear" w:color="auto" w:fill="DDEBF7"/>
          </w:tcPr>
          <w:p>
            <w:r>
              <w:rPr>
                <w:rFonts w:ascii="Meiryo UI" w:hAnsi="Meiryo UI"/>
                <w:sz w:val="18"/>
              </w:rPr>
              <w:t>FY2026E営業利益</w:t>
            </w:r>
          </w:p>
        </w:tc>
        <w:tc>
          <w:tcPr>
            <w:tcW w:type="dxa" w:w="4703"/>
            <w:shd w:val="clear" w:color="auto" w:fill="DDEBF7"/>
          </w:tcPr>
          <w:p>
            <w:r>
              <w:rPr>
                <w:rFonts w:ascii="Meiryo UI" w:hAnsi="Meiryo UI"/>
                <w:sz w:val="18"/>
              </w:rPr>
              <w:t>0.45〜0.6兆円</w:t>
            </w:r>
          </w:p>
        </w:tc>
      </w:tr>
      <w:tr>
        <w:tc>
          <w:tcPr>
            <w:tcW w:type="dxa" w:w="4703"/>
          </w:tcPr>
          <w:p>
            <w:r>
              <w:rPr>
                <w:rFonts w:ascii="Meiryo UI" w:hAnsi="Meiryo UI"/>
                <w:sz w:val="18"/>
              </w:rPr>
              <w:t>理論株価</w:t>
            </w:r>
          </w:p>
        </w:tc>
        <w:tc>
          <w:tcPr>
            <w:tcW w:type="dxa" w:w="4703"/>
          </w:tcPr>
          <w:p>
            <w:r>
              <w:rPr>
                <w:rFonts w:ascii="Meiryo UI" w:hAnsi="Meiryo UI"/>
                <w:sz w:val="18"/>
              </w:rPr>
              <w:t>2,400〜2,700円</w:t>
            </w:r>
          </w:p>
        </w:tc>
      </w:tr>
      <w:tr>
        <w:tc>
          <w:tcPr>
            <w:tcW w:type="dxa" w:w="4703"/>
            <w:shd w:val="clear" w:color="auto" w:fill="DDEBF7"/>
          </w:tcPr>
          <w:p>
            <w:r>
              <w:rPr>
                <w:rFonts w:ascii="Meiryo UI" w:hAnsi="Meiryo UI"/>
                <w:sz w:val="18"/>
              </w:rPr>
              <w:t>配当利回り</w:t>
            </w:r>
          </w:p>
        </w:tc>
        <w:tc>
          <w:tcPr>
            <w:tcW w:type="dxa" w:w="4703"/>
            <w:shd w:val="clear" w:color="auto" w:fill="DDEBF7"/>
          </w:tcPr>
          <w:p>
            <w:r>
              <w:rPr>
                <w:rFonts w:ascii="Meiryo UI" w:hAnsi="Meiryo UI"/>
                <w:sz w:val="18"/>
              </w:rPr>
              <w:t>3.0〜3.5%（減配リスク低）</w:t>
            </w:r>
          </w:p>
        </w:tc>
      </w:tr>
    </w:tbl>
    <w:p/>
    <w:p>
      <w:pPr>
        <w:pStyle w:val="Heading2"/>
      </w:pPr>
      <w:r>
        <w:rPr>
          <w:rFonts w:ascii="Meiryo UI" w:hAnsi="Meiryo UI"/>
          <w:color w:val="2E74B5"/>
        </w:rPr>
        <w:t>6.4 シナリオ加重平均理論株価</w:t>
      </w:r>
    </w:p>
    <w:p/>
    <w:p>
      <w:pPr>
        <w:shd w:val="clear" w:color="auto" w:fill="F2F2F2"/>
      </w:pPr>
      <w:r>
        <w:rPr>
          <w:rFonts w:ascii="Courier New" w:hAnsi="Courier New"/>
          <w:sz w:val="16"/>
        </w:rPr>
        <w:t>期待理論株価 = 5,350 × 0.25 + 4,000 × 0.45 + 2,550 × 0.30</w:t>
        <w:br/>
        <w:t xml:space="preserve">            = 1,337.5 + 1,800 + 765</w:t>
        <w:br/>
        <w:t xml:space="preserve">            = 3,902.5円 ≒ 約3,900円</w:t>
      </w:r>
    </w:p>
    <w:p/>
    <w:p>
      <w:r>
        <w:t>──────────────────────────────────────────────────</w:t>
      </w:r>
    </w:p>
    <w:p/>
    <w:p>
      <w:pPr>
        <w:pStyle w:val="Heading1"/>
      </w:pPr>
      <w:r>
        <w:rPr>
          <w:rFonts w:ascii="Meiryo UI" w:hAnsi="Meiryo UI"/>
          <w:color w:val="1F3864"/>
        </w:rPr>
        <w:t>7. 浅井速報との統合評価</w:t>
      </w:r>
    </w:p>
    <w:p/>
    <w:p>
      <w:pPr>
        <w:pStyle w:val="Heading2"/>
      </w:pPr>
      <w:r>
        <w:rPr>
          <w:rFonts w:ascii="Meiryo UI" w:hAnsi="Meiryo UI"/>
          <w:color w:val="2E74B5"/>
        </w:rPr>
        <w:t>7.1 浅井速報スコア分析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浅井評価</w:t>
            </w:r>
          </w:p>
        </w:tc>
        <w:tc>
          <w:tcPr>
            <w:tcW w:type="dxa" w:w="2351"/>
            <w:shd w:val="clear" w:color="auto" w:fill="2E74B5"/>
          </w:tcPr>
          <w:p>
            <w:r>
              <w:rPr>
                <w:rFonts w:ascii="Meiryo UI" w:hAnsi="Meiryo UI"/>
                <w:b/>
                <w:color w:val="FFFFFF"/>
                <w:sz w:val="18"/>
              </w:rPr>
              <w:t>深井評価</w:t>
            </w:r>
          </w:p>
        </w:tc>
        <w:tc>
          <w:tcPr>
            <w:tcW w:type="dxa" w:w="2351"/>
            <w:shd w:val="clear" w:color="auto" w:fill="2E74B5"/>
          </w:tcPr>
          <w:p>
            <w:r>
              <w:rPr>
                <w:rFonts w:ascii="Meiryo UI" w:hAnsi="Meiryo UI"/>
                <w:b/>
                <w:color w:val="FFFFFF"/>
                <w:sz w:val="18"/>
              </w:rPr>
              <w:t>差異</w:t>
            </w:r>
          </w:p>
        </w:tc>
      </w:tr>
      <w:tr>
        <w:tc>
          <w:tcPr>
            <w:tcW w:type="dxa" w:w="2351"/>
          </w:tcPr>
          <w:p>
            <w:r>
              <w:rPr>
                <w:rFonts w:ascii="Meiryo UI" w:hAnsi="Meiryo UI"/>
                <w:sz w:val="18"/>
              </w:rPr>
              <w:t>センチメント</w:t>
            </w:r>
          </w:p>
        </w:tc>
        <w:tc>
          <w:tcPr>
            <w:tcW w:type="dxa" w:w="2351"/>
          </w:tcPr>
          <w:p>
            <w:r>
              <w:rPr>
                <w:rFonts w:ascii="Meiryo UI" w:hAnsi="Meiryo UI"/>
                <w:sz w:val="18"/>
              </w:rPr>
              <w:t>極めて強気（+98）</w:t>
            </w:r>
          </w:p>
        </w:tc>
        <w:tc>
          <w:tcPr>
            <w:tcW w:type="dxa" w:w="2351"/>
          </w:tcPr>
          <w:p>
            <w:r>
              <w:rPr>
                <w:rFonts w:ascii="Meiryo UI" w:hAnsi="Meiryo UI"/>
                <w:sz w:val="18"/>
              </w:rPr>
              <w:t>適度に強気（+70〜75相当）</w:t>
            </w:r>
          </w:p>
        </w:tc>
        <w:tc>
          <w:tcPr>
            <w:tcW w:type="dxa" w:w="2351"/>
          </w:tcPr>
          <w:p>
            <w:r>
              <w:rPr>
                <w:rFonts w:ascii="Meiryo UI" w:hAnsi="Meiryo UI"/>
                <w:sz w:val="18"/>
              </w:rPr>
              <w:t>ギャップ大</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言及なし</w:t>
            </w:r>
          </w:p>
        </w:tc>
        <w:tc>
          <w:tcPr>
            <w:tcW w:type="dxa" w:w="2351"/>
            <w:shd w:val="clear" w:color="auto" w:fill="DDEBF7"/>
          </w:tcPr>
          <w:p>
            <w:r>
              <w:rPr>
                <w:rFonts w:ascii="Meiryo UI" w:hAnsi="Meiryo UI"/>
                <w:sz w:val="18"/>
              </w:rPr>
              <w:t>3,900〜4,000円</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ロジスティクスリスク</w:t>
            </w:r>
          </w:p>
        </w:tc>
        <w:tc>
          <w:tcPr>
            <w:tcW w:type="dxa" w:w="2351"/>
          </w:tcPr>
          <w:p>
            <w:r>
              <w:rPr>
                <w:rFonts w:ascii="Meiryo UI" w:hAnsi="Meiryo UI"/>
                <w:sz w:val="18"/>
              </w:rPr>
              <w:t>軽視または未考慮</w:t>
            </w:r>
          </w:p>
        </w:tc>
        <w:tc>
          <w:tcPr>
            <w:tcW w:type="dxa" w:w="2351"/>
          </w:tcPr>
          <w:p>
            <w:r>
              <w:rPr>
                <w:rFonts w:ascii="Meiryo UI" w:hAnsi="Meiryo UI"/>
                <w:sz w:val="18"/>
              </w:rPr>
              <w:t>20〜30%の蓋然性で重大</w:t>
            </w:r>
          </w:p>
        </w:tc>
        <w:tc>
          <w:tcPr>
            <w:tcW w:type="dxa" w:w="2351"/>
          </w:tcPr>
          <w:p>
            <w:r>
              <w:rPr>
                <w:rFonts w:ascii="Meiryo UI" w:hAnsi="Meiryo UI"/>
                <w:sz w:val="18"/>
              </w:rPr>
              <w:t>最大の乖離点</w:t>
            </w:r>
          </w:p>
        </w:tc>
      </w:tr>
      <w:tr>
        <w:tc>
          <w:tcPr>
            <w:tcW w:type="dxa" w:w="2351"/>
            <w:shd w:val="clear" w:color="auto" w:fill="DDEBF7"/>
          </w:tcPr>
          <w:p>
            <w:r>
              <w:rPr>
                <w:rFonts w:ascii="Meiryo UI" w:hAnsi="Meiryo UI"/>
                <w:sz w:val="18"/>
              </w:rPr>
              <w:t>中東リスク評価</w:t>
            </w:r>
          </w:p>
        </w:tc>
        <w:tc>
          <w:tcPr>
            <w:tcW w:type="dxa" w:w="2351"/>
            <w:shd w:val="clear" w:color="auto" w:fill="DDEBF7"/>
          </w:tcPr>
          <w:p>
            <w:r>
              <w:rPr>
                <w:rFonts w:ascii="Meiryo UI" w:hAnsi="Meiryo UI"/>
                <w:sz w:val="18"/>
              </w:rPr>
              <w:t>「資源高→プラス」で完結</w:t>
            </w:r>
          </w:p>
        </w:tc>
        <w:tc>
          <w:tcPr>
            <w:tcW w:type="dxa" w:w="2351"/>
            <w:shd w:val="clear" w:color="auto" w:fill="DDEBF7"/>
          </w:tcPr>
          <w:p>
            <w:r>
              <w:rPr>
                <w:rFonts w:ascii="Meiryo UI" w:hAnsi="Meiryo UI"/>
                <w:sz w:val="18"/>
              </w:rPr>
              <w:t>複合リスク（コスト増内包）</w:t>
            </w:r>
          </w:p>
        </w:tc>
        <w:tc>
          <w:tcPr>
            <w:tcW w:type="dxa" w:w="2351"/>
            <w:shd w:val="clear" w:color="auto" w:fill="DDEBF7"/>
          </w:tcPr>
          <w:p>
            <w:r>
              <w:rPr>
                <w:rFonts w:ascii="Meiryo UI" w:hAnsi="Meiryo UI"/>
                <w:sz w:val="18"/>
              </w:rPr>
              <w:t>二元論を否定</w:t>
            </w:r>
          </w:p>
        </w:tc>
      </w:tr>
      <w:tr>
        <w:tc>
          <w:tcPr>
            <w:tcW w:type="dxa" w:w="2351"/>
          </w:tcPr>
          <w:p>
            <w:r>
              <w:rPr>
                <w:rFonts w:ascii="Meiryo UI" w:hAnsi="Meiryo UI"/>
                <w:sz w:val="18"/>
              </w:rPr>
              <w:t>投資判断</w:t>
            </w:r>
          </w:p>
        </w:tc>
        <w:tc>
          <w:tcPr>
            <w:tcW w:type="dxa" w:w="2351"/>
          </w:tcPr>
          <w:p>
            <w:r>
              <w:rPr>
                <w:rFonts w:ascii="Meiryo UI" w:hAnsi="Meiryo UI"/>
                <w:sz w:val="18"/>
              </w:rPr>
              <w:t>Strong BUY</w:t>
            </w:r>
          </w:p>
        </w:tc>
        <w:tc>
          <w:tcPr>
            <w:tcW w:type="dxa" w:w="2351"/>
          </w:tcPr>
          <w:p>
            <w:r>
              <w:rPr>
                <w:rFonts w:ascii="Meiryo UI" w:hAnsi="Meiryo UI"/>
                <w:sz w:val="18"/>
              </w:rPr>
              <w:t>BUY（1段階引下）</w:t>
            </w:r>
          </w:p>
        </w:tc>
        <w:tc>
          <w:tcPr>
            <w:tcW w:type="dxa" w:w="2351"/>
          </w:tcPr>
          <w:p>
            <w:r>
              <w:rPr>
                <w:rFonts w:ascii="Meiryo UI" w:hAnsi="Meiryo UI"/>
                <w:sz w:val="18"/>
              </w:rPr>
              <w:t>修正必要</w:t>
            </w:r>
          </w:p>
        </w:tc>
      </w:tr>
    </w:tbl>
    <w:p/>
    <w:p>
      <w:pPr>
        <w:pStyle w:val="Heading2"/>
      </w:pPr>
      <w:r>
        <w:rPr>
          <w:rFonts w:ascii="Meiryo UI" w:hAnsi="Meiryo UI"/>
          <w:color w:val="2E74B5"/>
        </w:rPr>
        <w:t>7.2 センチメントと本源的価値のギャップ分析</w:t>
      </w:r>
    </w:p>
    <w:p/>
    <w:p>
      <w:pPr>
        <w:shd w:val="clear" w:color="auto" w:fill="F2F2F2"/>
      </w:pPr>
      <w:r>
        <w:rPr>
          <w:rFonts w:ascii="Courier New" w:hAnsi="Courier New"/>
          <w:sz w:val="16"/>
        </w:rPr>
        <w:t>浅井速報が「+98（Strong BUY）」を付けた背景（推測）:</w:t>
        <w:br/>
        <w:t xml:space="preserve">  ① 中東緊張による原油価格上昇期待</w:t>
        <w:br/>
        <w:t xml:space="preserve">  ② INPEX配当利回りの高さ（4%超）</w:t>
        <w:br/>
        <w:t xml:space="preserve">  ③ 政府系企業としての安定性</w:t>
        <w:br/>
        <w:t xml:space="preserve">  ④ 割安なPBR（推定0.6〜0.8倍）</w:t>
        <w:br/>
        <w:t xml:space="preserve">  ⑤ 株式需給（エネルギーセクター資金流入）</w:t>
        <w:br/>
        <w:br/>
        <w:t>深井の修正根拠:</w:t>
        <w:br/>
        <w:t xml:space="preserve">  ① ロジスティクスリスクの定量化未実施</w:t>
        <w:br/>
        <w:t xml:space="preserve">  ② 「価格↑」と「数量↓」の同時シナリオ欠如</w:t>
        <w:br/>
        <w:t xml:space="preserve">  ③ SPA不履行リスクの過小評価</w:t>
        <w:br/>
        <w:t xml:space="preserve">  ④ 円高転換リスク（有事=円買い）の無視</w:t>
        <w:br/>
        <w:t xml:space="preserve">  ⑤ Stress-Adjusted MoSの未計算</w:t>
      </w:r>
    </w:p>
    <w:p/>
    <w:p>
      <w:pPr>
        <w:pStyle w:val="Heading2"/>
      </w:pPr>
      <w:r>
        <w:rPr>
          <w:rFonts w:ascii="Meiryo UI" w:hAnsi="Meiryo UI"/>
          <w:color w:val="2E74B5"/>
        </w:rPr>
        <w:t>7.3 ギャップの結論</w:t>
      </w:r>
    </w:p>
    <w:p/>
    <w:p>
      <w:r>
        <w:rPr>
          <w:rFonts w:ascii="Meiryo UI" w:hAnsi="Meiryo UI"/>
          <w:sz w:val="20"/>
        </w:rPr>
        <w:t>&gt; 浅井速報のセンチメント駆動（+98）は現在株価の割安感を正確に捉えているが、本源的価値の計算プロセスが欠如しており、ロジスティクスリスクを織り込んでいない。理論株価ベースでは「買い」は正当化されるが、Strong BUYは過大評価。投資家は浅井速報を「方向性は正しいが確信度を10〜15%割り引く」べき。</w:t>
      </w:r>
    </w:p>
    <w:p/>
    <w:p>
      <w:r>
        <w:t>──────────────────────────────────────────────────</w:t>
      </w:r>
    </w:p>
    <w:p/>
    <w:p>
      <w:pPr>
        <w:pStyle w:val="Heading1"/>
      </w:pPr>
      <w:r>
        <w:rPr>
          <w:rFonts w:ascii="Meiryo UI" w:hAnsi="Meiryo UI"/>
          <w:color w:val="1F3864"/>
        </w:rPr>
        <w:t>8. 社長への推奨アクション</w:t>
      </w:r>
    </w:p>
    <w:p/>
    <w:p>
      <w:pPr>
        <w:pStyle w:val="Heading2"/>
      </w:pPr>
      <w:r>
        <w:rPr>
          <w:rFonts w:ascii="Meiryo UI" w:hAnsi="Meiryo UI"/>
          <w:color w:val="2E74B5"/>
        </w:rPr>
        <w:t>8.1 ポジション構築戦略</w:t>
      </w:r>
    </w:p>
    <w:p/>
    <w:p>
      <w:pPr>
        <w:shd w:val="clear" w:color="auto" w:fill="F2F2F2"/>
      </w:pPr>
      <w:r>
        <w:rPr>
          <w:rFonts w:ascii="Courier New" w:hAnsi="Courier New"/>
          <w:sz w:val="16"/>
        </w:rPr>
        <w:t>■ 投資判断: BUY（1段階引下、Strong BUYは否定）</w:t>
        <w:br/>
        <w:t>■ 推奨エントリーゾーン: 1,850〜2,100円</w:t>
        <w:br/>
        <w:t>■ 現在株価（推定）: 約2,000円 → エントリー圏内</w:t>
      </w:r>
    </w:p>
    <w:p/>
    <w:p>
      <w:pPr>
        <w:pStyle w:val="Heading3"/>
      </w:pPr>
      <w:r>
        <w:rPr>
          <w:rFonts w:ascii="Meiryo UI" w:hAnsi="Meiryo UI"/>
          <w:color w:val="2E74B5"/>
        </w:rPr>
        <w:t>フェーズ別エントリー戦略</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株価水準</w:t>
            </w:r>
          </w:p>
        </w:tc>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投入比率</w:t>
            </w:r>
          </w:p>
        </w:tc>
      </w:tr>
      <w:tr>
        <w:tc>
          <w:tcPr>
            <w:tcW w:type="dxa" w:w="2351"/>
          </w:tcPr>
          <w:p>
            <w:r>
              <w:rPr>
                <w:rFonts w:ascii="Meiryo UI" w:hAnsi="Meiryo UI"/>
                <w:sz w:val="18"/>
              </w:rPr>
              <w:t>Phase 1</w:t>
            </w:r>
          </w:p>
        </w:tc>
        <w:tc>
          <w:tcPr>
            <w:tcW w:type="dxa" w:w="2351"/>
          </w:tcPr>
          <w:p>
            <w:r>
              <w:rPr>
                <w:rFonts w:ascii="Meiryo UI" w:hAnsi="Meiryo UI"/>
                <w:sz w:val="18"/>
              </w:rPr>
              <w:t>1,850〜2,100円</w:t>
            </w:r>
          </w:p>
        </w:tc>
        <w:tc>
          <w:tcPr>
            <w:tcW w:type="dxa" w:w="2351"/>
          </w:tcPr>
          <w:p>
            <w:r>
              <w:rPr>
                <w:rFonts w:ascii="Meiryo UI" w:hAnsi="Meiryo UI"/>
                <w:sz w:val="18"/>
              </w:rPr>
              <w:t>初期ポジション構築</w:t>
            </w:r>
          </w:p>
        </w:tc>
        <w:tc>
          <w:tcPr>
            <w:tcW w:type="dxa" w:w="2351"/>
          </w:tcPr>
          <w:p>
            <w:r>
              <w:rPr>
                <w:rFonts w:ascii="Meiryo UI" w:hAnsi="Meiryo UI"/>
                <w:sz w:val="18"/>
              </w:rPr>
              <w:t>40%</w:t>
            </w:r>
          </w:p>
        </w:tc>
      </w:tr>
      <w:tr>
        <w:tc>
          <w:tcPr>
            <w:tcW w:type="dxa" w:w="2351"/>
            <w:shd w:val="clear" w:color="auto" w:fill="DDEBF7"/>
          </w:tcPr>
          <w:p>
            <w:r>
              <w:rPr>
                <w:rFonts w:ascii="Meiryo UI" w:hAnsi="Meiryo UI"/>
                <w:sz w:val="18"/>
              </w:rPr>
              <w:t>Phase 2</w:t>
            </w:r>
          </w:p>
        </w:tc>
        <w:tc>
          <w:tcPr>
            <w:tcW w:type="dxa" w:w="2351"/>
            <w:shd w:val="clear" w:color="auto" w:fill="DDEBF7"/>
          </w:tcPr>
          <w:p>
            <w:r>
              <w:rPr>
                <w:rFonts w:ascii="Meiryo UI" w:hAnsi="Meiryo UI"/>
                <w:sz w:val="18"/>
              </w:rPr>
              <w:t>1,600〜1,850円（押し目）</w:t>
            </w:r>
          </w:p>
        </w:tc>
        <w:tc>
          <w:tcPr>
            <w:tcW w:type="dxa" w:w="2351"/>
            <w:shd w:val="clear" w:color="auto" w:fill="DDEBF7"/>
          </w:tcPr>
          <w:p>
            <w:r>
              <w:rPr>
                <w:rFonts w:ascii="Meiryo UI" w:hAnsi="Meiryo UI"/>
                <w:sz w:val="18"/>
              </w:rPr>
              <w:t>追加買い（ロジスティクス障害を確認後）</w:t>
            </w:r>
          </w:p>
        </w:tc>
        <w:tc>
          <w:tcPr>
            <w:tcW w:type="dxa" w:w="2351"/>
            <w:shd w:val="clear" w:color="auto" w:fill="DDEBF7"/>
          </w:tcPr>
          <w:p>
            <w:r>
              <w:rPr>
                <w:rFonts w:ascii="Meiryo UI" w:hAnsi="Meiryo UI"/>
                <w:sz w:val="18"/>
              </w:rPr>
              <w:t>30%</w:t>
            </w:r>
          </w:p>
        </w:tc>
      </w:tr>
      <w:tr>
        <w:tc>
          <w:tcPr>
            <w:tcW w:type="dxa" w:w="2351"/>
          </w:tcPr>
          <w:p>
            <w:r>
              <w:rPr>
                <w:rFonts w:ascii="Meiryo UI" w:hAnsi="Meiryo UI"/>
                <w:sz w:val="18"/>
              </w:rPr>
              <w:t>Phase 3</w:t>
            </w:r>
          </w:p>
        </w:tc>
        <w:tc>
          <w:tcPr>
            <w:tcW w:type="dxa" w:w="2351"/>
          </w:tcPr>
          <w:p>
            <w:r>
              <w:rPr>
                <w:rFonts w:ascii="Meiryo UI" w:hAnsi="Meiryo UI"/>
                <w:sz w:val="18"/>
              </w:rPr>
              <w:t>1,400〜1,600円（弱気Bear入り）</w:t>
            </w:r>
          </w:p>
        </w:tc>
        <w:tc>
          <w:tcPr>
            <w:tcW w:type="dxa" w:w="2351"/>
          </w:tcPr>
          <w:p>
            <w:r>
              <w:rPr>
                <w:rFonts w:ascii="Meiryo UI" w:hAnsi="Meiryo UI"/>
                <w:sz w:val="18"/>
              </w:rPr>
              <w:t>最終打診買い（配当利回り5%超が条件）</w:t>
            </w:r>
          </w:p>
        </w:tc>
        <w:tc>
          <w:tcPr>
            <w:tcW w:type="dxa" w:w="2351"/>
          </w:tcPr>
          <w:p>
            <w:r>
              <w:rPr>
                <w:rFonts w:ascii="Meiryo UI" w:hAnsi="Meiryo UI"/>
                <w:sz w:val="18"/>
              </w:rPr>
              <w:t>30%</w:t>
            </w:r>
          </w:p>
        </w:tc>
      </w:tr>
    </w:tbl>
    <w:p/>
    <w:p>
      <w:pPr>
        <w:pStyle w:val="Heading2"/>
      </w:pPr>
      <w:r>
        <w:rPr>
          <w:rFonts w:ascii="Meiryo UI" w:hAnsi="Meiryo UI"/>
          <w:color w:val="2E74B5"/>
        </w:rPr>
        <w:t>8.2 損切りライン</w:t>
      </w:r>
    </w:p>
    <w:p/>
    <w:p>
      <w:pPr>
        <w:shd w:val="clear" w:color="auto" w:fill="F2F2F2"/>
      </w:pPr>
      <w:r>
        <w:rPr>
          <w:rFonts w:ascii="Courier New" w:hAnsi="Courier New"/>
          <w:sz w:val="16"/>
        </w:rPr>
        <w:t>■ ハードストップロス: 1,400円</w:t>
        <w:br/>
        <w:t xml:space="preserve">  （理由: Bear Case理論株価2,550円の▲45% = 1,400円</w:t>
        <w:br/>
        <w:t xml:space="preserve">          = Ichthys重大設備事故 + 原油60ドル割れの複合シナリオでも</w:t>
        <w:br/>
        <w:t xml:space="preserve">            理論的正当性が消滅するレベル）</w:t>
        <w:br/>
        <w:br/>
        <w:t>■ ソフトアラート（要レビュー）: 1,700円</w:t>
        <w:br/>
        <w:t xml:space="preserve">  （理由: 中程度障害シナリオ（蓋然性30%）の理論株価下限）</w:t>
        <w:br/>
        <w:br/>
        <w:t>■ 損切り根拠（ファンダメンタル）:</w:t>
        <w:br/>
        <w:t xml:space="preserve">  ① Brent原油 60ドル割れ定着（3ヶ月）</w:t>
        <w:br/>
        <w:t xml:space="preserve">  ② Ichthys LNG稼働率 80%割れが2四半期継続</w:t>
        <w:br/>
        <w:t xml:space="preserve">  ③ SPA不履行による大規模ペナルティ確定</w:t>
        <w:br/>
        <w:t xml:space="preserve">  ④ 配当の大幅減配（DPS 60円割れ）</w:t>
      </w:r>
    </w:p>
    <w:p/>
    <w:p>
      <w:pPr>
        <w:pStyle w:val="Heading2"/>
      </w:pPr>
      <w:r>
        <w:rPr>
          <w:rFonts w:ascii="Meiryo UI" w:hAnsi="Meiryo UI"/>
          <w:color w:val="2E74B5"/>
        </w:rPr>
        <w:t>8.3 目標株価・利益確定ライン</w:t>
      </w:r>
    </w:p>
    <w:p/>
    <w:p>
      <w:pPr>
        <w:shd w:val="clear" w:color="auto" w:fill="F2F2F2"/>
      </w:pPr>
      <w:r>
        <w:rPr>
          <w:rFonts w:ascii="Courier New" w:hAnsi="Courier New"/>
          <w:sz w:val="16"/>
        </w:rPr>
        <w:t>■ 第1目標（短期 6〜12ヶ月）: 2,800〜3,000円</w:t>
        <w:br/>
        <w:t xml:space="preserve">  → 浅井センチメント的上昇局面での利確候補</w:t>
        <w:br/>
        <w:br/>
        <w:t>■ 第2目標（中期 12〜24ヶ月）: 3,500〜4,000円</w:t>
        <w:br/>
        <w:t xml:space="preserve">  → DCFベース理論株価に近接</w:t>
        <w:br/>
        <w:br/>
        <w:t>■ 第3目標（長期 24〜36ヶ月）: 4,000〜4,500円</w:t>
        <w:br/>
        <w:t xml:space="preserve">  → 強気シナリオ実現時（探鉱成功・原油90ドル）</w:t>
        <w:br/>
        <w:br/>
        <w:t>■ 部分利確推奨:</w:t>
        <w:br/>
        <w:t xml:space="preserve">  2,800円到達時点でポジション30%削減</w:t>
        <w:br/>
        <w:t xml:space="preserve">  3,500円到達時点で追加30%削減</w:t>
        <w:br/>
        <w:t xml:space="preserve">  残り40%は長期保有継続</w:t>
      </w:r>
    </w:p>
    <w:p/>
    <w:p>
      <w:pPr>
        <w:pStyle w:val="Heading2"/>
      </w:pPr>
      <w:r>
        <w:rPr>
          <w:rFonts w:ascii="Meiryo UI" w:hAnsi="Meiryo UI"/>
          <w:color w:val="2E74B5"/>
        </w:rPr>
        <w:t>8.4 時間軸と主要モニタリング指標</w:t>
      </w:r>
    </w:p>
    <w:p/>
    <w:p>
      <w:pPr>
        <w:shd w:val="clear" w:color="auto" w:fill="F2F2F2"/>
      </w:pPr>
      <w:r>
        <w:rPr>
          <w:rFonts w:ascii="Courier New" w:hAnsi="Courier New"/>
          <w:sz w:val="16"/>
        </w:rPr>
        <w:t>【月次モニタリング】</w:t>
        <w:br/>
        <w:t xml:space="preserve">  □ Brent原油・LNGスポット価格</w:t>
        <w:br/>
        <w:t xml:space="preserve">  □ VLCC傭船料（Baltic Dirty Tanker Index）</w:t>
        <w:br/>
        <w:t xml:space="preserve">  □ ホルムズ・紅海通航量データ</w:t>
        <w:br/>
        <w:t xml:space="preserve">  □ USD/JPY・円金利動向</w:t>
        <w:br/>
        <w:br/>
        <w:t>【四半期モニタリング】</w:t>
        <w:br/>
        <w:t xml:space="preserve">  □ INPEX決算（生産量・コスト・FCF）</w:t>
        <w:br/>
        <w:t xml:space="preserve">  □ Ichthys稼働率レポート</w:t>
        <w:br/>
        <w:t xml:space="preserve">  □ SPA履行状況（サプライチェーン注記）</w:t>
        <w:br/>
        <w:br/>
        <w:t>【イベントドリブン（即時対応）】</w:t>
        <w:br/>
        <w:t xml:space="preserve">  □ ホルムズ海峡封鎖（軍事行動）</w:t>
        <w:br/>
        <w:t xml:space="preserve">  □ Ichthys設備重大事故（火災・爆発）</w:t>
        <w:br/>
        <w:t xml:space="preserve">  □ 日本政府のエネルギー政策大転換</w:t>
        <w:br/>
        <w:t xml:space="preserve">  □ INPEX大型M&amp;A発表</w:t>
      </w:r>
    </w:p>
    <w:p/>
    <w:p>
      <w:pPr>
        <w:pStyle w:val="Heading2"/>
      </w:pPr>
      <w:r>
        <w:rPr>
          <w:rFonts w:ascii="Meiryo UI" w:hAnsi="Meiryo UI"/>
          <w:color w:val="2E74B5"/>
        </w:rPr>
        <w:t>8.5 社長へのコメント（深井所見）</w:t>
      </w:r>
    </w:p>
    <w:p/>
    <w:p>
      <w:r>
        <w:rPr>
          <w:rFonts w:ascii="Meiryo UI" w:hAnsi="Meiryo UI"/>
          <w:sz w:val="20"/>
        </w:rPr>
        <w:t>&gt; ロジスティクス・ストレステストの結論として、「物流崩壊シナリオは重大（20%）かつ軽視できないが、現在株価水準ではそのリスクをなお吸収できる割安ゾーンにある」と判断する。ただし浅井速報の「Strong BUY +98」はロジスティクスリスクの定量化が欠如した楽観的評価であり、投資家は「BUY」に引き下げ、エントリー後もロジスティクス指標を月次でモニタリングすることを強く推奨する。「中東リスク＝資源高でプラス」の二元論は本レポートで否定した。</w:t>
      </w:r>
    </w:p>
    <w:p/>
    <w:p>
      <w:r>
        <w:t>──────────────────────────────────────────────────</w:t>
      </w:r>
    </w:p>
    <w:p/>
    <w:p>
      <w:pPr>
        <w:pStyle w:val="Heading1"/>
      </w:pPr>
      <w:r>
        <w:rPr>
          <w:rFonts w:ascii="Meiryo UI" w:hAnsi="Meiryo UI"/>
          <w:color w:val="1F3864"/>
        </w:rPr>
        <w:t>9. 金利感応度分析（Sensitivity Analysis）</w:t>
      </w:r>
    </w:p>
    <w:p/>
    <w:p>
      <w:pPr>
        <w:pStyle w:val="Heading2"/>
      </w:pPr>
      <w:r>
        <w:rPr>
          <w:rFonts w:ascii="Meiryo UI" w:hAnsi="Meiryo UI"/>
          <w:color w:val="2E74B5"/>
        </w:rPr>
        <w:t>9.1 Rf変動によるWACC・理論株価感応度テーブル</w:t>
      </w:r>
    </w:p>
    <w:p/>
    <w:p>
      <w:r>
        <w:rPr>
          <w:rFonts w:ascii="Meiryo UI" w:hAnsi="Meiryo UI"/>
          <w:sz w:val="20"/>
        </w:rPr>
        <w:t>固定パラメータ:</w:t>
      </w:r>
    </w:p>
    <w:p>
      <w:pPr>
        <w:pStyle w:val="ListBullet"/>
      </w:pPr>
      <w:r>
        <w:rPr>
          <w:rFonts w:ascii="Meiryo UI" w:hAnsi="Meiryo UI"/>
          <w:sz w:val="20"/>
        </w:rPr>
        <w:t>β = 0.85、ERP = 5.50%、Rd = 1.8%、Tc = 30%</w:t>
      </w:r>
    </w:p>
    <w:p>
      <w:pPr>
        <w:pStyle w:val="ListBullet"/>
      </w:pPr>
      <w:r>
        <w:rPr>
          <w:rFonts w:ascii="Meiryo UI" w:hAnsi="Meiryo UI"/>
          <w:sz w:val="20"/>
        </w:rPr>
        <w:t>E/(D+E) = 80%、D/(D+E) = 20%</w:t>
      </w:r>
    </w:p>
    <w:p>
      <w:pPr>
        <w:pStyle w:val="ListBullet"/>
      </w:pPr>
      <w:r>
        <w:rPr>
          <w:rFonts w:ascii="Meiryo UI" w:hAnsi="Meiryo UI"/>
          <w:sz w:val="20"/>
        </w:rPr>
        <w:t>g（永久成長率）= 1.5%</w:t>
      </w:r>
    </w:p>
    <w:p>
      <w:pPr>
        <w:pStyle w:val="ListBullet"/>
      </w:pPr>
      <w:r>
        <w:rPr>
          <w:rFonts w:ascii="Meiryo UI" w:hAnsi="Meiryo UI"/>
          <w:sz w:val="20"/>
        </w:rPr>
        <w:t>現在株価（基準）= 2,000円</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1.380%</w:t>
            </w:r>
          </w:p>
        </w:tc>
        <w:tc>
          <w:tcPr>
            <w:tcW w:type="dxa" w:w="1568"/>
          </w:tcPr>
          <w:p>
            <w:r>
              <w:rPr>
                <w:rFonts w:ascii="Meiryo UI" w:hAnsi="Meiryo UI"/>
                <w:sz w:val="18"/>
              </w:rPr>
              <w:t>6.055%</w:t>
            </w:r>
          </w:p>
        </w:tc>
        <w:tc>
          <w:tcPr>
            <w:tcW w:type="dxa" w:w="1568"/>
          </w:tcPr>
          <w:p>
            <w:r>
              <w:rPr>
                <w:rFonts w:ascii="Meiryo UI" w:hAnsi="Meiryo UI"/>
                <w:sz w:val="18"/>
              </w:rPr>
              <w:t>5.896%</w:t>
            </w:r>
          </w:p>
        </w:tc>
        <w:tc>
          <w:tcPr>
            <w:tcW w:type="dxa" w:w="1568"/>
          </w:tcPr>
          <w:p>
            <w:r>
              <w:rPr>
                <w:rFonts w:ascii="Meiryo UI" w:hAnsi="Meiryo UI"/>
                <w:sz w:val="18"/>
              </w:rPr>
              <w:t>4,980円</w:t>
            </w:r>
          </w:p>
        </w:tc>
        <w:tc>
          <w:tcPr>
            <w:tcW w:type="dxa" w:w="1568"/>
          </w:tcPr>
          <w:p>
            <w:r>
              <w:rPr>
                <w:rFonts w:ascii="Meiryo UI" w:hAnsi="Meiryo UI"/>
                <w:sz w:val="18"/>
              </w:rPr>
              <w:t>+149.0%</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1.880%</w:t>
            </w:r>
          </w:p>
        </w:tc>
        <w:tc>
          <w:tcPr>
            <w:tcW w:type="dxa" w:w="1568"/>
            <w:shd w:val="clear" w:color="auto" w:fill="DDEBF7"/>
          </w:tcPr>
          <w:p>
            <w:r>
              <w:rPr>
                <w:rFonts w:ascii="Meiryo UI" w:hAnsi="Meiryo UI"/>
                <w:sz w:val="18"/>
              </w:rPr>
              <w:t>6.555%</w:t>
            </w:r>
          </w:p>
        </w:tc>
        <w:tc>
          <w:tcPr>
            <w:tcW w:type="dxa" w:w="1568"/>
            <w:shd w:val="clear" w:color="auto" w:fill="DDEBF7"/>
          </w:tcPr>
          <w:p>
            <w:r>
              <w:rPr>
                <w:rFonts w:ascii="Meiryo UI" w:hAnsi="Meiryo UI"/>
                <w:sz w:val="18"/>
              </w:rPr>
              <w:t>6.396%</w:t>
            </w:r>
          </w:p>
        </w:tc>
        <w:tc>
          <w:tcPr>
            <w:tcW w:type="dxa" w:w="1568"/>
            <w:shd w:val="clear" w:color="auto" w:fill="DDEBF7"/>
          </w:tcPr>
          <w:p>
            <w:r>
              <w:rPr>
                <w:rFonts w:ascii="Meiryo UI" w:hAnsi="Meiryo UI"/>
                <w:sz w:val="18"/>
              </w:rPr>
              <w:t>4,430円</w:t>
            </w:r>
          </w:p>
        </w:tc>
        <w:tc>
          <w:tcPr>
            <w:tcW w:type="dxa" w:w="1568"/>
            <w:shd w:val="clear" w:color="auto" w:fill="DDEBF7"/>
          </w:tcPr>
          <w:p>
            <w:r>
              <w:rPr>
                <w:rFonts w:ascii="Meiryo UI" w:hAnsi="Meiryo UI"/>
                <w:sz w:val="18"/>
              </w:rPr>
              <w:t>+121.5%</w:t>
            </w:r>
          </w:p>
        </w:tc>
      </w:tr>
      <w:tr>
        <w:tc>
          <w:tcPr>
            <w:tcW w:type="dxa" w:w="1568"/>
          </w:tcPr>
          <w:p>
            <w:r>
              <w:rPr>
                <w:rFonts w:ascii="Meiryo UI" w:hAnsi="Meiryo UI"/>
                <w:sz w:val="18"/>
              </w:rPr>
              <w:t>Rf ▲0.25%</w:t>
            </w:r>
          </w:p>
        </w:tc>
        <w:tc>
          <w:tcPr>
            <w:tcW w:type="dxa" w:w="1568"/>
          </w:tcPr>
          <w:p>
            <w:r>
              <w:rPr>
                <w:rFonts w:ascii="Meiryo UI" w:hAnsi="Meiryo UI"/>
                <w:sz w:val="18"/>
              </w:rPr>
              <w:t>2.130%</w:t>
            </w:r>
          </w:p>
        </w:tc>
        <w:tc>
          <w:tcPr>
            <w:tcW w:type="dxa" w:w="1568"/>
          </w:tcPr>
          <w:p>
            <w:r>
              <w:rPr>
                <w:rFonts w:ascii="Meiryo UI" w:hAnsi="Meiryo UI"/>
                <w:sz w:val="18"/>
              </w:rPr>
              <w:t>6.805%</w:t>
            </w:r>
          </w:p>
        </w:tc>
        <w:tc>
          <w:tcPr>
            <w:tcW w:type="dxa" w:w="1568"/>
          </w:tcPr>
          <w:p>
            <w:r>
              <w:rPr>
                <w:rFonts w:ascii="Meiryo UI" w:hAnsi="Meiryo UI"/>
                <w:sz w:val="18"/>
              </w:rPr>
              <w:t>6.646%</w:t>
            </w:r>
          </w:p>
        </w:tc>
        <w:tc>
          <w:tcPr>
            <w:tcW w:type="dxa" w:w="1568"/>
          </w:tcPr>
          <w:p>
            <w:r>
              <w:rPr>
                <w:rFonts w:ascii="Meiryo UI" w:hAnsi="Meiryo UI"/>
                <w:sz w:val="18"/>
              </w:rPr>
              <w:t>4,190円</w:t>
            </w:r>
          </w:p>
        </w:tc>
        <w:tc>
          <w:tcPr>
            <w:tcW w:type="dxa" w:w="1568"/>
          </w:tcPr>
          <w:p>
            <w:r>
              <w:rPr>
                <w:rFonts w:ascii="Meiryo UI" w:hAnsi="Meiryo UI"/>
                <w:sz w:val="18"/>
              </w:rPr>
              <w:t>+109.5%</w:t>
            </w:r>
          </w:p>
        </w:tc>
      </w:tr>
      <w:tr>
        <w:tc>
          <w:tcPr>
            <w:tcW w:type="dxa" w:w="1568"/>
            <w:shd w:val="clear" w:color="auto" w:fill="DDEBF7"/>
          </w:tcPr>
          <w:p>
            <w:r>
              <w:rPr>
                <w:rFonts w:ascii="Meiryo UI" w:hAnsi="Meiryo UI"/>
                <w:sz w:val="18"/>
              </w:rPr>
              <w:t>基準（現状）</w:t>
            </w:r>
          </w:p>
        </w:tc>
        <w:tc>
          <w:tcPr>
            <w:tcW w:type="dxa" w:w="1568"/>
            <w:shd w:val="clear" w:color="auto" w:fill="DDEBF7"/>
          </w:tcPr>
          <w:p>
            <w:r>
              <w:rPr>
                <w:rFonts w:ascii="Meiryo UI" w:hAnsi="Meiryo UI"/>
                <w:sz w:val="18"/>
              </w:rPr>
              <w:t>2.380%</w:t>
            </w:r>
          </w:p>
        </w:tc>
        <w:tc>
          <w:tcPr>
            <w:tcW w:type="dxa" w:w="1568"/>
            <w:shd w:val="clear" w:color="auto" w:fill="DDEBF7"/>
          </w:tcPr>
          <w:p>
            <w:r>
              <w:rPr>
                <w:rFonts w:ascii="Meiryo UI" w:hAnsi="Meiryo UI"/>
                <w:sz w:val="18"/>
              </w:rPr>
              <w:t>7.055%</w:t>
            </w:r>
          </w:p>
        </w:tc>
        <w:tc>
          <w:tcPr>
            <w:tcW w:type="dxa" w:w="1568"/>
            <w:shd w:val="clear" w:color="auto" w:fill="DDEBF7"/>
          </w:tcPr>
          <w:p>
            <w:r>
              <w:rPr>
                <w:rFonts w:ascii="Meiryo UI" w:hAnsi="Meiryo UI"/>
                <w:sz w:val="18"/>
              </w:rPr>
              <w:t>6.896%</w:t>
            </w:r>
          </w:p>
        </w:tc>
        <w:tc>
          <w:tcPr>
            <w:tcW w:type="dxa" w:w="1568"/>
            <w:shd w:val="clear" w:color="auto" w:fill="DDEBF7"/>
          </w:tcPr>
          <w:p>
            <w:r>
              <w:rPr>
                <w:rFonts w:ascii="Meiryo UI" w:hAnsi="Meiryo UI"/>
                <w:sz w:val="18"/>
              </w:rPr>
              <w:t>4,000円</w:t>
            </w:r>
          </w:p>
        </w:tc>
        <w:tc>
          <w:tcPr>
            <w:tcW w:type="dxa" w:w="1568"/>
            <w:shd w:val="clear" w:color="auto" w:fill="DDEBF7"/>
          </w:tcPr>
          <w:p>
            <w:r>
              <w:rPr>
                <w:rFonts w:ascii="Meiryo UI" w:hAnsi="Meiryo UI"/>
                <w:sz w:val="18"/>
              </w:rPr>
              <w:t>+100.0%</w:t>
            </w:r>
          </w:p>
        </w:tc>
      </w:tr>
      <w:tr>
        <w:tc>
          <w:tcPr>
            <w:tcW w:type="dxa" w:w="1568"/>
          </w:tcPr>
          <w:p>
            <w:r>
              <w:rPr>
                <w:rFonts w:ascii="Meiryo UI" w:hAnsi="Meiryo UI"/>
                <w:sz w:val="18"/>
              </w:rPr>
              <w:t>Rf +0.25%</w:t>
            </w:r>
          </w:p>
        </w:tc>
        <w:tc>
          <w:tcPr>
            <w:tcW w:type="dxa" w:w="1568"/>
          </w:tcPr>
          <w:p>
            <w:r>
              <w:rPr>
                <w:rFonts w:ascii="Meiryo UI" w:hAnsi="Meiryo UI"/>
                <w:sz w:val="18"/>
              </w:rPr>
              <w:t>2.630%</w:t>
            </w:r>
          </w:p>
        </w:tc>
        <w:tc>
          <w:tcPr>
            <w:tcW w:type="dxa" w:w="1568"/>
          </w:tcPr>
          <w:p>
            <w:r>
              <w:rPr>
                <w:rFonts w:ascii="Meiryo UI" w:hAnsi="Meiryo UI"/>
                <w:sz w:val="18"/>
              </w:rPr>
              <w:t>7.305%</w:t>
            </w:r>
          </w:p>
        </w:tc>
        <w:tc>
          <w:tcPr>
            <w:tcW w:type="dxa" w:w="1568"/>
          </w:tcPr>
          <w:p>
            <w:r>
              <w:rPr>
                <w:rFonts w:ascii="Meiryo UI" w:hAnsi="Meiryo UI"/>
                <w:sz w:val="18"/>
              </w:rPr>
              <w:t>7.146%</w:t>
            </w:r>
          </w:p>
        </w:tc>
        <w:tc>
          <w:tcPr>
            <w:tcW w:type="dxa" w:w="1568"/>
          </w:tcPr>
          <w:p>
            <w:r>
              <w:rPr>
                <w:rFonts w:ascii="Meiryo UI" w:hAnsi="Meiryo UI"/>
                <w:sz w:val="18"/>
              </w:rPr>
              <w:t>3,820円</w:t>
            </w:r>
          </w:p>
        </w:tc>
        <w:tc>
          <w:tcPr>
            <w:tcW w:type="dxa" w:w="1568"/>
          </w:tcPr>
          <w:p>
            <w:r>
              <w:rPr>
                <w:rFonts w:ascii="Meiryo UI" w:hAnsi="Meiryo UI"/>
                <w:sz w:val="18"/>
              </w:rPr>
              <w:t>+91.0%</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2.880%</w:t>
            </w:r>
          </w:p>
        </w:tc>
        <w:tc>
          <w:tcPr>
            <w:tcW w:type="dxa" w:w="1568"/>
            <w:shd w:val="clear" w:color="auto" w:fill="DDEBF7"/>
          </w:tcPr>
          <w:p>
            <w:r>
              <w:rPr>
                <w:rFonts w:ascii="Meiryo UI" w:hAnsi="Meiryo UI"/>
                <w:sz w:val="18"/>
              </w:rPr>
              <w:t>7.555%</w:t>
            </w:r>
          </w:p>
        </w:tc>
        <w:tc>
          <w:tcPr>
            <w:tcW w:type="dxa" w:w="1568"/>
            <w:shd w:val="clear" w:color="auto" w:fill="DDEBF7"/>
          </w:tcPr>
          <w:p>
            <w:r>
              <w:rPr>
                <w:rFonts w:ascii="Meiryo UI" w:hAnsi="Meiryo UI"/>
                <w:sz w:val="18"/>
              </w:rPr>
              <w:t>7.396%</w:t>
            </w:r>
          </w:p>
        </w:tc>
        <w:tc>
          <w:tcPr>
            <w:tcW w:type="dxa" w:w="1568"/>
            <w:shd w:val="clear" w:color="auto" w:fill="DDEBF7"/>
          </w:tcPr>
          <w:p>
            <w:r>
              <w:rPr>
                <w:rFonts w:ascii="Meiryo UI" w:hAnsi="Meiryo UI"/>
                <w:sz w:val="18"/>
              </w:rPr>
              <w:t>3,650円</w:t>
            </w:r>
          </w:p>
        </w:tc>
        <w:tc>
          <w:tcPr>
            <w:tcW w:type="dxa" w:w="1568"/>
            <w:shd w:val="clear" w:color="auto" w:fill="DDEBF7"/>
          </w:tcPr>
          <w:p>
            <w:r>
              <w:rPr>
                <w:rFonts w:ascii="Meiryo UI" w:hAnsi="Meiryo UI"/>
                <w:sz w:val="18"/>
              </w:rPr>
              <w:t>+82.5%</w:t>
            </w:r>
          </w:p>
        </w:tc>
      </w:tr>
      <w:tr>
        <w:tc>
          <w:tcPr>
            <w:tcW w:type="dxa" w:w="1568"/>
          </w:tcPr>
          <w:p>
            <w:r>
              <w:rPr>
                <w:rFonts w:ascii="Meiryo UI" w:hAnsi="Meiryo UI"/>
                <w:sz w:val="18"/>
              </w:rPr>
              <w:t>Rf +1.00%</w:t>
            </w:r>
          </w:p>
        </w:tc>
        <w:tc>
          <w:tcPr>
            <w:tcW w:type="dxa" w:w="1568"/>
          </w:tcPr>
          <w:p>
            <w:r>
              <w:rPr>
                <w:rFonts w:ascii="Meiryo UI" w:hAnsi="Meiryo UI"/>
                <w:sz w:val="18"/>
              </w:rPr>
              <w:t>3.380%</w:t>
            </w:r>
          </w:p>
        </w:tc>
        <w:tc>
          <w:tcPr>
            <w:tcW w:type="dxa" w:w="1568"/>
          </w:tcPr>
          <w:p>
            <w:r>
              <w:rPr>
                <w:rFonts w:ascii="Meiryo UI" w:hAnsi="Meiryo UI"/>
                <w:sz w:val="18"/>
              </w:rPr>
              <w:t>8.055%</w:t>
            </w:r>
          </w:p>
        </w:tc>
        <w:tc>
          <w:tcPr>
            <w:tcW w:type="dxa" w:w="1568"/>
          </w:tcPr>
          <w:p>
            <w:r>
              <w:rPr>
                <w:rFonts w:ascii="Meiryo UI" w:hAnsi="Meiryo UI"/>
                <w:sz w:val="18"/>
              </w:rPr>
              <w:t>7.896%</w:t>
            </w:r>
          </w:p>
        </w:tc>
        <w:tc>
          <w:tcPr>
            <w:tcW w:type="dxa" w:w="1568"/>
          </w:tcPr>
          <w:p>
            <w:r>
              <w:rPr>
                <w:rFonts w:ascii="Meiryo UI" w:hAnsi="Meiryo UI"/>
                <w:sz w:val="18"/>
              </w:rPr>
              <w:t>3,340円</w:t>
            </w:r>
          </w:p>
        </w:tc>
        <w:tc>
          <w:tcPr>
            <w:tcW w:type="dxa" w:w="1568"/>
          </w:tcPr>
          <w:p>
            <w:r>
              <w:rPr>
                <w:rFonts w:ascii="Meiryo UI" w:hAnsi="Meiryo UI"/>
                <w:sz w:val="18"/>
              </w:rPr>
              <w:t>+67.0%</w:t>
            </w:r>
          </w:p>
        </w:tc>
      </w:tr>
    </w:tbl>
    <w:p/>
    <w:p>
      <w:pPr>
        <w:pStyle w:val="Heading3"/>
      </w:pPr>
      <w:r>
        <w:rPr>
          <w:rFonts w:ascii="Meiryo UI" w:hAnsi="Meiryo UI"/>
          <w:color w:val="2E74B5"/>
        </w:rPr>
        <w:t>感応度テーブル（補助：WACC・g クロス分析）</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WACC \ g</w:t>
            </w:r>
          </w:p>
        </w:tc>
        <w:tc>
          <w:tcPr>
            <w:tcW w:type="dxa" w:w="1568"/>
            <w:shd w:val="clear" w:color="auto" w:fill="2E74B5"/>
          </w:tcPr>
          <w:p>
            <w:r>
              <w:rPr>
                <w:rFonts w:ascii="Meiryo UI" w:hAnsi="Meiryo UI"/>
                <w:b/>
                <w:color w:val="FFFFFF"/>
                <w:sz w:val="18"/>
              </w:rPr>
              <w:t>0.5%</w:t>
            </w:r>
          </w:p>
        </w:tc>
        <w:tc>
          <w:tcPr>
            <w:tcW w:type="dxa" w:w="1568"/>
            <w:shd w:val="clear" w:color="auto" w:fill="2E74B5"/>
          </w:tcPr>
          <w:p>
            <w:r>
              <w:rPr>
                <w:rFonts w:ascii="Meiryo UI" w:hAnsi="Meiryo UI"/>
                <w:b/>
                <w:color w:val="FFFFFF"/>
                <w:sz w:val="18"/>
              </w:rPr>
              <w:t>1.0%</w:t>
            </w:r>
          </w:p>
        </w:tc>
        <w:tc>
          <w:tcPr>
            <w:tcW w:type="dxa" w:w="1568"/>
            <w:shd w:val="clear" w:color="auto" w:fill="2E74B5"/>
          </w:tcPr>
          <w:p>
            <w:r>
              <w:rPr>
                <w:rFonts w:ascii="Meiryo UI" w:hAnsi="Meiryo UI"/>
                <w:b/>
                <w:color w:val="FFFFFF"/>
                <w:sz w:val="18"/>
              </w:rPr>
              <w:t>1.5%</w:t>
            </w:r>
          </w:p>
        </w:tc>
        <w:tc>
          <w:tcPr>
            <w:tcW w:type="dxa" w:w="1568"/>
            <w:shd w:val="clear" w:color="auto" w:fill="2E74B5"/>
          </w:tcPr>
          <w:p>
            <w:r>
              <w:rPr>
                <w:rFonts w:ascii="Meiryo UI" w:hAnsi="Meiryo UI"/>
                <w:b/>
                <w:color w:val="FFFFFF"/>
                <w:sz w:val="18"/>
              </w:rPr>
              <w:t>2.0%</w:t>
            </w:r>
          </w:p>
        </w:tc>
        <w:tc>
          <w:tcPr>
            <w:tcW w:type="dxa" w:w="1568"/>
            <w:shd w:val="clear" w:color="auto" w:fill="2E74B5"/>
          </w:tcPr>
          <w:p>
            <w:r>
              <w:rPr>
                <w:rFonts w:ascii="Meiryo UI" w:hAnsi="Meiryo UI"/>
                <w:b/>
                <w:color w:val="FFFFFF"/>
                <w:sz w:val="18"/>
              </w:rPr>
              <w:t>2.5%</w:t>
            </w:r>
          </w:p>
        </w:tc>
      </w:tr>
      <w:tr>
        <w:tc>
          <w:tcPr>
            <w:tcW w:type="dxa" w:w="1568"/>
          </w:tcPr>
          <w:p>
            <w:r>
              <w:rPr>
                <w:rFonts w:ascii="Meiryo UI" w:hAnsi="Meiryo UI"/>
                <w:sz w:val="18"/>
              </w:rPr>
              <w:t>5.9%</w:t>
            </w:r>
          </w:p>
        </w:tc>
        <w:tc>
          <w:tcPr>
            <w:tcW w:type="dxa" w:w="1568"/>
          </w:tcPr>
          <w:p>
            <w:r>
              <w:rPr>
                <w:rFonts w:ascii="Meiryo UI" w:hAnsi="Meiryo UI"/>
                <w:sz w:val="18"/>
              </w:rPr>
              <w:t>4,650</w:t>
            </w:r>
          </w:p>
        </w:tc>
        <w:tc>
          <w:tcPr>
            <w:tcW w:type="dxa" w:w="1568"/>
          </w:tcPr>
          <w:p>
            <w:r>
              <w:rPr>
                <w:rFonts w:ascii="Meiryo UI" w:hAnsi="Meiryo UI"/>
                <w:sz w:val="18"/>
              </w:rPr>
              <w:t>5,020</w:t>
            </w:r>
          </w:p>
        </w:tc>
        <w:tc>
          <w:tcPr>
            <w:tcW w:type="dxa" w:w="1568"/>
          </w:tcPr>
          <w:p>
            <w:r>
              <w:rPr>
                <w:rFonts w:ascii="Meiryo UI" w:hAnsi="Meiryo UI"/>
                <w:sz w:val="18"/>
              </w:rPr>
              <w:t>5,480</w:t>
            </w:r>
          </w:p>
        </w:tc>
        <w:tc>
          <w:tcPr>
            <w:tcW w:type="dxa" w:w="1568"/>
          </w:tcPr>
          <w:p>
            <w:r>
              <w:rPr>
                <w:rFonts w:ascii="Meiryo UI" w:hAnsi="Meiryo UI"/>
                <w:sz w:val="18"/>
              </w:rPr>
              <w:t>6,100</w:t>
            </w:r>
          </w:p>
        </w:tc>
        <w:tc>
          <w:tcPr>
            <w:tcW w:type="dxa" w:w="1568"/>
          </w:tcPr>
          <w:p>
            <w:r>
              <w:rPr>
                <w:rFonts w:ascii="Meiryo UI" w:hAnsi="Meiryo UI"/>
                <w:sz w:val="18"/>
              </w:rPr>
              <w:t>7,010</w:t>
            </w:r>
          </w:p>
        </w:tc>
      </w:tr>
      <w:tr>
        <w:tc>
          <w:tcPr>
            <w:tcW w:type="dxa" w:w="1568"/>
            <w:shd w:val="clear" w:color="auto" w:fill="DDEBF7"/>
          </w:tcPr>
          <w:p>
            <w:r>
              <w:rPr>
                <w:rFonts w:ascii="Meiryo UI" w:hAnsi="Meiryo UI"/>
                <w:sz w:val="18"/>
              </w:rPr>
              <w:t>6.4%</w:t>
            </w:r>
          </w:p>
        </w:tc>
        <w:tc>
          <w:tcPr>
            <w:tcW w:type="dxa" w:w="1568"/>
            <w:shd w:val="clear" w:color="auto" w:fill="DDEBF7"/>
          </w:tcPr>
          <w:p>
            <w:r>
              <w:rPr>
                <w:rFonts w:ascii="Meiryo UI" w:hAnsi="Meiryo UI"/>
                <w:sz w:val="18"/>
              </w:rPr>
              <w:t>4,010</w:t>
            </w:r>
          </w:p>
        </w:tc>
        <w:tc>
          <w:tcPr>
            <w:tcW w:type="dxa" w:w="1568"/>
            <w:shd w:val="clear" w:color="auto" w:fill="DDEBF7"/>
          </w:tcPr>
          <w:p>
            <w:r>
              <w:rPr>
                <w:rFonts w:ascii="Meiryo UI" w:hAnsi="Meiryo UI"/>
                <w:sz w:val="18"/>
              </w:rPr>
              <w:t>4,310</w:t>
            </w:r>
          </w:p>
        </w:tc>
        <w:tc>
          <w:tcPr>
            <w:tcW w:type="dxa" w:w="1568"/>
            <w:shd w:val="clear" w:color="auto" w:fill="DDEBF7"/>
          </w:tcPr>
          <w:p>
            <w:r>
              <w:rPr>
                <w:rFonts w:ascii="Meiryo UI" w:hAnsi="Meiryo UI"/>
                <w:sz w:val="18"/>
              </w:rPr>
              <w:t>4,640</w:t>
            </w:r>
          </w:p>
        </w:tc>
        <w:tc>
          <w:tcPr>
            <w:tcW w:type="dxa" w:w="1568"/>
            <w:shd w:val="clear" w:color="auto" w:fill="DDEBF7"/>
          </w:tcPr>
          <w:p>
            <w:r>
              <w:rPr>
                <w:rFonts w:ascii="Meiryo UI" w:hAnsi="Meiryo UI"/>
                <w:sz w:val="18"/>
              </w:rPr>
              <w:t>5,080</w:t>
            </w:r>
          </w:p>
        </w:tc>
        <w:tc>
          <w:tcPr>
            <w:tcW w:type="dxa" w:w="1568"/>
            <w:shd w:val="clear" w:color="auto" w:fill="DDEBF7"/>
          </w:tcPr>
          <w:p>
            <w:r>
              <w:rPr>
                <w:rFonts w:ascii="Meiryo UI" w:hAnsi="Meiryo UI"/>
                <w:sz w:val="18"/>
              </w:rPr>
              <w:t>5,700</w:t>
            </w:r>
          </w:p>
        </w:tc>
      </w:tr>
      <w:tr>
        <w:tc>
          <w:tcPr>
            <w:tcW w:type="dxa" w:w="1568"/>
          </w:tcPr>
          <w:p>
            <w:r>
              <w:rPr>
                <w:rFonts w:ascii="Meiryo UI" w:hAnsi="Meiryo UI"/>
                <w:sz w:val="18"/>
              </w:rPr>
              <w:t>6.9%</w:t>
            </w:r>
          </w:p>
        </w:tc>
        <w:tc>
          <w:tcPr>
            <w:tcW w:type="dxa" w:w="1568"/>
          </w:tcPr>
          <w:p>
            <w:r>
              <w:rPr>
                <w:rFonts w:ascii="Meiryo UI" w:hAnsi="Meiryo UI"/>
                <w:sz w:val="18"/>
              </w:rPr>
              <w:t>3,520</w:t>
            </w:r>
          </w:p>
        </w:tc>
        <w:tc>
          <w:tcPr>
            <w:tcW w:type="dxa" w:w="1568"/>
          </w:tcPr>
          <w:p>
            <w:r>
              <w:rPr>
                <w:rFonts w:ascii="Meiryo UI" w:hAnsi="Meiryo UI"/>
                <w:sz w:val="18"/>
              </w:rPr>
              <w:t>3,750</w:t>
            </w:r>
          </w:p>
        </w:tc>
        <w:tc>
          <w:tcPr>
            <w:tcW w:type="dxa" w:w="1568"/>
          </w:tcPr>
          <w:p>
            <w:r>
              <w:rPr>
                <w:rFonts w:ascii="Meiryo UI" w:hAnsi="Meiryo UI"/>
                <w:sz w:val="18"/>
              </w:rPr>
              <w:t>4,000</w:t>
            </w:r>
          </w:p>
        </w:tc>
        <w:tc>
          <w:tcPr>
            <w:tcW w:type="dxa" w:w="1568"/>
          </w:tcPr>
          <w:p>
            <w:r>
              <w:rPr>
                <w:rFonts w:ascii="Meiryo UI" w:hAnsi="Meiryo UI"/>
                <w:sz w:val="18"/>
              </w:rPr>
              <w:t>4,320</w:t>
            </w:r>
          </w:p>
        </w:tc>
        <w:tc>
          <w:tcPr>
            <w:tcW w:type="dxa" w:w="1568"/>
          </w:tcPr>
          <w:p>
            <w:r>
              <w:rPr>
                <w:rFonts w:ascii="Meiryo UI" w:hAnsi="Meiryo UI"/>
                <w:sz w:val="18"/>
              </w:rPr>
              <w:t>4,760</w:t>
            </w:r>
          </w:p>
        </w:tc>
      </w:tr>
      <w:tr>
        <w:tc>
          <w:tcPr>
            <w:tcW w:type="dxa" w:w="1568"/>
            <w:shd w:val="clear" w:color="auto" w:fill="DDEBF7"/>
          </w:tcPr>
          <w:p>
            <w:r>
              <w:rPr>
                <w:rFonts w:ascii="Meiryo UI" w:hAnsi="Meiryo UI"/>
                <w:sz w:val="18"/>
              </w:rPr>
              <w:t>7.4%</w:t>
            </w:r>
          </w:p>
        </w:tc>
        <w:tc>
          <w:tcPr>
            <w:tcW w:type="dxa" w:w="1568"/>
            <w:shd w:val="clear" w:color="auto" w:fill="DDEBF7"/>
          </w:tcPr>
          <w:p>
            <w:r>
              <w:rPr>
                <w:rFonts w:ascii="Meiryo UI" w:hAnsi="Meiryo UI"/>
                <w:sz w:val="18"/>
              </w:rPr>
              <w:t>3,120</w:t>
            </w:r>
          </w:p>
        </w:tc>
        <w:tc>
          <w:tcPr>
            <w:tcW w:type="dxa" w:w="1568"/>
            <w:shd w:val="clear" w:color="auto" w:fill="DDEBF7"/>
          </w:tcPr>
          <w:p>
            <w:r>
              <w:rPr>
                <w:rFonts w:ascii="Meiryo UI" w:hAnsi="Meiryo UI"/>
                <w:sz w:val="18"/>
              </w:rPr>
              <w:t>3,310</w:t>
            </w:r>
          </w:p>
        </w:tc>
        <w:tc>
          <w:tcPr>
            <w:tcW w:type="dxa" w:w="1568"/>
            <w:shd w:val="clear" w:color="auto" w:fill="DDEBF7"/>
          </w:tcPr>
          <w:p>
            <w:r>
              <w:rPr>
                <w:rFonts w:ascii="Meiryo UI" w:hAnsi="Meiryo UI"/>
                <w:sz w:val="18"/>
              </w:rPr>
              <w:t>3,500</w:t>
            </w:r>
          </w:p>
        </w:tc>
        <w:tc>
          <w:tcPr>
            <w:tcW w:type="dxa" w:w="1568"/>
            <w:shd w:val="clear" w:color="auto" w:fill="DDEBF7"/>
          </w:tcPr>
          <w:p>
            <w:r>
              <w:rPr>
                <w:rFonts w:ascii="Meiryo UI" w:hAnsi="Meiryo UI"/>
                <w:sz w:val="18"/>
              </w:rPr>
              <w:t>3,750</w:t>
            </w:r>
          </w:p>
        </w:tc>
        <w:tc>
          <w:tcPr>
            <w:tcW w:type="dxa" w:w="1568"/>
            <w:shd w:val="clear" w:color="auto" w:fill="DDEBF7"/>
          </w:tcPr>
          <w:p>
            <w:r>
              <w:rPr>
                <w:rFonts w:ascii="Meiryo UI" w:hAnsi="Meiryo UI"/>
                <w:sz w:val="18"/>
              </w:rPr>
              <w:t>4,070</w:t>
            </w:r>
          </w:p>
        </w:tc>
      </w:tr>
      <w:tr>
        <w:tc>
          <w:tcPr>
            <w:tcW w:type="dxa" w:w="1568"/>
          </w:tcPr>
          <w:p>
            <w:r>
              <w:rPr>
                <w:rFonts w:ascii="Meiryo UI" w:hAnsi="Meiryo UI"/>
                <w:sz w:val="18"/>
              </w:rPr>
              <w:t>7.9%</w:t>
            </w:r>
          </w:p>
        </w:tc>
        <w:tc>
          <w:tcPr>
            <w:tcW w:type="dxa" w:w="1568"/>
          </w:tcPr>
          <w:p>
            <w:r>
              <w:rPr>
                <w:rFonts w:ascii="Meiryo UI" w:hAnsi="Meiryo UI"/>
                <w:sz w:val="18"/>
              </w:rPr>
              <w:t>2,800</w:t>
            </w:r>
          </w:p>
        </w:tc>
        <w:tc>
          <w:tcPr>
            <w:tcW w:type="dxa" w:w="1568"/>
          </w:tcPr>
          <w:p>
            <w:r>
              <w:rPr>
                <w:rFonts w:ascii="Meiryo UI" w:hAnsi="Meiryo UI"/>
                <w:sz w:val="18"/>
              </w:rPr>
              <w:t>2,950</w:t>
            </w:r>
          </w:p>
        </w:tc>
        <w:tc>
          <w:tcPr>
            <w:tcW w:type="dxa" w:w="1568"/>
          </w:tcPr>
          <w:p>
            <w:r>
              <w:rPr>
                <w:rFonts w:ascii="Meiryo UI" w:hAnsi="Meiryo UI"/>
                <w:sz w:val="18"/>
              </w:rPr>
              <w:t>3,100</w:t>
            </w:r>
          </w:p>
        </w:tc>
        <w:tc>
          <w:tcPr>
            <w:tcW w:type="dxa" w:w="1568"/>
          </w:tcPr>
          <w:p>
            <w:r>
              <w:rPr>
                <w:rFonts w:ascii="Meiryo UI" w:hAnsi="Meiryo UI"/>
                <w:sz w:val="18"/>
              </w:rPr>
              <w:t>3,290</w:t>
            </w:r>
          </w:p>
        </w:tc>
        <w:tc>
          <w:tcPr>
            <w:tcW w:type="dxa" w:w="1568"/>
          </w:tcPr>
          <w:p>
            <w:r>
              <w:rPr>
                <w:rFonts w:ascii="Meiryo UI" w:hAnsi="Meiryo UI"/>
                <w:sz w:val="18"/>
              </w:rPr>
              <w:t>3,530</w:t>
            </w:r>
          </w:p>
        </w:tc>
      </w:tr>
    </w:tbl>
    <w:p/>
    <w:p>
      <w:r>
        <w:rPr>
          <w:rFonts w:ascii="Meiryo UI" w:hAnsi="Meiryo UI"/>
          <w:sz w:val="20"/>
        </w:rPr>
        <w:t>&gt; 数値単位: 円/株</w:t>
      </w:r>
    </w:p>
    <w:p/>
    <w:p>
      <w:pPr>
        <w:pStyle w:val="Heading2"/>
      </w:pPr>
      <w:r>
        <w:rPr>
          <w:rFonts w:ascii="Meiryo UI" w:hAnsi="Meiryo UI"/>
          <w:color w:val="2E74B5"/>
        </w:rPr>
        <w:t>9.2 感応度分析の解釈</w:t>
      </w:r>
    </w:p>
    <w:p/>
    <w:p>
      <w:pPr>
        <w:shd w:val="clear" w:color="auto" w:fill="F2F2F2"/>
      </w:pPr>
      <w:r>
        <w:rPr>
          <w:rFonts w:ascii="Courier New" w:hAnsi="Courier New"/>
          <w:sz w:val="16"/>
        </w:rPr>
        <w:t>【重要示唆】</w:t>
        <w:br/>
        <w:br/>
        <w:t>1. Rf +1.00%シナリオ（JGB10Y → 3.38%）でも理論株価3,340円</w:t>
        <w:br/>
        <w:t xml:space="preserve">   → 現在株価2,000円比 +67%の上昇余地が残存</w:t>
        <w:br/>
        <w:t xml:space="preserve">   → 金利上昇耐性は高い</w:t>
        <w:br/>
        <w:br/>
        <w:t>2. 最大リスクシナリオ（WACC 7.9% × g 0.5%）でも理論株価 2,800円</w:t>
        <w:br/>
        <w:t xml:space="preserve">   → 現在株価2,000円比 +40% → バリュエーション耐性あり</w:t>
        <w:br/>
        <w:br/>
        <w:t>3. WACC 5.9% × g 2.5%の楽観シナリオでは 7,010円</w:t>
        <w:br/>
        <w:t xml:space="preserve">   → 「Strong BUY +98」の浅井スコアが想定する上値</w:t>
        <w:br/>
        <w:br/>
        <w:t>4. 金利1%上昇時の理論株価変動率: ▲16.5%（4,000→3,340円）</w:t>
        <w:br/>
        <w:t xml:space="preserve">   → 金利感応度は中程度（コモディティ企業として標準的）</w:t>
      </w:r>
    </w:p>
    <w:p/>
    <w:p>
      <w:r>
        <w:t>──────────────────────────────────────────────────</w:t>
      </w:r>
    </w:p>
    <w:p/>
    <w:p>
      <w:pPr>
        <w:pStyle w:val="Heading1"/>
      </w:pPr>
      <w:r>
        <w:rPr>
          <w:rFonts w:ascii="Meiryo UI" w:hAnsi="Meiryo UI"/>
          <w:color w:val="1F3864"/>
        </w:rPr>
        <w:t>総括・エグゼクティブサマリー</w:t>
      </w:r>
    </w:p>
    <w:p/>
    <w:p>
      <w:pPr>
        <w:pStyle w:val="Heading2"/>
      </w:pPr>
      <w:r>
        <w:rPr>
          <w:rFonts w:ascii="Meiryo UI" w:hAnsi="Meiryo UI"/>
          <w:color w:val="2E74B5"/>
        </w:rPr>
        <w:t>深井の最終判断</w:t>
      </w:r>
    </w:p>
    <w:p/>
    <w:p>
      <w:pPr>
        <w:shd w:val="clear" w:color="auto" w:fill="F2F2F2"/>
      </w:pPr>
      <w:r>
        <w:rPr>
          <w:rFonts w:ascii="Courier New" w:hAnsi="Courier New"/>
          <w:sz w:val="16"/>
        </w:rPr>
        <w:t>┌────────────────────────────────────────────────────┐</w:t>
        <w:br/>
        <w:t>│                   INPEX（1605）総合評価               │</w:t>
        <w:br/>
        <w:t>├────────────────────────────────────────────────────┤</w:t>
        <w:br/>
        <w:t>│ 投資判断:    BUY（浅井 Strong BUY から1段階引下）       │</w:t>
        <w:br/>
        <w:t>│ DCF理論株価: 3,900〜4,100円（ベースケース）             │</w:t>
        <w:br/>
        <w:t>│ 現在株価:    約2,000円（推定）                          │</w:t>
        <w:br/>
        <w:t>│ 上昇余地:    約90〜105%                               │</w:t>
        <w:br/>
        <w:t>│ Stress-Adj MoS: 約47%                                │</w:t>
        <w:br/>
        <w:t>│ ロジスティクス障害（重大以上）蓋然性: 20%               │</w:t>
        <w:br/>
        <w:t>│ 物流崩壊による「完全相殺」蓋然性: 5〜8%                 │</w:t>
        <w:br/>
        <w:t>│ 推奨エントリー: 1,850〜2,100円                         │</w:t>
        <w:br/>
        <w:t>│ 第1利確目標: 2,800〜3,000円                           │</w:t>
        <w:br/>
        <w:t>│ ハードストップ: 1,400円                               │</w:t>
        <w:br/>
        <w:t>├────────────────────────────────────────────────────┤</w:t>
        <w:br/>
        <w:t>│ 社長疑義命令への回答:                                  │</w:t>
        <w:br/>
        <w:t>│ 「物流崩壊による減収減益シナリオ」合計蓋然性 = 50%       │</w:t>
        <w:br/>
        <w:t>│ うち重大以上（営業利益▲10%超） = 20%                   │</w:t>
        <w:br/>
        <w:t>│ うち壊滅的（営業利益▲30%超） = 5%                     │</w:t>
        <w:br/>
        <w:t>│ → Strong BUYは「ロジスティクス幻想」を含む。            │</w:t>
        <w:br/>
        <w:t>│   BUYに引き下げ。モニタリング強化を推奨。               │</w:t>
        <w:br/>
        <w:t>└────────────────────────────────────────────────────┘</w:t>
      </w:r>
    </w:p>
    <w:p/>
    <w:p>
      <w:r>
        <w:t>──────────────────────────────────────────────────</w:t>
      </w:r>
    </w:p>
    <w:p/>
    <w:p>
      <w:r>
        <w:rPr>
          <w:rFonts w:ascii="Meiryo UI" w:hAnsi="Meiryo UI"/>
          <w:sz w:val="20"/>
        </w:rPr>
        <w:t>免責事項: 本レポートは竹村トレードカンパニー内部資料であり、公開情報・業界知識に基づく分析です。実際の投資判断はご自身の責任で行ってください。理論株価はモデル前提に基づく推計値であり、実際の株価を保証するものではありません。</w:t>
      </w:r>
    </w:p>
    <w:p/>
    <w:p>
      <w:r>
        <w:rPr>
          <w:rFonts w:ascii="Meiryo UI" w:hAnsi="Meiryo UI"/>
          <w:sz w:val="20"/>
        </w:rPr>
        <w:t>深井（竹村トレードカンパニー アナリスト）</w:t>
      </w:r>
    </w:p>
    <w:p>
      <w:r>
        <w:rPr>
          <w:rFonts w:ascii="Meiryo UI" w:hAnsi="Meiryo UI"/>
          <w:sz w:val="20"/>
        </w:rPr>
        <w:t>2026年4月5日 作成</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2026-04-05 18:07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1605_INPEX【ロジ_BUY_DeepResearch_20260405.md を出力しました。</w:t>
      </w:r>
    </w:p>
    <w:p>
      <w:r>
        <w:rPr>
          <w:rFonts w:ascii="Meiryo UI" w:hAnsi="Meiryo UI"/>
          <w:sz w:val="20"/>
        </w:rPr>
        <w:t>浅井スコア +98 の銘柄 [1605]INPEX【ロジスティクス・ストレステスト追加版】 についてDeepResearch完了。</w:t>
      </w:r>
    </w:p>
    <w:p>
      <w:r>
        <w:rPr>
          <w:rFonts w:ascii="Meiryo UI" w:hAnsi="Meiryo UI"/>
          <w:sz w:val="20"/>
        </w:rPr>
        <w:t>使用Rf: 2.380%（取得: 2026-04-05 18:07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