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1605 INPEX（インペックス） — Deep Research Report【改訂版：1662型リスク完全織り込み】</w:t>
      </w:r>
    </w:p>
    <w:p/>
    <w:p/>
    <w:p>
      <w:pPr>
        <w:jc w:val="center"/>
      </w:pPr>
      <w:r>
        <w:rPr>
          <w:rFonts w:ascii="Meiryo UI" w:hAnsi="Meiryo UI"/>
          <w:sz w:val="24"/>
        </w:rPr>
        <w:t>アナリスト：深井</w:t>
      </w:r>
    </w:p>
    <w:p>
      <w:pPr>
        <w:jc w:val="center"/>
      </w:pPr>
      <w:r>
        <w:rPr>
          <w:rFonts w:ascii="Meiryo UI" w:hAnsi="Meiryo UI"/>
          <w:sz w:val="24"/>
        </w:rPr>
        <w:t>分析日：2026-04-20</w:t>
      </w:r>
    </w:p>
    <w:p>
      <w:r>
        <w:br w:type="page"/>
      </w:r>
    </w:p>
    <w:p>
      <w:pPr>
        <w:pStyle w:val="Heading1"/>
      </w:pPr>
      <w:r>
        <w:rPr>
          <w:rFonts w:ascii="Meiryo UI" w:hAnsi="Meiryo UI"/>
          <w:color w:val="1F3864"/>
        </w:rPr>
        <w:t>1605 INPEX（インペックス） — Deep Research Report【改訂版：1662型リスク完全織り込み】</w:t>
      </w:r>
    </w:p>
    <w:p>
      <w:r>
        <w:rPr>
          <w:rFonts w:ascii="Meiryo UI" w:hAnsi="Meiryo UI"/>
          <w:sz w:val="20"/>
        </w:rPr>
        <w:t>作成日: 2026-04-20 Rev.2 | 作成者: 深井リサーチ | Rf: 2.394%（10年JGB）</w:t>
      </w:r>
    </w:p>
    <w:p>
      <w:r>
        <w:rPr>
          <w:rFonts w:ascii="Meiryo UI" w:hAnsi="Meiryo UI"/>
          <w:sz w:val="20"/>
        </w:rPr>
        <w:t>改訂理由: 初版のBullサイド偏重を是正。1662型「油価高騰でも利益が伸びない」構造リスクを完全定量化。</w:t>
      </w:r>
    </w:p>
    <w:p/>
    <w:p>
      <w:r>
        <w:t>──────────────────────────────────────────────────</w:t>
      </w:r>
    </w:p>
    <w:p/>
    <w:p>
      <w:pPr>
        <w:pStyle w:val="Heading2"/>
      </w:pPr>
      <w:r>
        <w:rPr>
          <w:rFonts w:ascii="Meiryo UI" w:hAnsi="Meiryo UI"/>
          <w:color w:val="2E74B5"/>
        </w:rPr>
        <w:t>■ 冒頭10秒サマリー（改訂版）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BUY（条件付き・初版STRONG BUYから格下げ）</w:t>
            </w:r>
          </w:p>
        </w:tc>
      </w:tr>
      <w:tr>
        <w:tc>
          <w:tcPr>
            <w:tcW w:type="dxa" w:w="4703"/>
            <w:shd w:val="clear" w:color="auto" w:fill="DDEBF7"/>
          </w:tcPr>
          <w:p>
            <w:r>
              <w:rPr>
                <w:rFonts w:ascii="Meiryo UI" w:hAnsi="Meiryo UI"/>
                <w:sz w:val="18"/>
              </w:rPr>
              <w:t>ベースTP</w:t>
            </w:r>
          </w:p>
        </w:tc>
        <w:tc>
          <w:tcPr>
            <w:tcW w:type="dxa" w:w="4703"/>
            <w:shd w:val="clear" w:color="auto" w:fill="DDEBF7"/>
          </w:tcPr>
          <w:p>
            <w:r>
              <w:rPr>
                <w:rFonts w:ascii="Meiryo UI" w:hAnsi="Meiryo UI"/>
                <w:sz w:val="18"/>
              </w:rPr>
              <w:t>¥4,500（初版¥4,800から下方修正）</w:t>
            </w:r>
          </w:p>
        </w:tc>
      </w:tr>
      <w:tr>
        <w:tc>
          <w:tcPr>
            <w:tcW w:type="dxa" w:w="4703"/>
          </w:tcPr>
          <w:p>
            <w:r>
              <w:rPr>
                <w:rFonts w:ascii="Meiryo UI" w:hAnsi="Meiryo UI"/>
                <w:sz w:val="18"/>
              </w:rPr>
              <w:t>ブルTP</w:t>
            </w:r>
          </w:p>
        </w:tc>
        <w:tc>
          <w:tcPr>
            <w:tcW w:type="dxa" w:w="4703"/>
          </w:tcPr>
          <w:p>
            <w:r>
              <w:rPr>
                <w:rFonts w:ascii="Meiryo UI" w:hAnsi="Meiryo UI"/>
                <w:sz w:val="18"/>
              </w:rPr>
              <w:t>¥6,000（Brent $100持続+PB500前倒し）</w:t>
            </w:r>
          </w:p>
        </w:tc>
      </w:tr>
      <w:tr>
        <w:tc>
          <w:tcPr>
            <w:tcW w:type="dxa" w:w="4703"/>
            <w:shd w:val="clear" w:color="auto" w:fill="DDEBF7"/>
          </w:tcPr>
          <w:p>
            <w:r>
              <w:rPr>
                <w:rFonts w:ascii="Meiryo UI" w:hAnsi="Meiryo UI"/>
                <w:sz w:val="18"/>
              </w:rPr>
              <w:t>バリュートラップFV</w:t>
            </w:r>
          </w:p>
        </w:tc>
        <w:tc>
          <w:tcPr>
            <w:tcW w:type="dxa" w:w="4703"/>
            <w:shd w:val="clear" w:color="auto" w:fill="DDEBF7"/>
          </w:tcPr>
          <w:p>
            <w:r>
              <w:rPr>
                <w:rFonts w:ascii="Meiryo UI" w:hAnsi="Meiryo UI"/>
                <w:sz w:val="18"/>
              </w:rPr>
              <w:t>¥3,352（Brent $63正常化時・簿価割れが「安い」ではなく「妥当」になるシナリオ）</w:t>
            </w:r>
          </w:p>
        </w:tc>
      </w:tr>
      <w:tr>
        <w:tc>
          <w:tcPr>
            <w:tcW w:type="dxa" w:w="4703"/>
          </w:tcPr>
          <w:p>
            <w:r>
              <w:rPr>
                <w:rFonts w:ascii="Meiryo UI" w:hAnsi="Meiryo UI"/>
                <w:sz w:val="18"/>
              </w:rPr>
              <w:t>現在値</w:t>
            </w:r>
          </w:p>
        </w:tc>
        <w:tc>
          <w:tcPr>
            <w:tcW w:type="dxa" w:w="4703"/>
          </w:tcPr>
          <w:p>
            <w:r>
              <w:rPr>
                <w:rFonts w:ascii="Meiryo UI" w:hAnsi="Meiryo UI"/>
                <w:sz w:val="18"/>
              </w:rPr>
              <w:t>¥3,843（2026-04-20）</w:t>
            </w:r>
          </w:p>
        </w:tc>
      </w:tr>
      <w:tr>
        <w:tc>
          <w:tcPr>
            <w:tcW w:type="dxa" w:w="4703"/>
            <w:shd w:val="clear" w:color="auto" w:fill="DDEBF7"/>
          </w:tcPr>
          <w:p>
            <w:r>
              <w:rPr>
                <w:rFonts w:ascii="Meiryo UI" w:hAnsi="Meiryo UI"/>
                <w:sz w:val="18"/>
              </w:rPr>
              <w:t>安全域</w:t>
            </w:r>
          </w:p>
        </w:tc>
        <w:tc>
          <w:tcPr>
            <w:tcW w:type="dxa" w:w="4703"/>
            <w:shd w:val="clear" w:color="auto" w:fill="DDEBF7"/>
          </w:tcPr>
          <w:p>
            <w:r>
              <w:rPr>
                <w:rFonts w:ascii="Meiryo UI" w:hAnsi="Meiryo UI"/>
                <w:sz w:val="18"/>
              </w:rPr>
              <w:t>¥3,600以下でのみBUY継続。¥3,843は「やや高め」</w:t>
            </w:r>
          </w:p>
        </w:tc>
      </w:tr>
      <w:tr>
        <w:tc>
          <w:tcPr>
            <w:tcW w:type="dxa" w:w="4703"/>
          </w:tcPr>
          <w:p>
            <w:r>
              <w:rPr>
                <w:rFonts w:ascii="Meiryo UI" w:hAnsi="Meiryo UI"/>
                <w:sz w:val="18"/>
              </w:rPr>
              <w:t>推奨アクション</w:t>
            </w:r>
          </w:p>
        </w:tc>
        <w:tc>
          <w:tcPr>
            <w:tcW w:type="dxa" w:w="4703"/>
          </w:tcPr>
          <w:p>
            <w:r>
              <w:rPr>
                <w:rFonts w:ascii="Meiryo UI" w:hAnsi="Meiryo UI"/>
                <w:sz w:val="18"/>
              </w:rPr>
              <w:t>¥3,600〜3,700の押し目待ちエントリー。最大1.5%（初版2.0%から削減）。SL ¥3,100</w:t>
            </w:r>
          </w:p>
        </w:tc>
      </w:tr>
    </w:tbl>
    <w:p/>
    <w:p>
      <w:r>
        <w:rPr>
          <w:rFonts w:ascii="Meiryo UI" w:hAnsi="Meiryo UI"/>
          <w:sz w:val="20"/>
        </w:rPr>
        <w:t>3つの弾丸:</w:t>
      </w:r>
    </w:p>
    <w:p>
      <w:pPr>
        <w:pStyle w:val="ListNumber"/>
      </w:pPr>
      <w:r>
        <w:rPr>
          <w:rFonts w:ascii="Meiryo UI" w:hAnsi="Meiryo UI"/>
          <w:sz w:val="20"/>
        </w:rPr>
        <w:t>ホルムズ再封鎖（4/18）× 5月上方修正 — Brent $98〜102が会社ガイダンス$63を大幅超過。5月決算でNP上方修正は確実。ただし「油価→利益」の転換効率は後述の通り低い</w:t>
      </w:r>
    </w:p>
    <w:p>
      <w:pPr>
        <w:pStyle w:val="ListNumber"/>
      </w:pPr>
      <w:r>
        <w:rPr>
          <w:rFonts w:ascii="Meiryo UI" w:hAnsi="Meiryo UI"/>
          <w:sz w:val="20"/>
        </w:rPr>
        <w:t>P/B 0.94x＝割安に見えるが前提次第 — Brent $80超継続なら真に割安（FV ¥4,000〜4,800）。$75以下への正常化なら「妥当（バリュートラップ）」。二分される</w:t>
      </w:r>
    </w:p>
    <w:p>
      <w:pPr>
        <w:pStyle w:val="ListNumber"/>
      </w:pPr>
      <w:r>
        <w:rPr>
          <w:rFonts w:ascii="Meiryo UI" w:hAnsi="Meiryo UI"/>
          <w:sz w:val="20"/>
        </w:rPr>
        <w:t>PB500×Abadi LNG×LNG長期契約 — 構造的成長軸は本物。ただし実現は2030年代が本番。現時点のFVへの寄与は限定的</w:t>
      </w:r>
    </w:p>
    <w:p/>
    <w:p>
      <w:r>
        <w:rPr>
          <w:rFonts w:ascii="Meiryo UI" w:hAnsi="Meiryo UI"/>
          <w:sz w:val="20"/>
        </w:rPr>
        <w:t>1つの主要リスク（定量・改訂）:</w:t>
      </w:r>
    </w:p>
    <w:p>
      <w:r>
        <w:rPr>
          <w:rFonts w:ascii="Meiryo UI" w:hAnsi="Meiryo UI"/>
          <w:sz w:val="20"/>
        </w:rPr>
        <w:t>油価高騰でも「1662型CF漏出」でNP ¥380〜430Bに留まるシナリオ（確率25%）。Brent $100時でも探鉱費急増・豪州PRRT・Ichthys維持費増・円高の四重苦でEPS実質伸び悩み。SL ¥3,100（1662型確認時）</w:t>
      </w:r>
    </w:p>
    <w:p/>
    <w:p>
      <w:r>
        <w:t>──────────────────────────────────────────────────</w:t>
      </w:r>
    </w:p>
    <w:p/>
    <w:p>
      <w:pPr>
        <w:pStyle w:val="Heading2"/>
      </w:pPr>
      <w:r>
        <w:rPr>
          <w:rFonts w:ascii="Meiryo UI" w:hAnsi="Meiryo UI"/>
          <w:color w:val="2E74B5"/>
        </w:rPr>
        <w:t>■ IR自律偵察結果</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情報</w:t>
            </w:r>
          </w:p>
        </w:tc>
      </w:tr>
      <w:tr>
        <w:tc>
          <w:tcPr>
            <w:tcW w:type="dxa" w:w="4703"/>
          </w:tcPr>
          <w:p>
            <w:r>
              <w:rPr>
                <w:rFonts w:ascii="Meiryo UI" w:hAnsi="Meiryo UI"/>
                <w:sz w:val="18"/>
              </w:rPr>
              <w:t>IRページ</w:t>
            </w:r>
          </w:p>
        </w:tc>
        <w:tc>
          <w:tcPr>
            <w:tcW w:type="dxa" w:w="4703"/>
          </w:tcPr>
          <w:p>
            <w:r>
              <w:rPr>
                <w:rFonts w:ascii="Meiryo UI" w:hAnsi="Meiryo UI"/>
                <w:sz w:val="18"/>
              </w:rPr>
              <w:t>https://www.inpex.co.jp/en/ir/</w:t>
            </w:r>
          </w:p>
        </w:tc>
      </w:tr>
      <w:tr>
        <w:tc>
          <w:tcPr>
            <w:tcW w:type="dxa" w:w="4703"/>
            <w:shd w:val="clear" w:color="auto" w:fill="DDEBF7"/>
          </w:tcPr>
          <w:p>
            <w:r>
              <w:rPr>
                <w:rFonts w:ascii="Meiryo UI" w:hAnsi="Meiryo UI"/>
                <w:sz w:val="18"/>
              </w:rPr>
              <w:t>IRメール</w:t>
            </w:r>
          </w:p>
        </w:tc>
        <w:tc>
          <w:tcPr>
            <w:tcW w:type="dxa" w:w="4703"/>
            <w:shd w:val="clear" w:color="auto" w:fill="DDEBF7"/>
          </w:tcPr>
          <w:p>
            <w:r>
              <w:rPr>
                <w:rFonts w:ascii="Meiryo UI" w:hAnsi="Meiryo UI"/>
                <w:sz w:val="18"/>
              </w:rPr>
              <w:t>ir@inpex.co.jp</w:t>
            </w:r>
          </w:p>
        </w:tc>
      </w:tr>
      <w:tr>
        <w:tc>
          <w:tcPr>
            <w:tcW w:type="dxa" w:w="4703"/>
          </w:tcPr>
          <w:p>
            <w:r>
              <w:rPr>
                <w:rFonts w:ascii="Meiryo UI" w:hAnsi="Meiryo UI"/>
                <w:sz w:val="18"/>
              </w:rPr>
              <w:t>IR電話</w:t>
            </w:r>
          </w:p>
        </w:tc>
        <w:tc>
          <w:tcPr>
            <w:tcW w:type="dxa" w:w="4703"/>
          </w:tcPr>
          <w:p>
            <w:r>
              <w:rPr>
                <w:rFonts w:ascii="Meiryo UI" w:hAnsi="Meiryo UI"/>
                <w:sz w:val="18"/>
              </w:rPr>
              <w:t>+81-3-5275-5825</w:t>
            </w:r>
          </w:p>
        </w:tc>
      </w:tr>
      <w:tr>
        <w:tc>
          <w:tcPr>
            <w:tcW w:type="dxa" w:w="4703"/>
            <w:shd w:val="clear" w:color="auto" w:fill="DDEBF7"/>
          </w:tcPr>
          <w:p>
            <w:r>
              <w:rPr>
                <w:rFonts w:ascii="Meiryo UI" w:hAnsi="Meiryo UI"/>
                <w:sz w:val="18"/>
              </w:rPr>
              <w:t>決算発表（FY3/26通期）</w:t>
            </w:r>
          </w:p>
        </w:tc>
        <w:tc>
          <w:tcPr>
            <w:tcW w:type="dxa" w:w="4703"/>
            <w:shd w:val="clear" w:color="auto" w:fill="DDEBF7"/>
          </w:tcPr>
          <w:p>
            <w:r>
              <w:rPr>
                <w:rFonts w:ascii="Meiryo UI" w:hAnsi="Meiryo UI"/>
                <w:sz w:val="18"/>
              </w:rPr>
              <w:t>2026年5月上旬（予定）</w:t>
            </w:r>
          </w:p>
        </w:tc>
      </w:tr>
      <w:tr>
        <w:tc>
          <w:tcPr>
            <w:tcW w:type="dxa" w:w="4703"/>
          </w:tcPr>
          <w:p>
            <w:r>
              <w:rPr>
                <w:rFonts w:ascii="Meiryo UI" w:hAnsi="Meiryo UI"/>
                <w:sz w:val="18"/>
              </w:rPr>
              <w:t>アナリスト担当（みずほ）</w:t>
            </w:r>
          </w:p>
        </w:tc>
        <w:tc>
          <w:tcPr>
            <w:tcW w:type="dxa" w:w="4703"/>
          </w:tcPr>
          <w:p>
            <w:r>
              <w:rPr>
                <w:rFonts w:ascii="Meiryo UI" w:hAnsi="Meiryo UI"/>
                <w:sz w:val="18"/>
              </w:rPr>
              <w:t>Norimasa Shinya 氏（4/15 Buy TP¥4,800）</w:t>
            </w:r>
          </w:p>
        </w:tc>
      </w:tr>
      <w:tr>
        <w:tc>
          <w:tcPr>
            <w:tcW w:type="dxa" w:w="4703"/>
            <w:shd w:val="clear" w:color="auto" w:fill="DDEBF7"/>
          </w:tcPr>
          <w:p>
            <w:r>
              <w:rPr>
                <w:rFonts w:ascii="Meiryo UI" w:hAnsi="Meiryo UI"/>
                <w:sz w:val="18"/>
              </w:rPr>
              <w:t>アナリスト担当（SMBC日興）</w:t>
            </w:r>
          </w:p>
        </w:tc>
        <w:tc>
          <w:tcPr>
            <w:tcW w:type="dxa" w:w="4703"/>
            <w:shd w:val="clear" w:color="auto" w:fill="DDEBF7"/>
          </w:tcPr>
          <w:p>
            <w:r>
              <w:rPr>
                <w:rFonts w:ascii="Meiryo UI" w:hAnsi="Meiryo UI"/>
                <w:sz w:val="18"/>
              </w:rPr>
              <w:t>Koji Kamichika 氏（3/13 Neutral TP¥4,000）</w:t>
            </w:r>
          </w:p>
        </w:tc>
      </w:tr>
    </w:tbl>
    <w:p/>
    <w:p>
      <w:r>
        <w:t>──────────────────────────────────────────────────</w:t>
      </w:r>
    </w:p>
    <w:p/>
    <w:p>
      <w:pPr>
        <w:pStyle w:val="Heading2"/>
      </w:pPr>
      <w:r>
        <w:rPr>
          <w:rFonts w:ascii="Meiryo UI" w:hAnsi="Meiryo UI"/>
          <w:color w:val="2E74B5"/>
        </w:rPr>
        <w:t>1. 企業概要・ポジショニング</w:t>
      </w:r>
    </w:p>
    <w:p/>
    <w:p>
      <w:r>
        <w:rPr>
          <w:rFonts w:ascii="Meiryo UI" w:hAnsi="Meiryo UI"/>
          <w:sz w:val="20"/>
        </w:rPr>
        <w:t>INPEXは日本最大の独立系E&amp;P会社。Ichthys LNG（豪州、持分60%）・Abu Dhabi石油権益（UAE）・Abadi LNG（インドネシア、2030稼働目標）が三本柱。PB500（利益¥500B超目標）を公表中。発行済株数：市場時価総額¥4.84T ÷ ¥3,843 = 約1,259M株。</w:t>
      </w:r>
    </w:p>
    <w:p/>
    <w:p>
      <w:r>
        <w:rPr>
          <w:rFonts w:ascii="Meiryo UI" w:hAnsi="Meiryo UI"/>
          <w:sz w:val="20"/>
        </w:rPr>
        <w:t>JAPEXとの比較（1662型リスクの参照軸）:</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JAPEX（1662）</w:t>
            </w:r>
          </w:p>
        </w:tc>
        <w:tc>
          <w:tcPr>
            <w:tcW w:type="dxa" w:w="2351"/>
            <w:shd w:val="clear" w:color="auto" w:fill="2E74B5"/>
          </w:tcPr>
          <w:p>
            <w:r>
              <w:rPr>
                <w:rFonts w:ascii="Meiryo UI" w:hAnsi="Meiryo UI"/>
                <w:b/>
                <w:color w:val="FFFFFF"/>
                <w:sz w:val="18"/>
              </w:rPr>
              <w:t>INPEX（1605）</w:t>
            </w:r>
          </w:p>
        </w:tc>
        <w:tc>
          <w:tcPr>
            <w:tcW w:type="dxa" w:w="2351"/>
            <w:shd w:val="clear" w:color="auto" w:fill="2E74B5"/>
          </w:tcPr>
          <w:p>
            <w:r>
              <w:rPr>
                <w:rFonts w:ascii="Meiryo UI" w:hAnsi="Meiryo UI"/>
                <w:b/>
                <w:color w:val="FFFFFF"/>
                <w:sz w:val="18"/>
              </w:rPr>
              <w:t>示唆</w:t>
            </w:r>
          </w:p>
        </w:tc>
      </w:tr>
      <w:tr>
        <w:tc>
          <w:tcPr>
            <w:tcW w:type="dxa" w:w="2351"/>
          </w:tcPr>
          <w:p>
            <w:r>
              <w:rPr>
                <w:rFonts w:ascii="Meiryo UI" w:hAnsi="Meiryo UI"/>
                <w:sz w:val="18"/>
              </w:rPr>
              <w:t>主要資産</w:t>
            </w:r>
          </w:p>
        </w:tc>
        <w:tc>
          <w:tcPr>
            <w:tcW w:type="dxa" w:w="2351"/>
          </w:tcPr>
          <w:p>
            <w:r>
              <w:rPr>
                <w:rFonts w:ascii="Meiryo UI" w:hAnsi="Meiryo UI"/>
                <w:sz w:val="18"/>
              </w:rPr>
              <w:t>国内ガス・カナダ油砂</w:t>
            </w:r>
          </w:p>
        </w:tc>
        <w:tc>
          <w:tcPr>
            <w:tcW w:type="dxa" w:w="2351"/>
          </w:tcPr>
          <w:p>
            <w:r>
              <w:rPr>
                <w:rFonts w:ascii="Meiryo UI" w:hAnsi="Meiryo UI"/>
                <w:sz w:val="18"/>
              </w:rPr>
              <w:t>Ichthys LNG・UAE・Abadi</w:t>
            </w:r>
          </w:p>
        </w:tc>
        <w:tc>
          <w:tcPr>
            <w:tcW w:type="dxa" w:w="2351"/>
          </w:tcPr>
          <w:p>
            <w:r>
              <w:rPr>
                <w:rFonts w:ascii="Meiryo UI" w:hAnsi="Meiryo UI"/>
                <w:sz w:val="18"/>
              </w:rPr>
              <w:t>INPEXの方が国際分散大きい</w:t>
            </w:r>
          </w:p>
        </w:tc>
      </w:tr>
      <w:tr>
        <w:tc>
          <w:tcPr>
            <w:tcW w:type="dxa" w:w="2351"/>
            <w:shd w:val="clear" w:color="auto" w:fill="DDEBF7"/>
          </w:tcPr>
          <w:p>
            <w:r>
              <w:rPr>
                <w:rFonts w:ascii="Meiryo UI" w:hAnsi="Meiryo UI"/>
                <w:sz w:val="18"/>
              </w:rPr>
              <w:t>カナダ油砂減損</w:t>
            </w:r>
          </w:p>
        </w:tc>
        <w:tc>
          <w:tcPr>
            <w:tcW w:type="dxa" w:w="2351"/>
            <w:shd w:val="clear" w:color="auto" w:fill="DDEBF7"/>
          </w:tcPr>
          <w:p>
            <w:r>
              <w:rPr>
                <w:rFonts w:ascii="Meiryo UI" w:hAnsi="Meiryo UI"/>
                <w:sz w:val="18"/>
              </w:rPr>
              <w:t>数千億円規模</w:t>
            </w:r>
          </w:p>
        </w:tc>
        <w:tc>
          <w:tcPr>
            <w:tcW w:type="dxa" w:w="2351"/>
            <w:shd w:val="clear" w:color="auto" w:fill="DDEBF7"/>
          </w:tcPr>
          <w:p>
            <w:r>
              <w:rPr>
                <w:rFonts w:ascii="Meiryo UI" w:hAnsi="Meiryo UI"/>
                <w:sz w:val="18"/>
              </w:rPr>
              <w:t>なし（現時点）</w:t>
            </w:r>
          </w:p>
        </w:tc>
        <w:tc>
          <w:tcPr>
            <w:tcW w:type="dxa" w:w="2351"/>
            <w:shd w:val="clear" w:color="auto" w:fill="DDEBF7"/>
          </w:tcPr>
          <w:p>
            <w:r>
              <w:rPr>
                <w:rFonts w:ascii="Meiryo UI" w:hAnsi="Meiryo UI"/>
                <w:sz w:val="18"/>
              </w:rPr>
              <w:t>同種リスクはAbadi LNGに潜在</w:t>
            </w:r>
          </w:p>
        </w:tc>
      </w:tr>
      <w:tr>
        <w:tc>
          <w:tcPr>
            <w:tcW w:type="dxa" w:w="2351"/>
          </w:tcPr>
          <w:p>
            <w:r>
              <w:rPr>
                <w:rFonts w:ascii="Meiryo UI" w:hAnsi="Meiryo UI"/>
                <w:sz w:val="18"/>
              </w:rPr>
              <w:t>Ichthys型大型PJ</w:t>
            </w:r>
          </w:p>
        </w:tc>
        <w:tc>
          <w:tcPr>
            <w:tcW w:type="dxa" w:w="2351"/>
          </w:tcPr>
          <w:p>
            <w:r>
              <w:rPr>
                <w:rFonts w:ascii="Meiryo UI" w:hAnsi="Meiryo UI"/>
                <w:sz w:val="18"/>
              </w:rPr>
              <w:t>なし</w:t>
            </w:r>
          </w:p>
        </w:tc>
        <w:tc>
          <w:tcPr>
            <w:tcW w:type="dxa" w:w="2351"/>
          </w:tcPr>
          <w:p>
            <w:r>
              <w:rPr>
                <w:rFonts w:ascii="Meiryo UI" w:hAnsi="Meiryo UI"/>
                <w:sz w:val="18"/>
              </w:rPr>
              <w:t>あり（$45B超）</w:t>
            </w:r>
          </w:p>
        </w:tc>
        <w:tc>
          <w:tcPr>
            <w:tcW w:type="dxa" w:w="2351"/>
          </w:tcPr>
          <w:p>
            <w:r>
              <w:rPr>
                <w:rFonts w:ascii="Meiryo UI" w:hAnsi="Meiryo UI"/>
                <w:sz w:val="18"/>
              </w:rPr>
              <w:t>巨大資産のD&amp;AがROE抑制</w:t>
            </w:r>
          </w:p>
        </w:tc>
      </w:tr>
      <w:tr>
        <w:tc>
          <w:tcPr>
            <w:tcW w:type="dxa" w:w="2351"/>
            <w:shd w:val="clear" w:color="auto" w:fill="DDEBF7"/>
          </w:tcPr>
          <w:p>
            <w:r>
              <w:rPr>
                <w:rFonts w:ascii="Meiryo UI" w:hAnsi="Meiryo UI"/>
                <w:sz w:val="18"/>
              </w:rPr>
              <w:t>ROE平均</w:t>
            </w:r>
          </w:p>
        </w:tc>
        <w:tc>
          <w:tcPr>
            <w:tcW w:type="dxa" w:w="2351"/>
            <w:shd w:val="clear" w:color="auto" w:fill="DDEBF7"/>
          </w:tcPr>
          <w:p>
            <w:r>
              <w:rPr>
                <w:rFonts w:ascii="Meiryo UI" w:hAnsi="Meiryo UI"/>
                <w:sz w:val="18"/>
              </w:rPr>
              <w:t>3〜5%（不況時）</w:t>
            </w:r>
          </w:p>
        </w:tc>
        <w:tc>
          <w:tcPr>
            <w:tcW w:type="dxa" w:w="2351"/>
            <w:shd w:val="clear" w:color="auto" w:fill="DDEBF7"/>
          </w:tcPr>
          <w:p>
            <w:r>
              <w:rPr>
                <w:rFonts w:ascii="Meiryo UI" w:hAnsi="Meiryo UI"/>
                <w:sz w:val="18"/>
              </w:rPr>
              <w:t>6〜8%（$80-90油時）</w:t>
            </w:r>
          </w:p>
        </w:tc>
        <w:tc>
          <w:tcPr>
            <w:tcW w:type="dxa" w:w="2351"/>
            <w:shd w:val="clear" w:color="auto" w:fill="DDEBF7"/>
          </w:tcPr>
          <w:p>
            <w:r>
              <w:rPr>
                <w:rFonts w:ascii="Meiryo UI" w:hAnsi="Meiryo UI"/>
                <w:sz w:val="18"/>
              </w:rPr>
              <w:t>正常化時はJAPEXに近づく</w:t>
            </w:r>
          </w:p>
        </w:tc>
      </w:tr>
      <w:tr>
        <w:tc>
          <w:tcPr>
            <w:tcW w:type="dxa" w:w="2351"/>
          </w:tcPr>
          <w:p>
            <w:r>
              <w:rPr>
                <w:rFonts w:ascii="Meiryo UI" w:hAnsi="Meiryo UI"/>
                <w:sz w:val="18"/>
              </w:rPr>
              <w:t>探鉱費コントロール</w:t>
            </w:r>
          </w:p>
        </w:tc>
        <w:tc>
          <w:tcPr>
            <w:tcW w:type="dxa" w:w="2351"/>
          </w:tcPr>
          <w:p>
            <w:r>
              <w:rPr>
                <w:rFonts w:ascii="Meiryo UI" w:hAnsi="Meiryo UI"/>
                <w:sz w:val="18"/>
              </w:rPr>
              <w:t>困難（失敗多数）</w:t>
            </w:r>
          </w:p>
        </w:tc>
        <w:tc>
          <w:tcPr>
            <w:tcW w:type="dxa" w:w="2351"/>
          </w:tcPr>
          <w:p>
            <w:r>
              <w:rPr>
                <w:rFonts w:ascii="Meiryo UI" w:hAnsi="Meiryo UI"/>
                <w:sz w:val="18"/>
              </w:rPr>
              <w:t>困難（E&amp;P業界共通）</w:t>
            </w:r>
          </w:p>
        </w:tc>
        <w:tc>
          <w:tcPr>
            <w:tcW w:type="dxa" w:w="2351"/>
          </w:tcPr>
          <w:p>
            <w:r>
              <w:rPr>
                <w:rFonts w:ascii="Meiryo UI" w:hAnsi="Meiryo UI"/>
                <w:sz w:val="18"/>
              </w:rPr>
              <w:t>1662型の最大共通リスク</w:t>
            </w:r>
          </w:p>
        </w:tc>
      </w:tr>
    </w:tbl>
    <w:p/>
    <w:p>
      <w:r>
        <w:t>──────────────────────────────────────────────────</w:t>
      </w:r>
    </w:p>
    <w:p/>
    <w:p>
      <w:pPr>
        <w:pStyle w:val="Heading2"/>
      </w:pPr>
      <w:r>
        <w:rPr>
          <w:rFonts w:ascii="Meiryo UI" w:hAnsi="Meiryo UI"/>
          <w:color w:val="2E74B5"/>
        </w:rPr>
        <w:t>2. 事業セグメント概要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特性</w:t>
            </w:r>
          </w:p>
        </w:tc>
        <w:tc>
          <w:tcPr>
            <w:tcW w:type="dxa" w:w="2351"/>
            <w:shd w:val="clear" w:color="auto" w:fill="2E74B5"/>
          </w:tcPr>
          <w:p>
            <w:r>
              <w:rPr>
                <w:rFonts w:ascii="Meiryo UI" w:hAnsi="Meiryo UI"/>
                <w:b/>
                <w:color w:val="FFFFFF"/>
                <w:sz w:val="18"/>
              </w:rPr>
              <w:t>Hormuz影響</w:t>
            </w:r>
          </w:p>
        </w:tc>
        <w:tc>
          <w:tcPr>
            <w:tcW w:type="dxa" w:w="2351"/>
            <w:shd w:val="clear" w:color="auto" w:fill="2E74B5"/>
          </w:tcPr>
          <w:p>
            <w:r>
              <w:rPr>
                <w:rFonts w:ascii="Meiryo UI" w:hAnsi="Meiryo UI"/>
                <w:b/>
                <w:color w:val="FFFFFF"/>
                <w:sz w:val="18"/>
              </w:rPr>
              <w:t>1662型リスク</w:t>
            </w:r>
          </w:p>
        </w:tc>
      </w:tr>
      <w:tr>
        <w:tc>
          <w:tcPr>
            <w:tcW w:type="dxa" w:w="2351"/>
          </w:tcPr>
          <w:p>
            <w:r>
              <w:rPr>
                <w:rFonts w:ascii="Meiryo UI" w:hAnsi="Meiryo UI"/>
                <w:sz w:val="18"/>
              </w:rPr>
              <w:t>石油・天然ガス（E&amp;P）</w:t>
            </w:r>
          </w:p>
        </w:tc>
        <w:tc>
          <w:tcPr>
            <w:tcW w:type="dxa" w:w="2351"/>
          </w:tcPr>
          <w:p>
            <w:r>
              <w:rPr>
                <w:rFonts w:ascii="Meiryo UI" w:hAnsi="Meiryo UI"/>
                <w:sz w:val="18"/>
              </w:rPr>
              <w:t>売上主体・油価直結</w:t>
            </w:r>
          </w:p>
        </w:tc>
        <w:tc>
          <w:tcPr>
            <w:tcW w:type="dxa" w:w="2351"/>
          </w:tcPr>
          <w:p>
            <w:r>
              <w:rPr>
                <w:rFonts w:ascii="Meiryo UI" w:hAnsi="Meiryo UI"/>
                <w:sz w:val="18"/>
              </w:rPr>
              <w:t>◎大幅正</w:t>
            </w:r>
          </w:p>
        </w:tc>
        <w:tc>
          <w:tcPr>
            <w:tcW w:type="dxa" w:w="2351"/>
          </w:tcPr>
          <w:p>
            <w:r>
              <w:rPr>
                <w:rFonts w:ascii="Meiryo UI" w:hAnsi="Meiryo UI"/>
                <w:sz w:val="18"/>
              </w:rPr>
              <w:t>高：探鉱費・減損リスク</w:t>
            </w:r>
          </w:p>
        </w:tc>
      </w:tr>
      <w:tr>
        <w:tc>
          <w:tcPr>
            <w:tcW w:type="dxa" w:w="2351"/>
            <w:shd w:val="clear" w:color="auto" w:fill="DDEBF7"/>
          </w:tcPr>
          <w:p>
            <w:r>
              <w:rPr>
                <w:rFonts w:ascii="Meiryo UI" w:hAnsi="Meiryo UI"/>
                <w:sz w:val="18"/>
              </w:rPr>
              <w:t>LNG（Ichthys）</w:t>
            </w:r>
          </w:p>
        </w:tc>
        <w:tc>
          <w:tcPr>
            <w:tcW w:type="dxa" w:w="2351"/>
            <w:shd w:val="clear" w:color="auto" w:fill="DDEBF7"/>
          </w:tcPr>
          <w:p>
            <w:r>
              <w:rPr>
                <w:rFonts w:ascii="Meiryo UI" w:hAnsi="Meiryo UI"/>
                <w:sz w:val="18"/>
              </w:rPr>
              <w:t>長期契約・安定</w:t>
            </w:r>
          </w:p>
        </w:tc>
        <w:tc>
          <w:tcPr>
            <w:tcW w:type="dxa" w:w="2351"/>
            <w:shd w:val="clear" w:color="auto" w:fill="DDEBF7"/>
          </w:tcPr>
          <w:p>
            <w:r>
              <w:rPr>
                <w:rFonts w:ascii="Meiryo UI" w:hAnsi="Meiryo UI"/>
                <w:sz w:val="18"/>
              </w:rPr>
              <w:t>○正</w:t>
            </w:r>
          </w:p>
        </w:tc>
        <w:tc>
          <w:tcPr>
            <w:tcW w:type="dxa" w:w="2351"/>
            <w:shd w:val="clear" w:color="auto" w:fill="DDEBF7"/>
          </w:tcPr>
          <w:p>
            <w:r>
              <w:rPr>
                <w:rFonts w:ascii="Meiryo UI" w:hAnsi="Meiryo UI"/>
                <w:sz w:val="18"/>
              </w:rPr>
              <w:t>中：維持費増・PRRT</w:t>
            </w:r>
          </w:p>
        </w:tc>
      </w:tr>
      <w:tr>
        <w:tc>
          <w:tcPr>
            <w:tcW w:type="dxa" w:w="2351"/>
          </w:tcPr>
          <w:p>
            <w:r>
              <w:rPr>
                <w:rFonts w:ascii="Meiryo UI" w:hAnsi="Meiryo UI"/>
                <w:sz w:val="18"/>
              </w:rPr>
              <w:t>国内事業</w:t>
            </w:r>
          </w:p>
        </w:tc>
        <w:tc>
          <w:tcPr>
            <w:tcW w:type="dxa" w:w="2351"/>
          </w:tcPr>
          <w:p>
            <w:r>
              <w:rPr>
                <w:rFonts w:ascii="Meiryo UI" w:hAnsi="Meiryo UI"/>
                <w:sz w:val="18"/>
              </w:rPr>
              <w:t>縮小・安定CF</w:t>
            </w:r>
          </w:p>
        </w:tc>
        <w:tc>
          <w:tcPr>
            <w:tcW w:type="dxa" w:w="2351"/>
          </w:tcPr>
          <w:p>
            <w:r>
              <w:rPr>
                <w:rFonts w:ascii="Meiryo UI" w:hAnsi="Meiryo UI"/>
                <w:sz w:val="18"/>
              </w:rPr>
              <w:t>△中立</w:t>
            </w:r>
          </w:p>
        </w:tc>
        <w:tc>
          <w:tcPr>
            <w:tcW w:type="dxa" w:w="2351"/>
          </w:tcPr>
          <w:p>
            <w:r>
              <w:rPr>
                <w:rFonts w:ascii="Meiryo UI" w:hAnsi="Meiryo UI"/>
                <w:sz w:val="18"/>
              </w:rPr>
              <w:t>低</w:t>
            </w:r>
          </w:p>
        </w:tc>
      </w:tr>
      <w:tr>
        <w:tc>
          <w:tcPr>
            <w:tcW w:type="dxa" w:w="2351"/>
            <w:shd w:val="clear" w:color="auto" w:fill="DDEBF7"/>
          </w:tcPr>
          <w:p>
            <w:r>
              <w:rPr>
                <w:rFonts w:ascii="Meiryo UI" w:hAnsi="Meiryo UI"/>
                <w:sz w:val="18"/>
              </w:rPr>
              <w:t>Abadi LNG（開発中）</w:t>
            </w:r>
          </w:p>
        </w:tc>
        <w:tc>
          <w:tcPr>
            <w:tcW w:type="dxa" w:w="2351"/>
            <w:shd w:val="clear" w:color="auto" w:fill="DDEBF7"/>
          </w:tcPr>
          <w:p>
            <w:r>
              <w:rPr>
                <w:rFonts w:ascii="Meiryo UI" w:hAnsi="Meiryo UI"/>
                <w:sz w:val="18"/>
              </w:rPr>
              <w:t>2030稼働予定</w:t>
            </w:r>
          </w:p>
        </w:tc>
        <w:tc>
          <w:tcPr>
            <w:tcW w:type="dxa" w:w="2351"/>
            <w:shd w:val="clear" w:color="auto" w:fill="DDEBF7"/>
          </w:tcPr>
          <w:p>
            <w:r>
              <w:rPr>
                <w:rFonts w:ascii="Meiryo UI" w:hAnsi="Meiryo UI"/>
                <w:sz w:val="18"/>
              </w:rPr>
              <w:t>なし</w:t>
            </w:r>
          </w:p>
        </w:tc>
        <w:tc>
          <w:tcPr>
            <w:tcW w:type="dxa" w:w="2351"/>
            <w:shd w:val="clear" w:color="auto" w:fill="DDEBF7"/>
          </w:tcPr>
          <w:p>
            <w:r>
              <w:rPr>
                <w:rFonts w:ascii="Meiryo UI" w:hAnsi="Meiryo UI"/>
                <w:sz w:val="18"/>
              </w:rPr>
              <w:t>高：コストオーバーランリスク</w:t>
            </w:r>
          </w:p>
        </w:tc>
      </w:tr>
    </w:tbl>
    <w:p/>
    <w:p>
      <w:r>
        <w:t>──────────────────────────────────────────────────</w:t>
      </w:r>
    </w:p>
    <w:p/>
    <w:p>
      <w:pPr>
        <w:pStyle w:val="Heading2"/>
      </w:pPr>
      <w:r>
        <w:rPr>
          <w:rFonts w:ascii="Meiryo UI" w:hAnsi="Meiryo UI"/>
          <w:color w:val="2E74B5"/>
        </w:rPr>
        <w:t>3. コモディティカーブ分析（恒久プロトコル）</w:t>
      </w:r>
    </w:p>
    <w:p/>
    <w:p>
      <w:pPr>
        <w:pStyle w:val="Heading3"/>
      </w:pPr>
      <w:r>
        <w:rPr>
          <w:rFonts w:ascii="Meiryo UI" w:hAnsi="Meiryo UI"/>
          <w:color w:val="2E74B5"/>
        </w:rPr>
        <w:t>3-1. 市況カーブ（2026年4月20日推定）</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指標</w:t>
            </w:r>
          </w:p>
        </w:tc>
        <w:tc>
          <w:tcPr>
            <w:tcW w:type="dxa" w:w="1568"/>
            <w:shd w:val="clear" w:color="auto" w:fill="2E74B5"/>
          </w:tcPr>
          <w:p>
            <w:r>
              <w:rPr>
                <w:rFonts w:ascii="Meiryo UI" w:hAnsi="Meiryo UI"/>
                <w:b/>
                <w:color w:val="FFFFFF"/>
                <w:sz w:val="18"/>
              </w:rPr>
              <w:t>Spot</w:t>
            </w:r>
          </w:p>
        </w:tc>
        <w:tc>
          <w:tcPr>
            <w:tcW w:type="dxa" w:w="1568"/>
            <w:shd w:val="clear" w:color="auto" w:fill="2E74B5"/>
          </w:tcPr>
          <w:p>
            <w:r>
              <w:rPr>
                <w:rFonts w:ascii="Meiryo UI" w:hAnsi="Meiryo UI"/>
                <w:b/>
                <w:color w:val="FFFFFF"/>
                <w:sz w:val="18"/>
              </w:rPr>
              <w:t>3M</w:t>
            </w:r>
          </w:p>
        </w:tc>
        <w:tc>
          <w:tcPr>
            <w:tcW w:type="dxa" w:w="1568"/>
            <w:shd w:val="clear" w:color="auto" w:fill="2E74B5"/>
          </w:tcPr>
          <w:p>
            <w:r>
              <w:rPr>
                <w:rFonts w:ascii="Meiryo UI" w:hAnsi="Meiryo UI"/>
                <w:b/>
                <w:color w:val="FFFFFF"/>
                <w:sz w:val="18"/>
              </w:rPr>
              <w:t>6M</w:t>
            </w:r>
          </w:p>
        </w:tc>
        <w:tc>
          <w:tcPr>
            <w:tcW w:type="dxa" w:w="1568"/>
            <w:shd w:val="clear" w:color="auto" w:fill="2E74B5"/>
          </w:tcPr>
          <w:p>
            <w:r>
              <w:rPr>
                <w:rFonts w:ascii="Meiryo UI" w:hAnsi="Meiryo UI"/>
                <w:b/>
                <w:color w:val="FFFFFF"/>
                <w:sz w:val="18"/>
              </w:rPr>
              <w:t>12M</w:t>
            </w:r>
          </w:p>
        </w:tc>
        <w:tc>
          <w:tcPr>
            <w:tcW w:type="dxa" w:w="1568"/>
            <w:shd w:val="clear" w:color="auto" w:fill="2E74B5"/>
          </w:tcPr>
          <w:p>
            <w:r>
              <w:rPr>
                <w:rFonts w:ascii="Meiryo UI" w:hAnsi="Meiryo UI"/>
                <w:b/>
                <w:color w:val="FFFFFF"/>
                <w:sz w:val="18"/>
              </w:rPr>
              <w:t>Rationale</w:t>
            </w:r>
          </w:p>
        </w:tc>
      </w:tr>
      <w:tr>
        <w:tc>
          <w:tcPr>
            <w:tcW w:type="dxa" w:w="1568"/>
          </w:tcPr>
          <w:p>
            <w:r>
              <w:rPr>
                <w:rFonts w:ascii="Meiryo UI" w:hAnsi="Meiryo UI"/>
                <w:sz w:val="18"/>
              </w:rPr>
              <w:t>Brent</w:t>
            </w:r>
          </w:p>
        </w:tc>
        <w:tc>
          <w:tcPr>
            <w:tcW w:type="dxa" w:w="1568"/>
          </w:tcPr>
          <w:p>
            <w:r>
              <w:rPr>
                <w:rFonts w:ascii="Meiryo UI" w:hAnsi="Meiryo UI"/>
                <w:sz w:val="18"/>
              </w:rPr>
              <w:t>~$98〜102</w:t>
            </w:r>
          </w:p>
        </w:tc>
        <w:tc>
          <w:tcPr>
            <w:tcW w:type="dxa" w:w="1568"/>
          </w:tcPr>
          <w:p>
            <w:r>
              <w:rPr>
                <w:rFonts w:ascii="Meiryo UI" w:hAnsi="Meiryo UI"/>
                <w:sz w:val="18"/>
              </w:rPr>
              <w:t>$94〜98</w:t>
            </w:r>
          </w:p>
        </w:tc>
        <w:tc>
          <w:tcPr>
            <w:tcW w:type="dxa" w:w="1568"/>
          </w:tcPr>
          <w:p>
            <w:r>
              <w:rPr>
                <w:rFonts w:ascii="Meiryo UI" w:hAnsi="Meiryo UI"/>
                <w:sz w:val="18"/>
              </w:rPr>
              <w:t>$88〜93</w:t>
            </w:r>
          </w:p>
        </w:tc>
        <w:tc>
          <w:tcPr>
            <w:tcW w:type="dxa" w:w="1568"/>
          </w:tcPr>
          <w:p>
            <w:r>
              <w:rPr>
                <w:rFonts w:ascii="Meiryo UI" w:hAnsi="Meiryo UI"/>
                <w:sz w:val="18"/>
              </w:rPr>
              <w:t>$82〜88</w:t>
            </w:r>
          </w:p>
        </w:tc>
        <w:tc>
          <w:tcPr>
            <w:tcW w:type="dxa" w:w="1568"/>
          </w:tcPr>
          <w:p>
            <w:r>
              <w:rPr>
                <w:rFonts w:ascii="Meiryo UI" w:hAnsi="Meiryo UI"/>
                <w:sz w:val="18"/>
              </w:rPr>
              <w:t>4/18再封鎖後。バックワーデーション</w:t>
            </w:r>
          </w:p>
        </w:tc>
      </w:tr>
      <w:tr>
        <w:tc>
          <w:tcPr>
            <w:tcW w:type="dxa" w:w="1568"/>
            <w:shd w:val="clear" w:color="auto" w:fill="DDEBF7"/>
          </w:tcPr>
          <w:p>
            <w:r>
              <w:rPr>
                <w:rFonts w:ascii="Meiryo UI" w:hAnsi="Meiryo UI"/>
                <w:sz w:val="18"/>
              </w:rPr>
              <w:t>WTI</w:t>
            </w:r>
          </w:p>
        </w:tc>
        <w:tc>
          <w:tcPr>
            <w:tcW w:type="dxa" w:w="1568"/>
            <w:shd w:val="clear" w:color="auto" w:fill="DDEBF7"/>
          </w:tcPr>
          <w:p>
            <w:r>
              <w:rPr>
                <w:rFonts w:ascii="Meiryo UI" w:hAnsi="Meiryo UI"/>
                <w:sz w:val="18"/>
              </w:rPr>
              <w:t>~$95〜99</w:t>
            </w:r>
          </w:p>
        </w:tc>
        <w:tc>
          <w:tcPr>
            <w:tcW w:type="dxa" w:w="1568"/>
            <w:shd w:val="clear" w:color="auto" w:fill="DDEBF7"/>
          </w:tcPr>
          <w:p>
            <w:r>
              <w:rPr>
                <w:rFonts w:ascii="Meiryo UI" w:hAnsi="Meiryo UI"/>
                <w:sz w:val="18"/>
              </w:rPr>
              <w:t>$91〜95</w:t>
            </w:r>
          </w:p>
        </w:tc>
        <w:tc>
          <w:tcPr>
            <w:tcW w:type="dxa" w:w="1568"/>
            <w:shd w:val="clear" w:color="auto" w:fill="DDEBF7"/>
          </w:tcPr>
          <w:p>
            <w:r>
              <w:rPr>
                <w:rFonts w:ascii="Meiryo UI" w:hAnsi="Meiryo UI"/>
                <w:sz w:val="18"/>
              </w:rPr>
              <w:t>$86〜90</w:t>
            </w:r>
          </w:p>
        </w:tc>
        <w:tc>
          <w:tcPr>
            <w:tcW w:type="dxa" w:w="1568"/>
            <w:shd w:val="clear" w:color="auto" w:fill="DDEBF7"/>
          </w:tcPr>
          <w:p>
            <w:r>
              <w:rPr>
                <w:rFonts w:ascii="Meiryo UI" w:hAnsi="Meiryo UI"/>
                <w:sz w:val="18"/>
              </w:rPr>
              <w:t>$79〜85</w:t>
            </w:r>
          </w:p>
        </w:tc>
        <w:tc>
          <w:tcPr>
            <w:tcW w:type="dxa" w:w="1568"/>
            <w:shd w:val="clear" w:color="auto" w:fill="DDEBF7"/>
          </w:tcPr>
          <w:p>
            <w:r>
              <w:rPr>
                <w:rFonts w:ascii="Meiryo UI" w:hAnsi="Meiryo UI"/>
                <w:sz w:val="18"/>
              </w:rPr>
              <w:t>Brent-WTIスプレッド$3〜4</w:t>
            </w:r>
          </w:p>
        </w:tc>
      </w:tr>
    </w:tbl>
    <w:p/>
    <w:p>
      <w:pPr>
        <w:pStyle w:val="Heading3"/>
      </w:pPr>
      <w:r>
        <w:rPr>
          <w:rFonts w:ascii="Meiryo UI" w:hAnsi="Meiryo UI"/>
          <w:color w:val="2E74B5"/>
        </w:rPr>
        <w:t>3-2. 1%感応度Delta（修正版）</w:t>
      </w:r>
    </w:p>
    <w:p/>
    <w:p>
      <w:r>
        <w:rPr>
          <w:rFonts w:ascii="Meiryo UI" w:hAnsi="Meiryo UI"/>
          <w:sz w:val="20"/>
        </w:rPr>
        <w:t>【重要修正】初版の感応度(¥11.55B/$)は誤り。実態は大幅に低い：</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Brent水準</w:t>
            </w:r>
          </w:p>
        </w:tc>
        <w:tc>
          <w:tcPr>
            <w:tcW w:type="dxa" w:w="2351"/>
            <w:shd w:val="clear" w:color="auto" w:fill="2E74B5"/>
          </w:tcPr>
          <w:p>
            <w:r>
              <w:rPr>
                <w:rFonts w:ascii="Meiryo UI" w:hAnsi="Meiryo UI"/>
                <w:b/>
                <w:color w:val="FFFFFF"/>
                <w:sz w:val="18"/>
              </w:rPr>
              <w:t>NP（推定）</w:t>
            </w:r>
          </w:p>
        </w:tc>
        <w:tc>
          <w:tcPr>
            <w:tcW w:type="dxa" w:w="2351"/>
            <w:shd w:val="clear" w:color="auto" w:fill="2E74B5"/>
          </w:tcPr>
          <w:p>
            <w:r>
              <w:rPr>
                <w:rFonts w:ascii="Meiryo UI" w:hAnsi="Meiryo UI"/>
                <w:b/>
                <w:color w:val="FFFFFF"/>
                <w:sz w:val="18"/>
              </w:rPr>
              <w:t>限界感応度（$1あたりNP増）</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$63（会社ガイダンス）</w:t>
            </w:r>
          </w:p>
        </w:tc>
        <w:tc>
          <w:tcPr>
            <w:tcW w:type="dxa" w:w="2351"/>
          </w:tcPr>
          <w:p>
            <w:r>
              <w:rPr>
                <w:rFonts w:ascii="Meiryo UI" w:hAnsi="Meiryo UI"/>
                <w:sz w:val="18"/>
              </w:rPr>
              <w:t>¥330B</w:t>
            </w:r>
          </w:p>
        </w:tc>
        <w:tc>
          <w:tcPr>
            <w:tcW w:type="dxa" w:w="2351"/>
          </w:tcPr>
          <w:p>
            <w:r>
              <w:rPr>
                <w:rFonts w:ascii="Meiryo UI" w:hAnsi="Meiryo UI"/>
                <w:sz w:val="18"/>
              </w:rPr>
              <w:t>−</w:t>
            </w:r>
          </w:p>
        </w:tc>
        <w:tc>
          <w:tcPr>
            <w:tcW w:type="dxa" w:w="2351"/>
          </w:tcPr>
          <w:p>
            <w:r>
              <w:rPr>
                <w:rFonts w:ascii="Meiryo UI" w:hAnsi="Meiryo UI"/>
                <w:sz w:val="18"/>
              </w:rPr>
              <w:t>ベース</w:t>
            </w:r>
          </w:p>
        </w:tc>
      </w:tr>
      <w:tr>
        <w:tc>
          <w:tcPr>
            <w:tcW w:type="dxa" w:w="2351"/>
            <w:shd w:val="clear" w:color="auto" w:fill="DDEBF7"/>
          </w:tcPr>
          <w:p>
            <w:r>
              <w:rPr>
                <w:rFonts w:ascii="Meiryo UI" w:hAnsi="Meiryo UI"/>
                <w:sz w:val="18"/>
              </w:rPr>
              <w:t>$85（旧consensus）</w:t>
            </w:r>
          </w:p>
        </w:tc>
        <w:tc>
          <w:tcPr>
            <w:tcW w:type="dxa" w:w="2351"/>
            <w:shd w:val="clear" w:color="auto" w:fill="DDEBF7"/>
          </w:tcPr>
          <w:p>
            <w:r>
              <w:rPr>
                <w:rFonts w:ascii="Meiryo UI" w:hAnsi="Meiryo UI"/>
                <w:sz w:val="18"/>
              </w:rPr>
              <w:t>¥440B</w:t>
            </w:r>
          </w:p>
        </w:tc>
        <w:tc>
          <w:tcPr>
            <w:tcW w:type="dxa" w:w="2351"/>
            <w:shd w:val="clear" w:color="auto" w:fill="DDEBF7"/>
          </w:tcPr>
          <w:p>
            <w:r>
              <w:rPr>
                <w:rFonts w:ascii="Meiryo UI" w:hAnsi="Meiryo UI"/>
                <w:sz w:val="18"/>
              </w:rPr>
              <w:t>¥5.0B/$ (=¥110B÷$22)</w:t>
            </w:r>
          </w:p>
        </w:tc>
        <w:tc>
          <w:tcPr>
            <w:tcW w:type="dxa" w:w="2351"/>
            <w:shd w:val="clear" w:color="auto" w:fill="DDEBF7"/>
          </w:tcPr>
          <w:p>
            <w:r>
              <w:rPr>
                <w:rFonts w:ascii="Meiryo UI" w:hAnsi="Meiryo UI"/>
                <w:sz w:val="18"/>
              </w:rPr>
              <w:t>Consensus vs ガイダンス差</w:t>
            </w:r>
          </w:p>
        </w:tc>
      </w:tr>
      <w:tr>
        <w:tc>
          <w:tcPr>
            <w:tcW w:type="dxa" w:w="2351"/>
          </w:tcPr>
          <w:p>
            <w:r>
              <w:rPr>
                <w:rFonts w:ascii="Meiryo UI" w:hAnsi="Meiryo UI"/>
                <w:sz w:val="18"/>
              </w:rPr>
              <w:t>$95（現状）</w:t>
            </w:r>
          </w:p>
        </w:tc>
        <w:tc>
          <w:tcPr>
            <w:tcW w:type="dxa" w:w="2351"/>
          </w:tcPr>
          <w:p>
            <w:r>
              <w:rPr>
                <w:rFonts w:ascii="Meiryo UI" w:hAnsi="Meiryo UI"/>
                <w:sz w:val="18"/>
              </w:rPr>
              <w:t>~¥490B</w:t>
            </w:r>
          </w:p>
        </w:tc>
        <w:tc>
          <w:tcPr>
            <w:tcW w:type="dxa" w:w="2351"/>
          </w:tcPr>
          <w:p>
            <w:r>
              <w:rPr>
                <w:rFonts w:ascii="Meiryo UI" w:hAnsi="Meiryo UI"/>
                <w:sz w:val="18"/>
              </w:rPr>
              <w:t>¥5.0B/$</w:t>
            </w:r>
          </w:p>
        </w:tc>
        <w:tc>
          <w:tcPr>
            <w:tcW w:type="dxa" w:w="2351"/>
          </w:tcPr>
          <w:p>
            <w:r>
              <w:rPr>
                <w:rFonts w:ascii="Meiryo UI" w:hAnsi="Meiryo UI"/>
                <w:sz w:val="18"/>
              </w:rPr>
              <w:t>感応度一定と仮定</w:t>
            </w:r>
          </w:p>
        </w:tc>
      </w:tr>
      <w:tr>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~¥515B</w:t>
            </w:r>
          </w:p>
        </w:tc>
        <w:tc>
          <w:tcPr>
            <w:tcW w:type="dxa" w:w="2351"/>
            <w:shd w:val="clear" w:color="auto" w:fill="DDEBF7"/>
          </w:tcPr>
          <w:p>
            <w:r>
              <w:rPr>
                <w:rFonts w:ascii="Meiryo UI" w:hAnsi="Meiryo UI"/>
                <w:sz w:val="18"/>
              </w:rPr>
              <w:t>¥5.0B/$</w:t>
            </w:r>
          </w:p>
        </w:tc>
        <w:tc>
          <w:tcPr>
            <w:tcW w:type="dxa" w:w="2351"/>
            <w:shd w:val="clear" w:color="auto" w:fill="DDEBF7"/>
          </w:tcPr>
          <w:p>
            <w:r>
              <w:rPr>
                <w:rFonts w:ascii="Meiryo UI" w:hAnsi="Meiryo UI"/>
                <w:sz w:val="18"/>
              </w:rPr>
              <w:t>逓減傾向あり（PRRT）</w:t>
            </w:r>
          </w:p>
        </w:tc>
      </w:tr>
    </w:tbl>
    <w:p/>
    <w:p>
      <w:r>
        <w:rPr>
          <w:rFonts w:ascii="Meiryo UI" w:hAnsi="Meiryo UI"/>
          <w:sz w:val="20"/>
        </w:rPr>
        <w:t>→ 感応度は初版想定の半分以下（¥11.55B→¥5.0B/$）。 根拠：Brent $63→$85（+$22）でNP +¥110B = ¥5B/bbl。豪州PRRTのプログレッシブ構造（高価格時ほど政府取り分増加）が主因。</w:t>
      </w:r>
    </w:p>
    <w:p/>
    <w:p>
      <w:r>
        <w:rPr>
          <w:rFonts w:ascii="Meiryo UI" w:hAnsi="Meiryo UI"/>
          <w:sz w:val="20"/>
        </w:rPr>
        <w:t>修正後の「Hormuz Bull」上振れ計算：</w:t>
      </w:r>
    </w:p>
    <w:p>
      <w:r>
        <w:rPr>
          <w:rFonts w:ascii="Meiryo UI" w:hAnsi="Meiryo UI"/>
          <w:sz w:val="20"/>
        </w:rPr>
        <w:t>Brent $85（旧consensus）→$98（現在）= +$13 × ¥5B = +¥65B増</w:t>
      </w:r>
    </w:p>
    <w:p>
      <w:r>
        <w:rPr>
          <w:rFonts w:ascii="Meiryo UI" w:hAnsi="Meiryo UI"/>
          <w:sz w:val="20"/>
        </w:rPr>
        <w:t>Hormuz Bull NP：¥440B + ¥65B = ¥505B（初版¥560〜640Bから大幅下方修正）</w:t>
      </w:r>
    </w:p>
    <w:p/>
    <w:p>
      <w:r>
        <w:t>──────────────────────────────────────────────────</w:t>
      </w:r>
    </w:p>
    <w:p/>
    <w:p>
      <w:pPr>
        <w:pStyle w:val="Heading2"/>
      </w:pPr>
      <w:r>
        <w:rPr>
          <w:rFonts w:ascii="Meiryo UI" w:hAnsi="Meiryo UI"/>
          <w:color w:val="2E74B5"/>
        </w:rPr>
        <w:t>4. 財務実績（Bloomberg確認値）</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現在値</w:t>
            </w:r>
          </w:p>
        </w:tc>
        <w:tc>
          <w:tcPr>
            <w:tcW w:type="dxa" w:w="4703"/>
          </w:tcPr>
          <w:p>
            <w:r>
              <w:rPr>
                <w:rFonts w:ascii="Meiryo UI" w:hAnsi="Meiryo UI"/>
                <w:sz w:val="18"/>
              </w:rPr>
              <w:t>¥3,843（Bloomberg確認）</w:t>
            </w:r>
          </w:p>
        </w:tc>
      </w:tr>
      <w:tr>
        <w:tc>
          <w:tcPr>
            <w:tcW w:type="dxa" w:w="4703"/>
            <w:shd w:val="clear" w:color="auto" w:fill="DDEBF7"/>
          </w:tcPr>
          <w:p>
            <w:r>
              <w:rPr>
                <w:rFonts w:ascii="Meiryo UI" w:hAnsi="Meiryo UI"/>
                <w:sz w:val="18"/>
              </w:rPr>
              <w:t>市場時価総額</w:t>
            </w:r>
          </w:p>
        </w:tc>
        <w:tc>
          <w:tcPr>
            <w:tcW w:type="dxa" w:w="4703"/>
            <w:shd w:val="clear" w:color="auto" w:fill="DDEBF7"/>
          </w:tcPr>
          <w:p>
            <w:r>
              <w:rPr>
                <w:rFonts w:ascii="Meiryo UI" w:hAnsi="Meiryo UI"/>
                <w:sz w:val="18"/>
              </w:rPr>
              <w:t>¥4.84T（Bloomberg確認）</w:t>
            </w:r>
          </w:p>
        </w:tc>
      </w:tr>
      <w:tr>
        <w:tc>
          <w:tcPr>
            <w:tcW w:type="dxa" w:w="4703"/>
          </w:tcPr>
          <w:p>
            <w:r>
              <w:rPr>
                <w:rFonts w:ascii="Meiryo UI" w:hAnsi="Meiryo UI"/>
                <w:sz w:val="18"/>
              </w:rPr>
              <w:t>BPS</w:t>
            </w:r>
          </w:p>
        </w:tc>
        <w:tc>
          <w:tcPr>
            <w:tcW w:type="dxa" w:w="4703"/>
          </w:tcPr>
          <w:p>
            <w:r>
              <w:rPr>
                <w:rFonts w:ascii="Meiryo UI" w:hAnsi="Meiryo UI"/>
                <w:sz w:val="18"/>
              </w:rPr>
              <w:t>¥4,073.44（Bloomberg確認）</w:t>
            </w:r>
          </w:p>
        </w:tc>
      </w:tr>
      <w:tr>
        <w:tc>
          <w:tcPr>
            <w:tcW w:type="dxa" w:w="4703"/>
            <w:shd w:val="clear" w:color="auto" w:fill="DDEBF7"/>
          </w:tcPr>
          <w:p>
            <w:r>
              <w:rPr>
                <w:rFonts w:ascii="Meiryo UI" w:hAnsi="Meiryo UI"/>
                <w:sz w:val="18"/>
              </w:rPr>
              <w:t>P/B</w:t>
            </w:r>
          </w:p>
        </w:tc>
        <w:tc>
          <w:tcPr>
            <w:tcW w:type="dxa" w:w="4703"/>
            <w:shd w:val="clear" w:color="auto" w:fill="DDEBF7"/>
          </w:tcPr>
          <w:p>
            <w:r>
              <w:rPr>
                <w:rFonts w:ascii="Meiryo UI" w:hAnsi="Meiryo UI"/>
                <w:sz w:val="18"/>
              </w:rPr>
              <w:t>0.94x（現値÷BPS）</w:t>
            </w:r>
          </w:p>
        </w:tc>
      </w:tr>
      <w:tr>
        <w:tc>
          <w:tcPr>
            <w:tcW w:type="dxa" w:w="4703"/>
          </w:tcPr>
          <w:p>
            <w:r>
              <w:rPr>
                <w:rFonts w:ascii="Meiryo UI" w:hAnsi="Meiryo UI"/>
                <w:sz w:val="18"/>
              </w:rPr>
              <w:t>ROE（LTM）</w:t>
            </w:r>
          </w:p>
        </w:tc>
        <w:tc>
          <w:tcPr>
            <w:tcW w:type="dxa" w:w="4703"/>
          </w:tcPr>
          <w:p>
            <w:r>
              <w:rPr>
                <w:rFonts w:ascii="Meiryo UI" w:hAnsi="Meiryo UI"/>
                <w:sz w:val="18"/>
              </w:rPr>
              <w:t>8.2%（Bloomberg確認）</w:t>
            </w:r>
          </w:p>
        </w:tc>
      </w:tr>
      <w:tr>
        <w:tc>
          <w:tcPr>
            <w:tcW w:type="dxa" w:w="4703"/>
            <w:shd w:val="clear" w:color="auto" w:fill="DDEBF7"/>
          </w:tcPr>
          <w:p>
            <w:r>
              <w:rPr>
                <w:rFonts w:ascii="Meiryo UI" w:hAnsi="Meiryo UI"/>
                <w:sz w:val="18"/>
              </w:rPr>
              <w:t>P/E（LTM）</w:t>
            </w:r>
          </w:p>
        </w:tc>
        <w:tc>
          <w:tcPr>
            <w:tcW w:type="dxa" w:w="4703"/>
            <w:shd w:val="clear" w:color="auto" w:fill="DDEBF7"/>
          </w:tcPr>
          <w:p>
            <w:r>
              <w:rPr>
                <w:rFonts w:ascii="Meiryo UI" w:hAnsi="Meiryo UI"/>
                <w:sz w:val="18"/>
              </w:rPr>
              <w:t>12.0x（Bloomberg確認）</w:t>
            </w:r>
          </w:p>
        </w:tc>
      </w:tr>
      <w:tr>
        <w:tc>
          <w:tcPr>
            <w:tcW w:type="dxa" w:w="4703"/>
          </w:tcPr>
          <w:p>
            <w:r>
              <w:rPr>
                <w:rFonts w:ascii="Meiryo UI" w:hAnsi="Meiryo UI"/>
                <w:sz w:val="18"/>
              </w:rPr>
              <w:t>配当利回り</w:t>
            </w:r>
          </w:p>
        </w:tc>
        <w:tc>
          <w:tcPr>
            <w:tcW w:type="dxa" w:w="4703"/>
          </w:tcPr>
          <w:p>
            <w:r>
              <w:rPr>
                <w:rFonts w:ascii="Meiryo UI" w:hAnsi="Meiryo UI"/>
                <w:sz w:val="18"/>
              </w:rPr>
              <w:t>2.6%（Bloomberg確認）</w:t>
            </w:r>
          </w:p>
        </w:tc>
      </w:tr>
      <w:tr>
        <w:tc>
          <w:tcPr>
            <w:tcW w:type="dxa" w:w="4703"/>
            <w:shd w:val="clear" w:color="auto" w:fill="DDEBF7"/>
          </w:tcPr>
          <w:p>
            <w:r>
              <w:rPr>
                <w:rFonts w:ascii="Meiryo UI" w:hAnsi="Meiryo UI"/>
                <w:sz w:val="18"/>
              </w:rPr>
              <w:t>D/E</w:t>
            </w:r>
          </w:p>
        </w:tc>
        <w:tc>
          <w:tcPr>
            <w:tcW w:type="dxa" w:w="4703"/>
            <w:shd w:val="clear" w:color="auto" w:fill="DDEBF7"/>
          </w:tcPr>
          <w:p>
            <w:r>
              <w:rPr>
                <w:rFonts w:ascii="Meiryo UI" w:hAnsi="Meiryo UI"/>
                <w:sz w:val="18"/>
              </w:rPr>
              <w:t>19.9%（Bloomberg確認）</w:t>
            </w:r>
          </w:p>
        </w:tc>
      </w:tr>
      <w:tr>
        <w:tc>
          <w:tcPr>
            <w:tcW w:type="dxa" w:w="4703"/>
          </w:tcPr>
          <w:p>
            <w:r>
              <w:rPr>
                <w:rFonts w:ascii="Meiryo UI" w:hAnsi="Meiryo UI"/>
                <w:sz w:val="18"/>
              </w:rPr>
              <w:t>FY26 Consensus NP</w:t>
            </w:r>
          </w:p>
        </w:tc>
        <w:tc>
          <w:tcPr>
            <w:tcW w:type="dxa" w:w="4703"/>
          </w:tcPr>
          <w:p>
            <w:r>
              <w:rPr>
                <w:rFonts w:ascii="Meiryo UI" w:hAnsi="Meiryo UI"/>
                <w:sz w:val="18"/>
              </w:rPr>
              <w:t>¥440.6B（Bloomberg確認）</w:t>
            </w:r>
          </w:p>
        </w:tc>
      </w:tr>
      <w:tr>
        <w:tc>
          <w:tcPr>
            <w:tcW w:type="dxa" w:w="4703"/>
            <w:shd w:val="clear" w:color="auto" w:fill="DDEBF7"/>
          </w:tcPr>
          <w:p>
            <w:r>
              <w:rPr>
                <w:rFonts w:ascii="Meiryo UI" w:hAnsi="Meiryo UI"/>
                <w:sz w:val="18"/>
              </w:rPr>
              <w:t>FY26 Consensus EPS</w:t>
            </w:r>
          </w:p>
        </w:tc>
        <w:tc>
          <w:tcPr>
            <w:tcW w:type="dxa" w:w="4703"/>
            <w:shd w:val="clear" w:color="auto" w:fill="DDEBF7"/>
          </w:tcPr>
          <w:p>
            <w:r>
              <w:rPr>
                <w:rFonts w:ascii="Meiryo UI" w:hAnsi="Meiryo UI"/>
                <w:sz w:val="18"/>
              </w:rPr>
              <w:t>¥381.14（Bloomberg確認）</w:t>
            </w:r>
          </w:p>
        </w:tc>
      </w:tr>
      <w:tr>
        <w:tc>
          <w:tcPr>
            <w:tcW w:type="dxa" w:w="4703"/>
          </w:tcPr>
          <w:p>
            <w:r>
              <w:rPr>
                <w:rFonts w:ascii="Meiryo UI" w:hAnsi="Meiryo UI"/>
                <w:sz w:val="18"/>
              </w:rPr>
              <w:t>FY26 DPS（ガイダンス）</w:t>
            </w:r>
          </w:p>
        </w:tc>
        <w:tc>
          <w:tcPr>
            <w:tcW w:type="dxa" w:w="4703"/>
          </w:tcPr>
          <w:p>
            <w:r>
              <w:rPr>
                <w:rFonts w:ascii="Meiryo UI" w:hAnsi="Meiryo UI"/>
                <w:sz w:val="18"/>
              </w:rPr>
              <w:t>¥108（会社発表確認）</w:t>
            </w:r>
          </w:p>
        </w:tc>
      </w:tr>
    </w:tbl>
    <w:p/>
    <w:p>
      <w:r>
        <w:t>──────────────────────────────────────────────────</w:t>
      </w:r>
    </w:p>
    <w:p/>
    <w:p>
      <w:pPr>
        <w:pStyle w:val="Heading2"/>
      </w:pPr>
      <w:r>
        <w:rPr>
          <w:rFonts w:ascii="Meiryo UI" w:hAnsi="Meiryo UI"/>
          <w:color w:val="2E74B5"/>
        </w:rPr>
        <w:t>5. 【核心追加分析】1662型「油価高騰でも利益が伸びない」シナリオ</w:t>
      </w:r>
    </w:p>
    <w:p/>
    <w:p>
      <w:pPr>
        <w:pStyle w:val="Heading3"/>
      </w:pPr>
      <w:r>
        <w:rPr>
          <w:rFonts w:ascii="Meiryo UI" w:hAnsi="Meiryo UI"/>
          <w:color w:val="2E74B5"/>
        </w:rPr>
        <w:t>5-1. JAPEX（1662）が辿ったパターンの解剖</w:t>
      </w:r>
    </w:p>
    <w:p/>
    <w:p>
      <w:r>
        <w:rPr>
          <w:rFonts w:ascii="Meiryo UI" w:hAnsi="Meiryo UI"/>
          <w:sz w:val="20"/>
        </w:rPr>
        <w:t>JAPEXは2010年代中盤の原油$80〜100時代においてもROEが3〜5%に留まった。理由：</w:t>
      </w:r>
    </w:p>
    <w:p>
      <w:pPr>
        <w:pStyle w:val="ListNumber"/>
      </w:pPr>
      <w:r>
        <w:rPr>
          <w:rFonts w:ascii="Meiryo UI" w:hAnsi="Meiryo UI"/>
          <w:sz w:val="20"/>
        </w:rPr>
        <w:t>カナダオイルサンド（Joslyn）への過大投資→数千億円の減損</w:t>
      </w:r>
    </w:p>
    <w:p>
      <w:pPr>
        <w:pStyle w:val="ListNumber"/>
      </w:pPr>
      <w:r>
        <w:rPr>
          <w:rFonts w:ascii="Meiryo UI" w:hAnsi="Meiryo UI"/>
          <w:sz w:val="20"/>
        </w:rPr>
        <w:t>国内ガス生産の急速な自然減退→維持CAPEXが増大</w:t>
      </w:r>
    </w:p>
    <w:p>
      <w:pPr>
        <w:pStyle w:val="ListNumber"/>
      </w:pPr>
      <w:r>
        <w:rPr>
          <w:rFonts w:ascii="Meiryo UI" w:hAnsi="Meiryo UI"/>
          <w:sz w:val="20"/>
        </w:rPr>
        <w:t>探鉱費の連続的な失敗計上</w:t>
      </w:r>
    </w:p>
    <w:p>
      <w:pPr>
        <w:pStyle w:val="ListNumber"/>
      </w:pPr>
      <w:r>
        <w:rPr>
          <w:rFonts w:ascii="Meiryo UI" w:hAnsi="Meiryo UI"/>
          <w:sz w:val="20"/>
        </w:rPr>
        <w:t>高油価時に政府資源税が増加し、可処分キャッシュが増えなかった</w:t>
      </w:r>
    </w:p>
    <w:p/>
    <w:p>
      <w:pPr>
        <w:pStyle w:val="Heading3"/>
      </w:pPr>
      <w:r>
        <w:rPr>
          <w:rFonts w:ascii="Meiryo UI" w:hAnsi="Meiryo UI"/>
          <w:color w:val="2E74B5"/>
        </w:rPr>
        <w:t>5-2. INPEXに同様メカニズムが発動する「1662型ベアケース」シミュレーション</w:t>
      </w:r>
    </w:p>
    <w:p/>
    <w:p>
      <w:r>
        <w:rPr>
          <w:rFonts w:ascii="Meiryo UI" w:hAnsi="Meiryo UI"/>
          <w:sz w:val="20"/>
        </w:rPr>
        <w:t>前提：Brent $100。しかしNPは会社ガイダンス水準（¥330〜380B）に留まる。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コスト増要因</w:t>
            </w:r>
          </w:p>
        </w:tc>
        <w:tc>
          <w:tcPr>
            <w:tcW w:type="dxa" w:w="2351"/>
            <w:shd w:val="clear" w:color="auto" w:fill="2E74B5"/>
          </w:tcPr>
          <w:p>
            <w:r>
              <w:rPr>
                <w:rFonts w:ascii="Meiryo UI" w:hAnsi="Meiryo UI"/>
                <w:b/>
                <w:color w:val="FFFFFF"/>
                <w:sz w:val="18"/>
              </w:rPr>
              <w:t>影響額</w:t>
            </w:r>
          </w:p>
        </w:tc>
        <w:tc>
          <w:tcPr>
            <w:tcW w:type="dxa" w:w="2351"/>
            <w:shd w:val="clear" w:color="auto" w:fill="2E74B5"/>
          </w:tcPr>
          <w:p>
            <w:r>
              <w:rPr>
                <w:rFonts w:ascii="Meiryo UI" w:hAnsi="Meiryo UI"/>
                <w:b/>
                <w:color w:val="FFFFFF"/>
                <w:sz w:val="18"/>
              </w:rPr>
              <w:t>発生確率</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豪州PRRT（超過利潤税）の累進増加</w:t>
            </w:r>
          </w:p>
        </w:tc>
        <w:tc>
          <w:tcPr>
            <w:tcW w:type="dxa" w:w="2351"/>
          </w:tcPr>
          <w:p>
            <w:r>
              <w:rPr>
                <w:rFonts w:ascii="Meiryo UI" w:hAnsi="Meiryo UI"/>
                <w:sz w:val="18"/>
              </w:rPr>
              <w:t>▲¥50〜80B</w:t>
            </w:r>
          </w:p>
        </w:tc>
        <w:tc>
          <w:tcPr>
            <w:tcW w:type="dxa" w:w="2351"/>
          </w:tcPr>
          <w:p>
            <w:r>
              <w:rPr>
                <w:rFonts w:ascii="Meiryo UI" w:hAnsi="Meiryo UI"/>
                <w:sz w:val="18"/>
              </w:rPr>
              <w:t>75%（油価$90超で確実発動）</w:t>
            </w:r>
          </w:p>
        </w:tc>
        <w:tc>
          <w:tcPr>
            <w:tcW w:type="dxa" w:w="2351"/>
          </w:tcPr>
          <w:p>
            <w:r>
              <w:rPr>
                <w:rFonts w:ascii="Meiryo UI" w:hAnsi="Meiryo UI"/>
                <w:sz w:val="18"/>
              </w:rPr>
              <w:t>豪州PRRT：油価$90超で実効税率10〜15%pt増加。Ichthys持分60%×年産収益に直撃。$100時の追加PRRT負担はINPEX試算ベースで¥50〜80B程度</w:t>
            </w:r>
          </w:p>
        </w:tc>
      </w:tr>
      <w:tr>
        <w:tc>
          <w:tcPr>
            <w:tcW w:type="dxa" w:w="2351"/>
            <w:shd w:val="clear" w:color="auto" w:fill="DDEBF7"/>
          </w:tcPr>
          <w:p>
            <w:r>
              <w:rPr>
                <w:rFonts w:ascii="Meiryo UI" w:hAnsi="Meiryo UI"/>
                <w:sz w:val="18"/>
              </w:rPr>
              <w:t>探鉱費の計画超過（Abadi前倒し）</w:t>
            </w:r>
          </w:p>
        </w:tc>
        <w:tc>
          <w:tcPr>
            <w:tcW w:type="dxa" w:w="2351"/>
            <w:shd w:val="clear" w:color="auto" w:fill="DDEBF7"/>
          </w:tcPr>
          <w:p>
            <w:r>
              <w:rPr>
                <w:rFonts w:ascii="Meiryo UI" w:hAnsi="Meiryo UI"/>
                <w:sz w:val="18"/>
              </w:rPr>
              <w:t>▲¥50〜100B</w:t>
            </w:r>
          </w:p>
        </w:tc>
        <w:tc>
          <w:tcPr>
            <w:tcW w:type="dxa" w:w="2351"/>
            <w:shd w:val="clear" w:color="auto" w:fill="DDEBF7"/>
          </w:tcPr>
          <w:p>
            <w:r>
              <w:rPr>
                <w:rFonts w:ascii="Meiryo UI" w:hAnsi="Meiryo UI"/>
                <w:sz w:val="18"/>
              </w:rPr>
              <w:t>60%</w:t>
            </w:r>
          </w:p>
        </w:tc>
        <w:tc>
          <w:tcPr>
            <w:tcW w:type="dxa" w:w="2351"/>
            <w:shd w:val="clear" w:color="auto" w:fill="DDEBF7"/>
          </w:tcPr>
          <w:p>
            <w:r>
              <w:rPr>
                <w:rFonts w:ascii="Meiryo UI" w:hAnsi="Meiryo UI"/>
                <w:sz w:val="18"/>
              </w:rPr>
              <w:t>INPEXのQ3決算で「探鉱費用が急増」を既に開示（出所19）。Abadi LNG前倒し投資・新規鉱区取得で年間¥50〜100B超過可能</w:t>
            </w:r>
          </w:p>
        </w:tc>
      </w:tr>
      <w:tr>
        <w:tc>
          <w:tcPr>
            <w:tcW w:type="dxa" w:w="2351"/>
          </w:tcPr>
          <w:p>
            <w:r>
              <w:rPr>
                <w:rFonts w:ascii="Meiryo UI" w:hAnsi="Meiryo UI"/>
                <w:sz w:val="18"/>
              </w:rPr>
              <w:t>Ichthys計画外メンテナンス</w:t>
            </w:r>
          </w:p>
        </w:tc>
        <w:tc>
          <w:tcPr>
            <w:tcW w:type="dxa" w:w="2351"/>
          </w:tcPr>
          <w:p>
            <w:r>
              <w:rPr>
                <w:rFonts w:ascii="Meiryo UI" w:hAnsi="Meiryo UI"/>
                <w:sz w:val="18"/>
              </w:rPr>
              <w:t>▲¥20〜60B</w:t>
            </w:r>
          </w:p>
        </w:tc>
        <w:tc>
          <w:tcPr>
            <w:tcW w:type="dxa" w:w="2351"/>
          </w:tcPr>
          <w:p>
            <w:r>
              <w:rPr>
                <w:rFonts w:ascii="Meiryo UI" w:hAnsi="Meiryo UI"/>
                <w:sz w:val="18"/>
              </w:rPr>
              <w:t>35%</w:t>
            </w:r>
          </w:p>
        </w:tc>
        <w:tc>
          <w:tcPr>
            <w:tcW w:type="dxa" w:w="2351"/>
          </w:tcPr>
          <w:p>
            <w:r>
              <w:rPr>
                <w:rFonts w:ascii="Meiryo UI" w:hAnsi="Meiryo UI"/>
                <w:sz w:val="18"/>
              </w:rPr>
              <w:t>FY26は「シャットダウンメンテなし年」（大和1/7確認）。ただしICHTHYS規模では年間予定外故障リスク常在。2週間停止で¥20B、1ヶ月で¥60B損失</w:t>
            </w:r>
          </w:p>
        </w:tc>
      </w:tr>
      <w:tr>
        <w:tc>
          <w:tcPr>
            <w:tcW w:type="dxa" w:w="2351"/>
            <w:shd w:val="clear" w:color="auto" w:fill="DDEBF7"/>
          </w:tcPr>
          <w:p>
            <w:r>
              <w:rPr>
                <w:rFonts w:ascii="Meiryo UI" w:hAnsi="Meiryo UI"/>
                <w:sz w:val="18"/>
              </w:rPr>
              <w:t>UAE ADNOC契約条件変更</w:t>
            </w:r>
          </w:p>
        </w:tc>
        <w:tc>
          <w:tcPr>
            <w:tcW w:type="dxa" w:w="2351"/>
            <w:shd w:val="clear" w:color="auto" w:fill="DDEBF7"/>
          </w:tcPr>
          <w:p>
            <w:r>
              <w:rPr>
                <w:rFonts w:ascii="Meiryo UI" w:hAnsi="Meiryo UI"/>
                <w:sz w:val="18"/>
              </w:rPr>
              <w:t>▲¥20〜40B</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高油価時にADNOCがコンセッション条件を不利に再交渉する前例あり（カタール・サウジ類似事例）。現交渉不明だが尾部リスク</w:t>
            </w:r>
          </w:p>
        </w:tc>
      </w:tr>
      <w:tr>
        <w:tc>
          <w:tcPr>
            <w:tcW w:type="dxa" w:w="2351"/>
          </w:tcPr>
          <w:p>
            <w:r>
              <w:rPr>
                <w:rFonts w:ascii="Meiryo UI" w:hAnsi="Meiryo UI"/>
                <w:sz w:val="18"/>
              </w:rPr>
              <w:t>円高（¥150→¥145）</w:t>
            </w:r>
          </w:p>
        </w:tc>
        <w:tc>
          <w:tcPr>
            <w:tcW w:type="dxa" w:w="2351"/>
          </w:tcPr>
          <w:p>
            <w:r>
              <w:rPr>
                <w:rFonts w:ascii="Meiryo UI" w:hAnsi="Meiryo UI"/>
                <w:sz w:val="18"/>
              </w:rPr>
              <w:t>▲¥25〜40B</w:t>
            </w:r>
          </w:p>
        </w:tc>
        <w:tc>
          <w:tcPr>
            <w:tcW w:type="dxa" w:w="2351"/>
          </w:tcPr>
          <w:p>
            <w:r>
              <w:rPr>
                <w:rFonts w:ascii="Meiryo UI" w:hAnsi="Meiryo UI"/>
                <w:sz w:val="18"/>
              </w:rPr>
              <w:t>25%</w:t>
            </w:r>
          </w:p>
        </w:tc>
        <w:tc>
          <w:tcPr>
            <w:tcW w:type="dxa" w:w="2351"/>
          </w:tcPr>
          <w:p>
            <w:r>
              <w:rPr>
                <w:rFonts w:ascii="Meiryo UI" w:hAnsi="Meiryo UI"/>
                <w:sz w:val="18"/>
              </w:rPr>
              <w:t>USD建て収益の80%が円換算低下</w:t>
            </w:r>
          </w:p>
        </w:tc>
      </w:tr>
    </w:tbl>
    <w:p/>
    <w:p>
      <w:r>
        <w:rPr>
          <w:rFonts w:ascii="Meiryo UI" w:hAnsi="Meiryo UI"/>
          <w:sz w:val="20"/>
        </w:rPr>
        <w:t>1662型ベアケースの合算（同時発生3要因シナリオ）：</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ケース</w:t>
            </w:r>
          </w:p>
        </w:tc>
        <w:tc>
          <w:tcPr>
            <w:tcW w:type="dxa" w:w="1881"/>
            <w:shd w:val="clear" w:color="auto" w:fill="2E74B5"/>
          </w:tcPr>
          <w:p>
            <w:r>
              <w:rPr>
                <w:rFonts w:ascii="Meiryo UI" w:hAnsi="Meiryo UI"/>
                <w:b/>
                <w:color w:val="FFFFFF"/>
                <w:sz w:val="18"/>
              </w:rPr>
              <w:t>発動要因</w:t>
            </w:r>
          </w:p>
        </w:tc>
        <w:tc>
          <w:tcPr>
            <w:tcW w:type="dxa" w:w="1881"/>
            <w:shd w:val="clear" w:color="auto" w:fill="2E74B5"/>
          </w:tcPr>
          <w:p>
            <w:r>
              <w:rPr>
                <w:rFonts w:ascii="Meiryo UI" w:hAnsi="Meiryo UI"/>
                <w:b/>
                <w:color w:val="FFFFFF"/>
                <w:sz w:val="18"/>
              </w:rPr>
              <w:t>コスト増合計</w:t>
            </w:r>
          </w:p>
        </w:tc>
        <w:tc>
          <w:tcPr>
            <w:tcW w:type="dxa" w:w="1881"/>
            <w:shd w:val="clear" w:color="auto" w:fill="2E74B5"/>
          </w:tcPr>
          <w:p>
            <w:r>
              <w:rPr>
                <w:rFonts w:ascii="Meiryo UI" w:hAnsi="Meiryo UI"/>
                <w:b/>
                <w:color w:val="FFFFFF"/>
                <w:sz w:val="18"/>
              </w:rPr>
              <w:t>収益増（Brent $100）</w:t>
            </w:r>
          </w:p>
        </w:tc>
        <w:tc>
          <w:tcPr>
            <w:tcW w:type="dxa" w:w="1881"/>
            <w:shd w:val="clear" w:color="auto" w:fill="2E74B5"/>
          </w:tcPr>
          <w:p>
            <w:r>
              <w:rPr>
                <w:rFonts w:ascii="Meiryo UI" w:hAnsi="Meiryo UI"/>
                <w:b/>
                <w:color w:val="FFFFFF"/>
                <w:sz w:val="18"/>
              </w:rPr>
              <w:t>NP推計</w:t>
            </w:r>
          </w:p>
        </w:tc>
      </w:tr>
      <w:tr>
        <w:tc>
          <w:tcPr>
            <w:tcW w:type="dxa" w:w="1881"/>
          </w:tcPr>
          <w:p>
            <w:r>
              <w:rPr>
                <w:rFonts w:ascii="Meiryo UI" w:hAnsi="Meiryo UI"/>
                <w:sz w:val="18"/>
              </w:rPr>
              <w:t>1662型ライト版</w:t>
            </w:r>
          </w:p>
        </w:tc>
        <w:tc>
          <w:tcPr>
            <w:tcW w:type="dxa" w:w="1881"/>
          </w:tcPr>
          <w:p>
            <w:r>
              <w:rPr>
                <w:rFonts w:ascii="Meiryo UI" w:hAnsi="Meiryo UI"/>
                <w:sz w:val="18"/>
              </w:rPr>
              <w:t>PRRT+探鉱費超過</w:t>
            </w:r>
          </w:p>
        </w:tc>
        <w:tc>
          <w:tcPr>
            <w:tcW w:type="dxa" w:w="1881"/>
          </w:tcPr>
          <w:p>
            <w:r>
              <w:rPr>
                <w:rFonts w:ascii="Meiryo UI" w:hAnsi="Meiryo UI"/>
                <w:sz w:val="18"/>
              </w:rPr>
              <w:t>▲¥100〜180B</w:t>
            </w:r>
          </w:p>
        </w:tc>
        <w:tc>
          <w:tcPr>
            <w:tcW w:type="dxa" w:w="1881"/>
          </w:tcPr>
          <w:p>
            <w:r>
              <w:rPr>
                <w:rFonts w:ascii="Meiryo UI" w:hAnsi="Meiryo UI"/>
                <w:sz w:val="18"/>
              </w:rPr>
              <w:t>+¥175B（$85→$100×¥5B/$）</w:t>
            </w:r>
          </w:p>
        </w:tc>
        <w:tc>
          <w:tcPr>
            <w:tcW w:type="dxa" w:w="1881"/>
          </w:tcPr>
          <w:p>
            <w:r>
              <w:rPr>
                <w:rFonts w:ascii="Meiryo UI" w:hAnsi="Meiryo UI"/>
                <w:sz w:val="18"/>
              </w:rPr>
              <w:t>¥380〜440B（consensus前後）</w:t>
            </w:r>
          </w:p>
        </w:tc>
      </w:tr>
      <w:tr>
        <w:tc>
          <w:tcPr>
            <w:tcW w:type="dxa" w:w="1881"/>
            <w:shd w:val="clear" w:color="auto" w:fill="DDEBF7"/>
          </w:tcPr>
          <w:p>
            <w:r>
              <w:rPr>
                <w:rFonts w:ascii="Meiryo UI" w:hAnsi="Meiryo UI"/>
                <w:sz w:val="18"/>
              </w:rPr>
              <w:t>1662型フル版</w:t>
            </w:r>
          </w:p>
        </w:tc>
        <w:tc>
          <w:tcPr>
            <w:tcW w:type="dxa" w:w="1881"/>
            <w:shd w:val="clear" w:color="auto" w:fill="DDEBF7"/>
          </w:tcPr>
          <w:p>
            <w:r>
              <w:rPr>
                <w:rFonts w:ascii="Meiryo UI" w:hAnsi="Meiryo UI"/>
                <w:sz w:val="18"/>
              </w:rPr>
              <w:t>PRRT+探鉱+Ichthys停止+円高</w:t>
            </w:r>
          </w:p>
        </w:tc>
        <w:tc>
          <w:tcPr>
            <w:tcW w:type="dxa" w:w="1881"/>
            <w:shd w:val="clear" w:color="auto" w:fill="DDEBF7"/>
          </w:tcPr>
          <w:p>
            <w:r>
              <w:rPr>
                <w:rFonts w:ascii="Meiryo UI" w:hAnsi="Meiryo UI"/>
                <w:sz w:val="18"/>
              </w:rPr>
              <w:t>▲¥145〜280B</w:t>
            </w:r>
          </w:p>
        </w:tc>
        <w:tc>
          <w:tcPr>
            <w:tcW w:type="dxa" w:w="1881"/>
            <w:shd w:val="clear" w:color="auto" w:fill="DDEBF7"/>
          </w:tcPr>
          <w:p>
            <w:r>
              <w:rPr>
                <w:rFonts w:ascii="Meiryo UI" w:hAnsi="Meiryo UI"/>
                <w:sz w:val="18"/>
              </w:rPr>
              <w:t>+¥175B</w:t>
            </w:r>
          </w:p>
        </w:tc>
        <w:tc>
          <w:tcPr>
            <w:tcW w:type="dxa" w:w="1881"/>
            <w:shd w:val="clear" w:color="auto" w:fill="DDEBF7"/>
          </w:tcPr>
          <w:p>
            <w:r>
              <w:rPr>
                <w:rFonts w:ascii="Meiryo UI" w:hAnsi="Meiryo UI"/>
                <w:sz w:val="18"/>
              </w:rPr>
              <w:t>¥265〜330B（≒ガイダンス水準）</w:t>
            </w:r>
          </w:p>
        </w:tc>
      </w:tr>
      <w:tr>
        <w:tc>
          <w:tcPr>
            <w:tcW w:type="dxa" w:w="1881"/>
          </w:tcPr>
          <w:p>
            <w:r>
              <w:rPr>
                <w:rFonts w:ascii="Meiryo UI" w:hAnsi="Meiryo UI"/>
                <w:sz w:val="18"/>
              </w:rPr>
              <w:t>JAPEX再現型</w:t>
            </w:r>
          </w:p>
        </w:tc>
        <w:tc>
          <w:tcPr>
            <w:tcW w:type="dxa" w:w="1881"/>
          </w:tcPr>
          <w:p>
            <w:r>
              <w:rPr>
                <w:rFonts w:ascii="Meiryo UI" w:hAnsi="Meiryo UI"/>
                <w:sz w:val="18"/>
              </w:rPr>
              <w:t>全要因+探鉱大型損失</w:t>
            </w:r>
          </w:p>
        </w:tc>
        <w:tc>
          <w:tcPr>
            <w:tcW w:type="dxa" w:w="1881"/>
          </w:tcPr>
          <w:p>
            <w:r>
              <w:rPr>
                <w:rFonts w:ascii="Meiryo UI" w:hAnsi="Meiryo UI"/>
                <w:sz w:val="18"/>
              </w:rPr>
              <w:t>▲¥300B以上</w:t>
            </w:r>
          </w:p>
        </w:tc>
        <w:tc>
          <w:tcPr>
            <w:tcW w:type="dxa" w:w="1881"/>
          </w:tcPr>
          <w:p>
            <w:r>
              <w:rPr>
                <w:rFonts w:ascii="Meiryo UI" w:hAnsi="Meiryo UI"/>
                <w:sz w:val="18"/>
              </w:rPr>
              <w:t>+¥175B</w:t>
            </w:r>
          </w:p>
        </w:tc>
        <w:tc>
          <w:tcPr>
            <w:tcW w:type="dxa" w:w="1881"/>
          </w:tcPr>
          <w:p>
            <w:r>
              <w:rPr>
                <w:rFonts w:ascii="Meiryo UI" w:hAnsi="Meiryo UI"/>
                <w:sz w:val="18"/>
              </w:rPr>
              <w:t>¥205B以下（FY20 COVID以来の低水準）</w:t>
            </w:r>
          </w:p>
        </w:tc>
      </w:tr>
    </w:tbl>
    <w:p/>
    <w:p>
      <w:r>
        <w:rPr>
          <w:rFonts w:ascii="Meiryo UI" w:hAnsi="Meiryo UI"/>
          <w:sz w:val="20"/>
        </w:rPr>
        <w:t>1662型フル版の発生確率：15〜20%。</w:t>
      </w:r>
    </w:p>
    <w:p>
      <w:r>
        <w:rPr>
          <w:rFonts w:ascii="Meiryo UI" w:hAnsi="Meiryo UI"/>
          <w:sz w:val="20"/>
        </w:rPr>
        <w:t>「Brent $100でもNP ¥330B」は珍しい事態ではない。E&amp;P特有のコスト構造が利益を吸収する。</w:t>
      </w:r>
    </w:p>
    <w:p/>
    <w:p>
      <w:pPr>
        <w:pStyle w:val="Heading3"/>
      </w:pPr>
      <w:r>
        <w:rPr>
          <w:rFonts w:ascii="Meiryo UI" w:hAnsi="Meiryo UI"/>
          <w:color w:val="2E74B5"/>
        </w:rPr>
        <w:t>5-3. INPEXとJAPEXの決定的な「構造差」（楽観シナリオへの反論も整理）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INPEX優位点</w:t>
            </w:r>
          </w:p>
        </w:tc>
        <w:tc>
          <w:tcPr>
            <w:tcW w:type="dxa" w:w="3135"/>
            <w:shd w:val="clear" w:color="auto" w:fill="2E74B5"/>
          </w:tcPr>
          <w:p>
            <w:r>
              <w:rPr>
                <w:rFonts w:ascii="Meiryo UI" w:hAnsi="Meiryo UI"/>
                <w:b/>
                <w:color w:val="FFFFFF"/>
                <w:sz w:val="18"/>
              </w:rPr>
              <w:t>JAPEX劣位からの学習課題</w:t>
            </w:r>
          </w:p>
        </w:tc>
      </w:tr>
      <w:tr>
        <w:tc>
          <w:tcPr>
            <w:tcW w:type="dxa" w:w="3135"/>
          </w:tcPr>
          <w:p>
            <w:r>
              <w:rPr>
                <w:rFonts w:ascii="Meiryo UI" w:hAnsi="Meiryo UI"/>
                <w:sz w:val="18"/>
              </w:rPr>
              <w:t>LNG長期契約</w:t>
            </w:r>
          </w:p>
        </w:tc>
        <w:tc>
          <w:tcPr>
            <w:tcW w:type="dxa" w:w="3135"/>
          </w:tcPr>
          <w:p>
            <w:r>
              <w:rPr>
                <w:rFonts w:ascii="Meiryo UI" w:hAnsi="Meiryo UI"/>
                <w:sz w:val="18"/>
              </w:rPr>
              <w:t>Ichthys 20年長期固定価格売買→最悪時のCF床がある</w:t>
            </w:r>
          </w:p>
        </w:tc>
        <w:tc>
          <w:tcPr>
            <w:tcW w:type="dxa" w:w="3135"/>
          </w:tcPr>
          <w:p>
            <w:r>
              <w:rPr>
                <w:rFonts w:ascii="Meiryo UI" w:hAnsi="Meiryo UI"/>
                <w:sz w:val="18"/>
              </w:rPr>
              <w:t>ただしLNG契約価格は油価連動→油価下落時には床も下がる</w:t>
            </w:r>
          </w:p>
        </w:tc>
      </w:tr>
      <w:tr>
        <w:tc>
          <w:tcPr>
            <w:tcW w:type="dxa" w:w="3135"/>
            <w:shd w:val="clear" w:color="auto" w:fill="DDEBF7"/>
          </w:tcPr>
          <w:p>
            <w:r>
              <w:rPr>
                <w:rFonts w:ascii="Meiryo UI" w:hAnsi="Meiryo UI"/>
                <w:sz w:val="18"/>
              </w:rPr>
              <w:t>財務健全性（D/E 19.9%）</w:t>
            </w:r>
          </w:p>
        </w:tc>
        <w:tc>
          <w:tcPr>
            <w:tcW w:type="dxa" w:w="3135"/>
            <w:shd w:val="clear" w:color="auto" w:fill="DDEBF7"/>
          </w:tcPr>
          <w:p>
            <w:r>
              <w:rPr>
                <w:rFonts w:ascii="Meiryo UI" w:hAnsi="Meiryo UI"/>
                <w:sz w:val="18"/>
              </w:rPr>
              <w:t>低債務で財務破綻リスクなし</w:t>
            </w:r>
          </w:p>
        </w:tc>
        <w:tc>
          <w:tcPr>
            <w:tcW w:type="dxa" w:w="3135"/>
            <w:shd w:val="clear" w:color="auto" w:fill="DDEBF7"/>
          </w:tcPr>
          <w:p>
            <w:r>
              <w:rPr>
                <w:rFonts w:ascii="Meiryo UI" w:hAnsi="Meiryo UI"/>
                <w:sz w:val="18"/>
              </w:rPr>
              <w:t>JAPEX型の「借金で首が回らない」は起きにくい</w:t>
            </w:r>
          </w:p>
        </w:tc>
      </w:tr>
      <w:tr>
        <w:tc>
          <w:tcPr>
            <w:tcW w:type="dxa" w:w="3135"/>
          </w:tcPr>
          <w:p>
            <w:r>
              <w:rPr>
                <w:rFonts w:ascii="Meiryo UI" w:hAnsi="Meiryo UI"/>
                <w:sz w:val="18"/>
              </w:rPr>
              <w:t>国際分散</w:t>
            </w:r>
          </w:p>
        </w:tc>
        <w:tc>
          <w:tcPr>
            <w:tcW w:type="dxa" w:w="3135"/>
          </w:tcPr>
          <w:p>
            <w:r>
              <w:rPr>
                <w:rFonts w:ascii="Meiryo UI" w:hAnsi="Meiryo UI"/>
                <w:sz w:val="18"/>
              </w:rPr>
              <w:t>豪州・UAE・インドネシア</w:t>
            </w:r>
          </w:p>
        </w:tc>
        <w:tc>
          <w:tcPr>
            <w:tcW w:type="dxa" w:w="3135"/>
          </w:tcPr>
          <w:p>
            <w:r>
              <w:rPr>
                <w:rFonts w:ascii="Meiryo UI" w:hAnsi="Meiryo UI"/>
                <w:sz w:val="18"/>
              </w:rPr>
              <w:t>ただし豪州PRRTが最大のコスト変数として残る</w:t>
            </w:r>
          </w:p>
        </w:tc>
      </w:tr>
      <w:tr>
        <w:tc>
          <w:tcPr>
            <w:tcW w:type="dxa" w:w="3135"/>
            <w:shd w:val="clear" w:color="auto" w:fill="DDEBF7"/>
          </w:tcPr>
          <w:p>
            <w:r>
              <w:rPr>
                <w:rFonts w:ascii="Meiryo UI" w:hAnsi="Meiryo UI"/>
                <w:sz w:val="18"/>
              </w:rPr>
              <w:t>PB500の構造</w:t>
            </w:r>
          </w:p>
        </w:tc>
        <w:tc>
          <w:tcPr>
            <w:tcW w:type="dxa" w:w="3135"/>
            <w:shd w:val="clear" w:color="auto" w:fill="DDEBF7"/>
          </w:tcPr>
          <w:p>
            <w:r>
              <w:rPr>
                <w:rFonts w:ascii="Meiryo UI" w:hAnsi="Meiryo UI"/>
                <w:sz w:val="18"/>
              </w:rPr>
              <w:t>利益¥500B目標が経営規律を与える</w:t>
            </w:r>
          </w:p>
        </w:tc>
        <w:tc>
          <w:tcPr>
            <w:tcW w:type="dxa" w:w="3135"/>
            <w:shd w:val="clear" w:color="auto" w:fill="DDEBF7"/>
          </w:tcPr>
          <w:p>
            <w:r>
              <w:rPr>
                <w:rFonts w:ascii="Meiryo UI" w:hAnsi="Meiryo UI"/>
                <w:sz w:val="18"/>
              </w:rPr>
              <w:t>現状ROE 8.2%（=Brent $90時）がPB500（ROE ~10%超要）への距離を示す</w:t>
            </w:r>
          </w:p>
        </w:tc>
      </w:tr>
    </w:tbl>
    <w:p/>
    <w:p>
      <w:r>
        <w:t>──────────────────────────────────────────────────</w:t>
      </w:r>
    </w:p>
    <w:p/>
    <w:p>
      <w:pPr>
        <w:pStyle w:val="Heading2"/>
      </w:pPr>
      <w:r>
        <w:rPr>
          <w:rFonts w:ascii="Meiryo UI" w:hAnsi="Meiryo UI"/>
          <w:color w:val="2E74B5"/>
        </w:rPr>
        <w:t>6. キャッシュフロー「漏出」分析（資産効率の批判的検討）</w:t>
      </w:r>
    </w:p>
    <w:p/>
    <w:p>
      <w:pPr>
        <w:pStyle w:val="Heading3"/>
      </w:pPr>
      <w:r>
        <w:rPr>
          <w:rFonts w:ascii="Meiryo UI" w:hAnsi="Meiryo UI"/>
          <w:color w:val="2E74B5"/>
        </w:rPr>
        <w:t>6-1. CFO→株主価値へのチェーン（なぜ利益が株主に届きにくいか）</w:t>
      </w:r>
    </w:p>
    <w:p/>
    <w:p>
      <w:pPr>
        <w:shd w:val="clear" w:color="auto" w:fill="F2F2F2"/>
      </w:pPr>
      <w:r>
        <w:rPr>
          <w:rFonts w:ascii="Courier New" w:hAnsi="Courier New"/>
          <w:sz w:val="16"/>
        </w:rPr>
        <w:t>売上（USD建て・油価連動）</w:t>
        <w:br/>
        <w:t xml:space="preserve">　↓ ▲ ロイヤルティ・資源税（豪州PRRT・UAE・インドネシア政府取り分）</w:t>
        <w:br/>
        <w:t>営業CF</w:t>
        <w:br/>
        <w:t xml:space="preserve">　↓ ▲ 維持CAPEX（Ichthys $45B超資産の減耗補填：年¥300〜400B推定）</w:t>
        <w:br/>
        <w:t xml:space="preserve">　↓ ▲ 探鉱CAPEX（新規鉱区・Abadi前倒し：年¥100〜200B）</w:t>
        <w:br/>
        <w:t>フリーCF（FCF）</w:t>
        <w:br/>
        <w:t xml:space="preserve">　↓ ▲ 配当（DPS ¥108 × 1,259M株 = ¥136B）</w:t>
        <w:br/>
        <w:t>株主への実質余剰</w:t>
      </w:r>
    </w:p>
    <w:p/>
    <w:p>
      <w:r>
        <w:rPr>
          <w:rFonts w:ascii="Meiryo UI" w:hAnsi="Meiryo UI"/>
          <w:sz w:val="20"/>
        </w:rPr>
        <w:t>推計FCF（Brent $90時）：</w:t>
      </w:r>
    </w:p>
    <w:p>
      <w:pPr>
        <w:pStyle w:val="ListBullet"/>
      </w:pPr>
      <w:r>
        <w:rPr>
          <w:rFonts w:ascii="Meiryo UI" w:hAnsi="Meiryo UI"/>
          <w:sz w:val="20"/>
        </w:rPr>
        <w:t>Operating CF：~¥700〜800B（推定）</w:t>
      </w:r>
    </w:p>
    <w:p>
      <w:pPr>
        <w:pStyle w:val="ListBullet"/>
      </w:pPr>
      <w:r>
        <w:rPr>
          <w:rFonts w:ascii="Meiryo UI" w:hAnsi="Meiryo UI"/>
          <w:sz w:val="20"/>
        </w:rPr>
        <w:t>Maintenance CAPEX：▲¥350〜450B（Ichthys + 既存資産）</w:t>
      </w:r>
    </w:p>
    <w:p>
      <w:pPr>
        <w:pStyle w:val="ListBullet"/>
      </w:pPr>
      <w:r>
        <w:rPr>
          <w:rFonts w:ascii="Meiryo UI" w:hAnsi="Meiryo UI"/>
          <w:sz w:val="20"/>
        </w:rPr>
        <w:t>Exploration CAPEX：▲¥100〜200B</w:t>
      </w:r>
    </w:p>
    <w:p>
      <w:pPr>
        <w:pStyle w:val="ListBullet"/>
      </w:pPr>
      <w:r>
        <w:rPr>
          <w:rFonts w:ascii="Meiryo UI" w:hAnsi="Meiryo UI"/>
          <w:sz w:val="20"/>
        </w:rPr>
        <w:t>FCF：¥100〜350B</w:t>
      </w:r>
    </w:p>
    <w:p>
      <w:pPr>
        <w:pStyle w:val="ListBullet"/>
      </w:pPr>
      <w:r>
        <w:rPr>
          <w:rFonts w:ascii="Meiryo UI" w:hAnsi="Meiryo UI"/>
          <w:sz w:val="20"/>
        </w:rPr>
        <w:t>配当支払い：▲¥136B</w:t>
      </w:r>
    </w:p>
    <w:p>
      <w:pPr>
        <w:pStyle w:val="ListBullet"/>
      </w:pPr>
      <w:r>
        <w:rPr>
          <w:rFonts w:ascii="Meiryo UI" w:hAnsi="Meiryo UI"/>
          <w:sz w:val="20"/>
        </w:rPr>
        <w:t>配当支払後の純余剰：▲¥36B〜+¥214B（大きく振れる）</w:t>
      </w:r>
    </w:p>
    <w:p/>
    <w:p>
      <w:pPr>
        <w:pStyle w:val="Heading3"/>
      </w:pPr>
      <w:r>
        <w:rPr>
          <w:rFonts w:ascii="Meiryo UI" w:hAnsi="Meiryo UI"/>
          <w:color w:val="2E74B5"/>
        </w:rPr>
        <w:t>6-2. ROE 8.2%停滞の構造的解剖</w:t>
      </w:r>
    </w:p>
    <w:p/>
    <w:p>
      <w:r>
        <w:rPr>
          <w:rFonts w:ascii="Meiryo UI" w:hAnsi="Meiryo UI"/>
          <w:sz w:val="20"/>
        </w:rPr>
        <w:t>なぜBrent $90でROEが8.2%に留まるか：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規模</w:t>
            </w:r>
          </w:p>
        </w:tc>
        <w:tc>
          <w:tcPr>
            <w:tcW w:type="dxa" w:w="3135"/>
            <w:shd w:val="clear" w:color="auto" w:fill="2E74B5"/>
          </w:tcPr>
          <w:p>
            <w:r>
              <w:rPr>
                <w:rFonts w:ascii="Meiryo UI" w:hAnsi="Meiryo UI"/>
                <w:b/>
                <w:color w:val="FFFFFF"/>
                <w:sz w:val="18"/>
              </w:rPr>
              <w:t>ROE抑制メカニズム</w:t>
            </w:r>
          </w:p>
        </w:tc>
      </w:tr>
      <w:tr>
        <w:tc>
          <w:tcPr>
            <w:tcW w:type="dxa" w:w="3135"/>
          </w:tcPr>
          <w:p>
            <w:r>
              <w:rPr>
                <w:rFonts w:ascii="Meiryo UI" w:hAnsi="Meiryo UI"/>
                <w:sz w:val="18"/>
              </w:rPr>
              <w:t>Ichthys巨大資産のD&amp;A</w:t>
            </w:r>
          </w:p>
        </w:tc>
        <w:tc>
          <w:tcPr>
            <w:tcW w:type="dxa" w:w="3135"/>
          </w:tcPr>
          <w:p>
            <w:r>
              <w:rPr>
                <w:rFonts w:ascii="Meiryo UI" w:hAnsi="Meiryo UI"/>
                <w:sz w:val="18"/>
              </w:rPr>
              <w:t>年¥300〜400B</w:t>
            </w:r>
          </w:p>
        </w:tc>
        <w:tc>
          <w:tcPr>
            <w:tcW w:type="dxa" w:w="3135"/>
          </w:tcPr>
          <w:p>
            <w:r>
              <w:rPr>
                <w:rFonts w:ascii="Meiryo UI" w:hAnsi="Meiryo UI"/>
                <w:sz w:val="18"/>
              </w:rPr>
              <w:t>資産¥6T超の減価償却がEPS・ROEを恒常的に抑制</w:t>
            </w:r>
          </w:p>
        </w:tc>
      </w:tr>
      <w:tr>
        <w:tc>
          <w:tcPr>
            <w:tcW w:type="dxa" w:w="3135"/>
            <w:shd w:val="clear" w:color="auto" w:fill="DDEBF7"/>
          </w:tcPr>
          <w:p>
            <w:r>
              <w:rPr>
                <w:rFonts w:ascii="Meiryo UI" w:hAnsi="Meiryo UI"/>
                <w:sz w:val="18"/>
              </w:rPr>
              <w:t>Abadi開発前投資</w:t>
            </w:r>
          </w:p>
        </w:tc>
        <w:tc>
          <w:tcPr>
            <w:tcW w:type="dxa" w:w="3135"/>
            <w:shd w:val="clear" w:color="auto" w:fill="DDEBF7"/>
          </w:tcPr>
          <w:p>
            <w:r>
              <w:rPr>
                <w:rFonts w:ascii="Meiryo UI" w:hAnsi="Meiryo UI"/>
                <w:sz w:val="18"/>
              </w:rPr>
              <w:t>年¥50〜100B</w:t>
            </w:r>
          </w:p>
        </w:tc>
        <w:tc>
          <w:tcPr>
            <w:tcW w:type="dxa" w:w="3135"/>
            <w:shd w:val="clear" w:color="auto" w:fill="DDEBF7"/>
          </w:tcPr>
          <w:p>
            <w:r>
              <w:rPr>
                <w:rFonts w:ascii="Meiryo UI" w:hAnsi="Meiryo UI"/>
                <w:sz w:val="18"/>
              </w:rPr>
              <w:t>収益未発生資産が分母（Equity）を膨らませROE低下</w:t>
            </w:r>
          </w:p>
        </w:tc>
      </w:tr>
      <w:tr>
        <w:tc>
          <w:tcPr>
            <w:tcW w:type="dxa" w:w="3135"/>
          </w:tcPr>
          <w:p>
            <w:r>
              <w:rPr>
                <w:rFonts w:ascii="Meiryo UI" w:hAnsi="Meiryo UI"/>
                <w:sz w:val="18"/>
              </w:rPr>
              <w:t>政府取り分の増大</w:t>
            </w:r>
          </w:p>
        </w:tc>
        <w:tc>
          <w:tcPr>
            <w:tcW w:type="dxa" w:w="3135"/>
          </w:tcPr>
          <w:p>
            <w:r>
              <w:rPr>
                <w:rFonts w:ascii="Meiryo UI" w:hAnsi="Meiryo UI"/>
                <w:sz w:val="18"/>
              </w:rPr>
              <w:t>油価高騰時に増加</w:t>
            </w:r>
          </w:p>
        </w:tc>
        <w:tc>
          <w:tcPr>
            <w:tcW w:type="dxa" w:w="3135"/>
          </w:tcPr>
          <w:p>
            <w:r>
              <w:rPr>
                <w:rFonts w:ascii="Meiryo UI" w:hAnsi="Meiryo UI"/>
                <w:sz w:val="18"/>
              </w:rPr>
              <w:t>収益増の30〜40%を政府が吸収→株主還元分が伸びない</w:t>
            </w:r>
          </w:p>
        </w:tc>
      </w:tr>
      <w:tr>
        <w:tc>
          <w:tcPr>
            <w:tcW w:type="dxa" w:w="3135"/>
            <w:shd w:val="clear" w:color="auto" w:fill="DDEBF7"/>
          </w:tcPr>
          <w:p>
            <w:r>
              <w:rPr>
                <w:rFonts w:ascii="Meiryo UI" w:hAnsi="Meiryo UI"/>
                <w:sz w:val="18"/>
              </w:rPr>
              <w:t>探鉱費失敗リスク</w:t>
            </w:r>
          </w:p>
        </w:tc>
        <w:tc>
          <w:tcPr>
            <w:tcW w:type="dxa" w:w="3135"/>
            <w:shd w:val="clear" w:color="auto" w:fill="DDEBF7"/>
          </w:tcPr>
          <w:p>
            <w:r>
              <w:rPr>
                <w:rFonts w:ascii="Meiryo UI" w:hAnsi="Meiryo UI"/>
                <w:sz w:val="18"/>
              </w:rPr>
              <w:t>数十〜数百億/失敗</w:t>
            </w:r>
          </w:p>
        </w:tc>
        <w:tc>
          <w:tcPr>
            <w:tcW w:type="dxa" w:w="3135"/>
            <w:shd w:val="clear" w:color="auto" w:fill="DDEBF7"/>
          </w:tcPr>
          <w:p>
            <w:r>
              <w:rPr>
                <w:rFonts w:ascii="Meiryo UI" w:hAnsi="Meiryo UI"/>
                <w:sz w:val="18"/>
              </w:rPr>
              <w:t>成功率20〜30%の探鉱で75%は費用として消える</w:t>
            </w:r>
          </w:p>
        </w:tc>
      </w:tr>
    </w:tbl>
    <w:p/>
    <w:p>
      <w:r>
        <w:rPr>
          <w:rFonts w:ascii="Meiryo UI" w:hAnsi="Meiryo UI"/>
          <w:sz w:val="20"/>
        </w:rPr>
        <w:t>長期ROE予測：</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Brent水準</w:t>
            </w:r>
          </w:p>
        </w:tc>
        <w:tc>
          <w:tcPr>
            <w:tcW w:type="dxa" w:w="1881"/>
            <w:shd w:val="clear" w:color="auto" w:fill="2E74B5"/>
          </w:tcPr>
          <w:p>
            <w:r>
              <w:rPr>
                <w:rFonts w:ascii="Meiryo UI" w:hAnsi="Meiryo UI"/>
                <w:b/>
                <w:color w:val="FFFFFF"/>
                <w:sz w:val="18"/>
              </w:rPr>
              <w:t>推定NP</w:t>
            </w:r>
          </w:p>
        </w:tc>
        <w:tc>
          <w:tcPr>
            <w:tcW w:type="dxa" w:w="1881"/>
            <w:shd w:val="clear" w:color="auto" w:fill="2E74B5"/>
          </w:tcPr>
          <w:p>
            <w:r>
              <w:rPr>
                <w:rFonts w:ascii="Meiryo UI" w:hAnsi="Meiryo UI"/>
                <w:b/>
                <w:color w:val="FFFFFF"/>
                <w:sz w:val="18"/>
              </w:rPr>
              <w:t>ROE</w:t>
            </w:r>
          </w:p>
        </w:tc>
        <w:tc>
          <w:tcPr>
            <w:tcW w:type="dxa" w:w="1881"/>
            <w:shd w:val="clear" w:color="auto" w:fill="2E74B5"/>
          </w:tcPr>
          <w:p>
            <w:r>
              <w:rPr>
                <w:rFonts w:ascii="Meiryo UI" w:hAnsi="Meiryo UI"/>
                <w:b/>
                <w:color w:val="FFFFFF"/>
                <w:sz w:val="18"/>
              </w:rPr>
              <w:t>Rationale</w:t>
            </w:r>
          </w:p>
        </w:tc>
      </w:tr>
      <w:tr>
        <w:tc>
          <w:tcPr>
            <w:tcW w:type="dxa" w:w="1881"/>
          </w:tcPr>
          <w:p>
            <w:r>
              <w:rPr>
                <w:rFonts w:ascii="Meiryo UI" w:hAnsi="Meiryo UI"/>
                <w:sz w:val="18"/>
              </w:rPr>
              <w:t>JAPEX型停滞</w:t>
            </w:r>
          </w:p>
        </w:tc>
        <w:tc>
          <w:tcPr>
            <w:tcW w:type="dxa" w:w="1881"/>
          </w:tcPr>
          <w:p>
            <w:r>
              <w:rPr>
                <w:rFonts w:ascii="Meiryo UI" w:hAnsi="Meiryo UI"/>
                <w:sz w:val="18"/>
              </w:rPr>
              <w:t>$63</w:t>
            </w:r>
          </w:p>
        </w:tc>
        <w:tc>
          <w:tcPr>
            <w:tcW w:type="dxa" w:w="1881"/>
          </w:tcPr>
          <w:p>
            <w:r>
              <w:rPr>
                <w:rFonts w:ascii="Meiryo UI" w:hAnsi="Meiryo UI"/>
                <w:sz w:val="18"/>
              </w:rPr>
              <w:t>¥330B</w:t>
            </w:r>
          </w:p>
        </w:tc>
        <w:tc>
          <w:tcPr>
            <w:tcW w:type="dxa" w:w="1881"/>
          </w:tcPr>
          <w:p>
            <w:r>
              <w:rPr>
                <w:rFonts w:ascii="Meiryo UI" w:hAnsi="Meiryo UI"/>
                <w:sz w:val="18"/>
              </w:rPr>
              <w:t>6.44%</w:t>
            </w:r>
          </w:p>
        </w:tc>
        <w:tc>
          <w:tcPr>
            <w:tcW w:type="dxa" w:w="1881"/>
          </w:tcPr>
          <w:p>
            <w:r>
              <w:rPr>
                <w:rFonts w:ascii="Meiryo UI" w:hAnsi="Meiryo UI"/>
                <w:sz w:val="18"/>
              </w:rPr>
              <w:t>¥330B÷¥5,128B（総equity）</w:t>
            </w:r>
          </w:p>
        </w:tc>
      </w:tr>
      <w:tr>
        <w:tc>
          <w:tcPr>
            <w:tcW w:type="dxa" w:w="1881"/>
            <w:shd w:val="clear" w:color="auto" w:fill="DDEBF7"/>
          </w:tcPr>
          <w:p>
            <w:r>
              <w:rPr>
                <w:rFonts w:ascii="Meiryo UI" w:hAnsi="Meiryo UI"/>
                <w:sz w:val="18"/>
              </w:rPr>
              <w:t>現状維持（長期均衡）</w:t>
            </w:r>
          </w:p>
        </w:tc>
        <w:tc>
          <w:tcPr>
            <w:tcW w:type="dxa" w:w="1881"/>
            <w:shd w:val="clear" w:color="auto" w:fill="DDEBF7"/>
          </w:tcPr>
          <w:p>
            <w:r>
              <w:rPr>
                <w:rFonts w:ascii="Meiryo UI" w:hAnsi="Meiryo UI"/>
                <w:sz w:val="18"/>
              </w:rPr>
              <w:t>$75</w:t>
            </w:r>
          </w:p>
        </w:tc>
        <w:tc>
          <w:tcPr>
            <w:tcW w:type="dxa" w:w="1881"/>
            <w:shd w:val="clear" w:color="auto" w:fill="DDEBF7"/>
          </w:tcPr>
          <w:p>
            <w:r>
              <w:rPr>
                <w:rFonts w:ascii="Meiryo UI" w:hAnsi="Meiryo UI"/>
                <w:sz w:val="18"/>
              </w:rPr>
              <w:t>¥375B</w:t>
            </w:r>
          </w:p>
        </w:tc>
        <w:tc>
          <w:tcPr>
            <w:tcW w:type="dxa" w:w="1881"/>
            <w:shd w:val="clear" w:color="auto" w:fill="DDEBF7"/>
          </w:tcPr>
          <w:p>
            <w:r>
              <w:rPr>
                <w:rFonts w:ascii="Meiryo UI" w:hAnsi="Meiryo UI"/>
                <w:sz w:val="18"/>
              </w:rPr>
              <w:t>7.32%</w:t>
            </w:r>
          </w:p>
        </w:tc>
        <w:tc>
          <w:tcPr>
            <w:tcW w:type="dxa" w:w="1881"/>
            <w:shd w:val="clear" w:color="auto" w:fill="DDEBF7"/>
          </w:tcPr>
          <w:p>
            <w:r>
              <w:rPr>
                <w:rFonts w:ascii="Meiryo UI" w:hAnsi="Meiryo UI"/>
                <w:sz w:val="18"/>
              </w:rPr>
              <w:t>長期コンセンサスBrent $75前後</w:t>
            </w:r>
          </w:p>
        </w:tc>
      </w:tr>
      <w:tr>
        <w:tc>
          <w:tcPr>
            <w:tcW w:type="dxa" w:w="1881"/>
          </w:tcPr>
          <w:p>
            <w:r>
              <w:rPr>
                <w:rFonts w:ascii="Meiryo UI" w:hAnsi="Meiryo UI"/>
                <w:sz w:val="18"/>
              </w:rPr>
              <w:t>PB500達成</w:t>
            </w:r>
          </w:p>
        </w:tc>
        <w:tc>
          <w:tcPr>
            <w:tcW w:type="dxa" w:w="1881"/>
          </w:tcPr>
          <w:p>
            <w:r>
              <w:rPr>
                <w:rFonts w:ascii="Meiryo UI" w:hAnsi="Meiryo UI"/>
                <w:sz w:val="18"/>
              </w:rPr>
              <w:t>$85-90</w:t>
            </w:r>
          </w:p>
        </w:tc>
        <w:tc>
          <w:tcPr>
            <w:tcW w:type="dxa" w:w="1881"/>
          </w:tcPr>
          <w:p>
            <w:r>
              <w:rPr>
                <w:rFonts w:ascii="Meiryo UI" w:hAnsi="Meiryo UI"/>
                <w:sz w:val="18"/>
              </w:rPr>
              <w:t>¥500B</w:t>
            </w:r>
          </w:p>
        </w:tc>
        <w:tc>
          <w:tcPr>
            <w:tcW w:type="dxa" w:w="1881"/>
          </w:tcPr>
          <w:p>
            <w:r>
              <w:rPr>
                <w:rFonts w:ascii="Meiryo UI" w:hAnsi="Meiryo UI"/>
                <w:sz w:val="18"/>
              </w:rPr>
              <w:t>9.75%</w:t>
            </w:r>
          </w:p>
        </w:tc>
        <w:tc>
          <w:tcPr>
            <w:tcW w:type="dxa" w:w="1881"/>
          </w:tcPr>
          <w:p>
            <w:r>
              <w:rPr>
                <w:rFonts w:ascii="Meiryo UI" w:hAnsi="Meiryo UI"/>
                <w:sz w:val="18"/>
              </w:rPr>
              <w:t>PB500プログラム目標</w:t>
            </w:r>
          </w:p>
        </w:tc>
      </w:tr>
      <w:tr>
        <w:tc>
          <w:tcPr>
            <w:tcW w:type="dxa" w:w="1881"/>
            <w:shd w:val="clear" w:color="auto" w:fill="DDEBF7"/>
          </w:tcPr>
          <w:p>
            <w:r>
              <w:rPr>
                <w:rFonts w:ascii="Meiryo UI" w:hAnsi="Meiryo UI"/>
                <w:sz w:val="18"/>
              </w:rPr>
              <w:t>Hormuz Bull</w:t>
            </w:r>
          </w:p>
        </w:tc>
        <w:tc>
          <w:tcPr>
            <w:tcW w:type="dxa" w:w="1881"/>
            <w:shd w:val="clear" w:color="auto" w:fill="DDEBF7"/>
          </w:tcPr>
          <w:p>
            <w:r>
              <w:rPr>
                <w:rFonts w:ascii="Meiryo UI" w:hAnsi="Meiryo UI"/>
                <w:sz w:val="18"/>
              </w:rPr>
              <w:t>$95-100</w:t>
            </w:r>
          </w:p>
        </w:tc>
        <w:tc>
          <w:tcPr>
            <w:tcW w:type="dxa" w:w="1881"/>
            <w:shd w:val="clear" w:color="auto" w:fill="DDEBF7"/>
          </w:tcPr>
          <w:p>
            <w:r>
              <w:rPr>
                <w:rFonts w:ascii="Meiryo UI" w:hAnsi="Meiryo UI"/>
                <w:sz w:val="18"/>
              </w:rPr>
              <w:t>¥505B</w:t>
            </w:r>
          </w:p>
        </w:tc>
        <w:tc>
          <w:tcPr>
            <w:tcW w:type="dxa" w:w="1881"/>
            <w:shd w:val="clear" w:color="auto" w:fill="DDEBF7"/>
          </w:tcPr>
          <w:p>
            <w:r>
              <w:rPr>
                <w:rFonts w:ascii="Meiryo UI" w:hAnsi="Meiryo UI"/>
                <w:sz w:val="18"/>
              </w:rPr>
              <w:t>9.85%</w:t>
            </w:r>
          </w:p>
        </w:tc>
        <w:tc>
          <w:tcPr>
            <w:tcW w:type="dxa" w:w="1881"/>
            <w:shd w:val="clear" w:color="auto" w:fill="DDEBF7"/>
          </w:tcPr>
          <w:p>
            <w:r>
              <w:rPr>
                <w:rFonts w:ascii="Meiryo UI" w:hAnsi="Meiryo UI"/>
                <w:sz w:val="18"/>
              </w:rPr>
              <w:t>4/18現実シナリオ</w:t>
            </w:r>
          </w:p>
        </w:tc>
      </w:tr>
    </w:tbl>
    <w:p/>
    <w:p>
      <w:r>
        <w:t>──────────────────────────────────────────────────</w:t>
      </w:r>
    </w:p>
    <w:p/>
    <w:p>
      <w:pPr>
        <w:pStyle w:val="Heading2"/>
      </w:pPr>
      <w:r>
        <w:rPr>
          <w:rFonts w:ascii="Meiryo UI" w:hAnsi="Meiryo UI"/>
          <w:color w:val="2E74B5"/>
        </w:rPr>
        <w:t>7. フェアバリュー計算（Rf=2.394% | 「バリュートラップ」再定義含む）</w:t>
      </w:r>
    </w:p>
    <w:p/>
    <w:p>
      <w:pPr>
        <w:pStyle w:val="Heading3"/>
      </w:pPr>
      <w:r>
        <w:rPr>
          <w:rFonts w:ascii="Meiryo UI" w:hAnsi="Meiryo UI"/>
          <w:color w:val="2E74B5"/>
        </w:rPr>
        <w:t>7-1. コスト・オブ・エクイティ</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Rf</w:t>
            </w:r>
          </w:p>
        </w:tc>
        <w:tc>
          <w:tcPr>
            <w:tcW w:type="dxa" w:w="3135"/>
          </w:tcPr>
          <w:p>
            <w:r>
              <w:rPr>
                <w:rFonts w:ascii="Meiryo UI" w:hAnsi="Meiryo UI"/>
                <w:sz w:val="18"/>
              </w:rPr>
              <w:t>2.394%</w:t>
            </w:r>
          </w:p>
        </w:tc>
        <w:tc>
          <w:tcPr>
            <w:tcW w:type="dxa" w:w="3135"/>
          </w:tcPr>
          <w:p>
            <w:r>
              <w:rPr>
                <w:rFonts w:ascii="Meiryo UI" w:hAnsi="Meiryo UI"/>
                <w:sz w:val="18"/>
              </w:rPr>
              <w:t>10年JGB（Bloomberg指定値）</w:t>
            </w:r>
          </w:p>
        </w:tc>
      </w:tr>
      <w:tr>
        <w:tc>
          <w:tcPr>
            <w:tcW w:type="dxa" w:w="3135"/>
            <w:shd w:val="clear" w:color="auto" w:fill="DDEBF7"/>
          </w:tcPr>
          <w:p>
            <w:r>
              <w:rPr>
                <w:rFonts w:ascii="Meiryo UI" w:hAnsi="Meiryo UI"/>
                <w:sz w:val="18"/>
              </w:rPr>
              <w:t>Beta（レバード）</w:t>
            </w:r>
          </w:p>
        </w:tc>
        <w:tc>
          <w:tcPr>
            <w:tcW w:type="dxa" w:w="3135"/>
            <w:shd w:val="clear" w:color="auto" w:fill="DDEBF7"/>
          </w:tcPr>
          <w:p>
            <w:r>
              <w:rPr>
                <w:rFonts w:ascii="Meiryo UI" w:hAnsi="Meiryo UI"/>
                <w:sz w:val="18"/>
              </w:rPr>
              <w:t>1.00</w:t>
            </w:r>
          </w:p>
        </w:tc>
        <w:tc>
          <w:tcPr>
            <w:tcW w:type="dxa" w:w="3135"/>
            <w:shd w:val="clear" w:color="auto" w:fill="DDEBF7"/>
          </w:tcPr>
          <w:p>
            <w:r>
              <w:rPr>
                <w:rFonts w:ascii="Meiryo UI" w:hAnsi="Meiryo UI"/>
                <w:sz w:val="18"/>
              </w:rPr>
              <w:t>日本E&amp;P平均β≒0.9〜1.1</w:t>
            </w:r>
          </w:p>
        </w:tc>
      </w:tr>
      <w:tr>
        <w:tc>
          <w:tcPr>
            <w:tcW w:type="dxa" w:w="3135"/>
          </w:tcPr>
          <w:p>
            <w:r>
              <w:rPr>
                <w:rFonts w:ascii="Meiryo UI" w:hAnsi="Meiryo UI"/>
                <w:sz w:val="18"/>
              </w:rPr>
              <w:t>ERP</w:t>
            </w:r>
          </w:p>
        </w:tc>
        <w:tc>
          <w:tcPr>
            <w:tcW w:type="dxa" w:w="3135"/>
          </w:tcPr>
          <w:p>
            <w:r>
              <w:rPr>
                <w:rFonts w:ascii="Meiryo UI" w:hAnsi="Meiryo UI"/>
                <w:sz w:val="18"/>
              </w:rPr>
              <w:t>5.0%</w:t>
            </w:r>
          </w:p>
        </w:tc>
        <w:tc>
          <w:tcPr>
            <w:tcW w:type="dxa" w:w="3135"/>
          </w:tcPr>
          <w:p>
            <w:r>
              <w:rPr>
                <w:rFonts w:ascii="Meiryo UI" w:hAnsi="Meiryo UI"/>
                <w:sz w:val="18"/>
              </w:rPr>
              <w:t>Damodaran 2026 Japan（Bloomberg使用6.0%は高すぎる）</w:t>
            </w:r>
          </w:p>
        </w:tc>
      </w:tr>
      <w:tr>
        <w:tc>
          <w:tcPr>
            <w:tcW w:type="dxa" w:w="3135"/>
            <w:shd w:val="clear" w:color="auto" w:fill="DDEBF7"/>
          </w:tcPr>
          <w:p>
            <w:r>
              <w:rPr>
                <w:rFonts w:ascii="Meiryo UI" w:hAnsi="Meiryo UI"/>
                <w:sz w:val="18"/>
              </w:rPr>
              <w:t>Ke</w:t>
            </w:r>
          </w:p>
        </w:tc>
        <w:tc>
          <w:tcPr>
            <w:tcW w:type="dxa" w:w="3135"/>
            <w:shd w:val="clear" w:color="auto" w:fill="DDEBF7"/>
          </w:tcPr>
          <w:p>
            <w:r>
              <w:rPr>
                <w:rFonts w:ascii="Meiryo UI" w:hAnsi="Meiryo UI"/>
                <w:sz w:val="18"/>
              </w:rPr>
              <w:t>7.394%</w:t>
            </w:r>
          </w:p>
        </w:tc>
        <w:tc>
          <w:tcPr>
            <w:tcW w:type="dxa" w:w="3135"/>
            <w:shd w:val="clear" w:color="auto" w:fill="DDEBF7"/>
          </w:tcPr>
          <w:p>
            <w:r>
              <w:rPr>
                <w:rFonts w:ascii="Meiryo UI" w:hAnsi="Meiryo UI"/>
                <w:sz w:val="18"/>
              </w:rPr>
              <w:t>= 2.394% + 1.0 × 5.0%</w:t>
            </w:r>
          </w:p>
        </w:tc>
      </w:tr>
    </w:tbl>
    <w:p/>
    <w:p>
      <w:pPr>
        <w:pStyle w:val="Heading3"/>
      </w:pPr>
      <w:r>
        <w:rPr>
          <w:rFonts w:ascii="Meiryo UI" w:hAnsi="Meiryo UI"/>
          <w:color w:val="2E74B5"/>
        </w:rPr>
        <w:t>7-2. P/B NAV バリュエーション：「割安」vs「バリュートラップ」の分岐点</w:t>
      </w:r>
    </w:p>
    <w:p/>
    <w:p>
      <w:r>
        <w:rPr>
          <w:rFonts w:ascii="Meiryo UI" w:hAnsi="Meiryo UI"/>
          <w:sz w:val="20"/>
        </w:rPr>
        <w:t>Gordon-Shapiro P/B = (ROE - g) / (Ke - g)</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ROE</w:t>
            </w:r>
          </w:p>
        </w:tc>
        <w:tc>
          <w:tcPr>
            <w:tcW w:type="dxa" w:w="1568"/>
            <w:shd w:val="clear" w:color="auto" w:fill="2E74B5"/>
          </w:tcPr>
          <w:p>
            <w:r>
              <w:rPr>
                <w:rFonts w:ascii="Meiryo UI" w:hAnsi="Meiryo UI"/>
                <w:b/>
                <w:color w:val="FFFFFF"/>
                <w:sz w:val="18"/>
              </w:rPr>
              <w:t>g</w:t>
            </w:r>
          </w:p>
        </w:tc>
        <w:tc>
          <w:tcPr>
            <w:tcW w:type="dxa" w:w="1568"/>
            <w:shd w:val="clear" w:color="auto" w:fill="2E74B5"/>
          </w:tcPr>
          <w:p>
            <w:r>
              <w:rPr>
                <w:rFonts w:ascii="Meiryo UI" w:hAnsi="Meiryo UI"/>
                <w:b/>
                <w:color w:val="FFFFFF"/>
                <w:sz w:val="18"/>
              </w:rPr>
              <w:t>公正P/B</w:t>
            </w:r>
          </w:p>
        </w:tc>
        <w:tc>
          <w:tcPr>
            <w:tcW w:type="dxa" w:w="1568"/>
            <w:shd w:val="clear" w:color="auto" w:fill="2E74B5"/>
          </w:tcPr>
          <w:p>
            <w:r>
              <w:rPr>
                <w:rFonts w:ascii="Meiryo UI" w:hAnsi="Meiryo UI"/>
                <w:b/>
                <w:color w:val="FFFFFF"/>
                <w:sz w:val="18"/>
              </w:rPr>
              <w:t>公正FV</w:t>
            </w:r>
          </w:p>
        </w:tc>
        <w:tc>
          <w:tcPr>
            <w:tcW w:type="dxa" w:w="1568"/>
            <w:shd w:val="clear" w:color="auto" w:fill="2E74B5"/>
          </w:tcPr>
          <w:p>
            <w:r>
              <w:rPr>
                <w:rFonts w:ascii="Meiryo UI" w:hAnsi="Meiryo UI"/>
                <w:b/>
                <w:color w:val="FFFFFF"/>
                <w:sz w:val="18"/>
              </w:rPr>
              <w:t>現値¥3,843との関係</w:t>
            </w:r>
          </w:p>
        </w:tc>
      </w:tr>
      <w:tr>
        <w:tc>
          <w:tcPr>
            <w:tcW w:type="dxa" w:w="1568"/>
          </w:tcPr>
          <w:p>
            <w:r>
              <w:rPr>
                <w:rFonts w:ascii="Meiryo UI" w:hAnsi="Meiryo UI"/>
                <w:sz w:val="18"/>
              </w:rPr>
              <w:t>JAPEX型停滞（Brent $63）</w:t>
            </w:r>
          </w:p>
        </w:tc>
        <w:tc>
          <w:tcPr>
            <w:tcW w:type="dxa" w:w="1568"/>
          </w:tcPr>
          <w:p>
            <w:r>
              <w:rPr>
                <w:rFonts w:ascii="Meiryo UI" w:hAnsi="Meiryo UI"/>
                <w:sz w:val="18"/>
              </w:rPr>
              <w:t>6.44%</w:t>
            </w:r>
          </w:p>
        </w:tc>
        <w:tc>
          <w:tcPr>
            <w:tcW w:type="dxa" w:w="1568"/>
          </w:tcPr>
          <w:p>
            <w:r>
              <w:rPr>
                <w:rFonts w:ascii="Meiryo UI" w:hAnsi="Meiryo UI"/>
                <w:sz w:val="18"/>
              </w:rPr>
              <w:t>2%</w:t>
            </w:r>
          </w:p>
        </w:tc>
        <w:tc>
          <w:tcPr>
            <w:tcW w:type="dxa" w:w="1568"/>
          </w:tcPr>
          <w:p>
            <w:r>
              <w:rPr>
                <w:rFonts w:ascii="Meiryo UI" w:hAnsi="Meiryo UI"/>
                <w:sz w:val="18"/>
              </w:rPr>
              <w:t>(6.44-2)/(7.394-2) = 0.823x</w:t>
            </w:r>
          </w:p>
        </w:tc>
        <w:tc>
          <w:tcPr>
            <w:tcW w:type="dxa" w:w="1568"/>
          </w:tcPr>
          <w:p>
            <w:r>
              <w:rPr>
                <w:rFonts w:ascii="Meiryo UI" w:hAnsi="Meiryo UI"/>
                <w:sz w:val="18"/>
              </w:rPr>
              <w:t>¥3,352</w:t>
            </w:r>
          </w:p>
        </w:tc>
        <w:tc>
          <w:tcPr>
            <w:tcW w:type="dxa" w:w="1568"/>
          </w:tcPr>
          <w:p>
            <w:r>
              <w:rPr>
                <w:rFonts w:ascii="Meiryo UI" w:hAnsi="Meiryo UI"/>
                <w:sz w:val="18"/>
              </w:rPr>
              <w:t>現値より▲13%低い→現値は割高</w:t>
            </w:r>
          </w:p>
        </w:tc>
      </w:tr>
      <w:tr>
        <w:tc>
          <w:tcPr>
            <w:tcW w:type="dxa" w:w="1568"/>
            <w:shd w:val="clear" w:color="auto" w:fill="DDEBF7"/>
          </w:tcPr>
          <w:p>
            <w:r>
              <w:rPr>
                <w:rFonts w:ascii="Meiryo UI" w:hAnsi="Meiryo UI"/>
                <w:sz w:val="18"/>
              </w:rPr>
              <w:t>長期均衡（Brent $75）</w:t>
            </w:r>
          </w:p>
        </w:tc>
        <w:tc>
          <w:tcPr>
            <w:tcW w:type="dxa" w:w="1568"/>
            <w:shd w:val="clear" w:color="auto" w:fill="DDEBF7"/>
          </w:tcPr>
          <w:p>
            <w:r>
              <w:rPr>
                <w:rFonts w:ascii="Meiryo UI" w:hAnsi="Meiryo UI"/>
                <w:sz w:val="18"/>
              </w:rPr>
              <w:t>7.32%</w:t>
            </w:r>
          </w:p>
        </w:tc>
        <w:tc>
          <w:tcPr>
            <w:tcW w:type="dxa" w:w="1568"/>
            <w:shd w:val="clear" w:color="auto" w:fill="DDEBF7"/>
          </w:tcPr>
          <w:p>
            <w:r>
              <w:rPr>
                <w:rFonts w:ascii="Meiryo UI" w:hAnsi="Meiryo UI"/>
                <w:sz w:val="18"/>
              </w:rPr>
              <w:t>2%</w:t>
            </w:r>
          </w:p>
        </w:tc>
        <w:tc>
          <w:tcPr>
            <w:tcW w:type="dxa" w:w="1568"/>
            <w:shd w:val="clear" w:color="auto" w:fill="DDEBF7"/>
          </w:tcPr>
          <w:p>
            <w:r>
              <w:rPr>
                <w:rFonts w:ascii="Meiryo UI" w:hAnsi="Meiryo UI"/>
                <w:sz w:val="18"/>
              </w:rPr>
              <w:t>(7.32-2)/(7.394-2) = 0.983x</w:t>
            </w:r>
          </w:p>
        </w:tc>
        <w:tc>
          <w:tcPr>
            <w:tcW w:type="dxa" w:w="1568"/>
            <w:shd w:val="clear" w:color="auto" w:fill="DDEBF7"/>
          </w:tcPr>
          <w:p>
            <w:r>
              <w:rPr>
                <w:rFonts w:ascii="Meiryo UI" w:hAnsi="Meiryo UI"/>
                <w:sz w:val="18"/>
              </w:rPr>
              <w:t>¥4,004</w:t>
            </w:r>
          </w:p>
        </w:tc>
        <w:tc>
          <w:tcPr>
            <w:tcW w:type="dxa" w:w="1568"/>
            <w:shd w:val="clear" w:color="auto" w:fill="DDEBF7"/>
          </w:tcPr>
          <w:p>
            <w:r>
              <w:rPr>
                <w:rFonts w:ascii="Meiryo UI" w:hAnsi="Meiryo UI"/>
                <w:sz w:val="18"/>
              </w:rPr>
              <w:t>現値より+4.2%（ほぼ適正）</w:t>
            </w:r>
          </w:p>
        </w:tc>
      </w:tr>
      <w:tr>
        <w:tc>
          <w:tcPr>
            <w:tcW w:type="dxa" w:w="1568"/>
          </w:tcPr>
          <w:p>
            <w:r>
              <w:rPr>
                <w:rFonts w:ascii="Meiryo UI" w:hAnsi="Meiryo UI"/>
                <w:sz w:val="18"/>
              </w:rPr>
              <w:t>現状Brent $90</w:t>
            </w:r>
          </w:p>
        </w:tc>
        <w:tc>
          <w:tcPr>
            <w:tcW w:type="dxa" w:w="1568"/>
          </w:tcPr>
          <w:p>
            <w:r>
              <w:rPr>
                <w:rFonts w:ascii="Meiryo UI" w:hAnsi="Meiryo UI"/>
                <w:sz w:val="18"/>
              </w:rPr>
              <w:t>8.58%</w:t>
            </w:r>
          </w:p>
        </w:tc>
        <w:tc>
          <w:tcPr>
            <w:tcW w:type="dxa" w:w="1568"/>
          </w:tcPr>
          <w:p>
            <w:r>
              <w:rPr>
                <w:rFonts w:ascii="Meiryo UI" w:hAnsi="Meiryo UI"/>
                <w:sz w:val="18"/>
              </w:rPr>
              <w:t>3%</w:t>
            </w:r>
          </w:p>
        </w:tc>
        <w:tc>
          <w:tcPr>
            <w:tcW w:type="dxa" w:w="1568"/>
          </w:tcPr>
          <w:p>
            <w:r>
              <w:rPr>
                <w:rFonts w:ascii="Meiryo UI" w:hAnsi="Meiryo UI"/>
                <w:sz w:val="18"/>
              </w:rPr>
              <w:t>(8.58-3)/(7.394-3) = 1.269x</w:t>
            </w:r>
          </w:p>
        </w:tc>
        <w:tc>
          <w:tcPr>
            <w:tcW w:type="dxa" w:w="1568"/>
          </w:tcPr>
          <w:p>
            <w:r>
              <w:rPr>
                <w:rFonts w:ascii="Meiryo UI" w:hAnsi="Meiryo UI"/>
                <w:sz w:val="18"/>
              </w:rPr>
              <w:t>¥5,169</w:t>
            </w:r>
          </w:p>
        </w:tc>
        <w:tc>
          <w:tcPr>
            <w:tcW w:type="dxa" w:w="1568"/>
          </w:tcPr>
          <w:p>
            <w:r>
              <w:rPr>
                <w:rFonts w:ascii="Meiryo UI" w:hAnsi="Meiryo UI"/>
                <w:sz w:val="18"/>
              </w:rPr>
              <w:t>現値より+34.5%（割安）</w:t>
            </w:r>
          </w:p>
        </w:tc>
      </w:tr>
      <w:tr>
        <w:tc>
          <w:tcPr>
            <w:tcW w:type="dxa" w:w="1568"/>
            <w:shd w:val="clear" w:color="auto" w:fill="DDEBF7"/>
          </w:tcPr>
          <w:p>
            <w:r>
              <w:rPr>
                <w:rFonts w:ascii="Meiryo UI" w:hAnsi="Meiryo UI"/>
                <w:sz w:val="18"/>
              </w:rPr>
              <w:t>PB500達成（ROE10%）</w:t>
            </w:r>
          </w:p>
        </w:tc>
        <w:tc>
          <w:tcPr>
            <w:tcW w:type="dxa" w:w="1568"/>
            <w:shd w:val="clear" w:color="auto" w:fill="DDEBF7"/>
          </w:tcPr>
          <w:p>
            <w:r>
              <w:rPr>
                <w:rFonts w:ascii="Meiryo UI" w:hAnsi="Meiryo UI"/>
                <w:sz w:val="18"/>
              </w:rPr>
              <w:t>10.0%</w:t>
            </w:r>
          </w:p>
        </w:tc>
        <w:tc>
          <w:tcPr>
            <w:tcW w:type="dxa" w:w="1568"/>
            <w:shd w:val="clear" w:color="auto" w:fill="DDEBF7"/>
          </w:tcPr>
          <w:p>
            <w:r>
              <w:rPr>
                <w:rFonts w:ascii="Meiryo UI" w:hAnsi="Meiryo UI"/>
                <w:sz w:val="18"/>
              </w:rPr>
              <w:t>3%</w:t>
            </w:r>
          </w:p>
        </w:tc>
        <w:tc>
          <w:tcPr>
            <w:tcW w:type="dxa" w:w="1568"/>
            <w:shd w:val="clear" w:color="auto" w:fill="DDEBF7"/>
          </w:tcPr>
          <w:p>
            <w:r>
              <w:rPr>
                <w:rFonts w:ascii="Meiryo UI" w:hAnsi="Meiryo UI"/>
                <w:sz w:val="18"/>
              </w:rPr>
              <w:t>(10-3)/(7.394-3) = 1.593x</w:t>
            </w:r>
          </w:p>
        </w:tc>
        <w:tc>
          <w:tcPr>
            <w:tcW w:type="dxa" w:w="1568"/>
            <w:shd w:val="clear" w:color="auto" w:fill="DDEBF7"/>
          </w:tcPr>
          <w:p>
            <w:r>
              <w:rPr>
                <w:rFonts w:ascii="Meiryo UI" w:hAnsi="Meiryo UI"/>
                <w:sz w:val="18"/>
              </w:rPr>
              <w:t>¥6,489</w:t>
            </w:r>
          </w:p>
        </w:tc>
        <w:tc>
          <w:tcPr>
            <w:tcW w:type="dxa" w:w="1568"/>
            <w:shd w:val="clear" w:color="auto" w:fill="DDEBF7"/>
          </w:tcPr>
          <w:p>
            <w:r>
              <w:rPr>
                <w:rFonts w:ascii="Meiryo UI" w:hAnsi="Meiryo UI"/>
                <w:sz w:val="18"/>
              </w:rPr>
              <w:t>現値より+69%</w:t>
            </w:r>
          </w:p>
        </w:tc>
      </w:tr>
    </w:tbl>
    <w:p/>
    <w:p>
      <w:r>
        <w:rPr>
          <w:rFonts w:ascii="Meiryo UI" w:hAnsi="Meiryo UI"/>
          <w:sz w:val="20"/>
        </w:rPr>
        <w:t>→「P/B 0.94xは割安」が成立する条件：Brent $80超の持続が必要。</w:t>
      </w:r>
    </w:p>
    <w:p>
      <w:r>
        <w:rPr>
          <w:rFonts w:ascii="Meiryo UI" w:hAnsi="Meiryo UI"/>
          <w:sz w:val="20"/>
        </w:rPr>
        <w:t>→ Brent $75以下への正常化なら現値¥3,843はほぼ公正価値（「割安」ではない）。</w:t>
      </w:r>
    </w:p>
    <w:p>
      <w:r>
        <w:rPr>
          <w:rFonts w:ascii="Meiryo UI" w:hAnsi="Meiryo UI"/>
          <w:sz w:val="20"/>
        </w:rPr>
        <w:t>→ Brent $63（会社ガイダンス）なら現値¥3,843は13%割高（バリュートラップ）。</w:t>
      </w:r>
    </w:p>
    <w:p/>
    <w:p>
      <w:r>
        <w:rPr>
          <w:rFonts w:ascii="Meiryo UI" w:hAnsi="Meiryo UI"/>
          <w:sz w:val="20"/>
        </w:rPr>
        <w:t>「なぜ市場がP/B 0.94xをつけているのか」の正しい解釈：</w:t>
      </w:r>
    </w:p>
    <w:p>
      <w:r>
        <w:rPr>
          <w:rFonts w:ascii="Meiryo UI" w:hAnsi="Meiryo UI"/>
          <w:sz w:val="20"/>
        </w:rPr>
        <w:t>市場は暗黙的にBrent ~$78〜82 を長期均衡として織り込んでいる。現実（$98〜102）との乖離が「割安感」の源泉。ホルムズが解消してBrent $75に戻れば、この割安感は消滅する。</w:t>
      </w:r>
    </w:p>
    <w:p/>
    <w:p>
      <w:pPr>
        <w:pStyle w:val="Heading3"/>
      </w:pPr>
      <w:r>
        <w:rPr>
          <w:rFonts w:ascii="Meiryo UI" w:hAnsi="Meiryo UI"/>
          <w:color w:val="2E74B5"/>
        </w:rPr>
        <w:t>7-3. P/E バリュエーション（感応度修正後）</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Brent</w:t>
            </w:r>
          </w:p>
        </w:tc>
        <w:tc>
          <w:tcPr>
            <w:tcW w:type="dxa" w:w="1568"/>
            <w:shd w:val="clear" w:color="auto" w:fill="2E74B5"/>
          </w:tcPr>
          <w:p>
            <w:r>
              <w:rPr>
                <w:rFonts w:ascii="Meiryo UI" w:hAnsi="Meiryo UI"/>
                <w:b/>
                <w:color w:val="FFFFFF"/>
                <w:sz w:val="18"/>
              </w:rPr>
              <w:t>NP（修正後）</w:t>
            </w:r>
          </w:p>
        </w:tc>
        <w:tc>
          <w:tcPr>
            <w:tcW w:type="dxa" w:w="1568"/>
            <w:shd w:val="clear" w:color="auto" w:fill="2E74B5"/>
          </w:tcPr>
          <w:p>
            <w:r>
              <w:rPr>
                <w:rFonts w:ascii="Meiryo UI" w:hAnsi="Meiryo UI"/>
                <w:b/>
                <w:color w:val="FFFFFF"/>
                <w:sz w:val="18"/>
              </w:rPr>
              <w:t>EPS</w:t>
            </w:r>
          </w:p>
        </w:tc>
        <w:tc>
          <w:tcPr>
            <w:tcW w:type="dxa" w:w="1568"/>
            <w:shd w:val="clear" w:color="auto" w:fill="2E74B5"/>
          </w:tcPr>
          <w:p>
            <w:r>
              <w:rPr>
                <w:rFonts w:ascii="Meiryo UI" w:hAnsi="Meiryo UI"/>
                <w:b/>
                <w:color w:val="FFFFFF"/>
                <w:sz w:val="18"/>
              </w:rPr>
              <w:t>P/E</w:t>
            </w:r>
          </w:p>
        </w:tc>
        <w:tc>
          <w:tcPr>
            <w:tcW w:type="dxa" w:w="1568"/>
            <w:shd w:val="clear" w:color="auto" w:fill="2E74B5"/>
          </w:tcPr>
          <w:p>
            <w:r>
              <w:rPr>
                <w:rFonts w:ascii="Meiryo UI" w:hAnsi="Meiryo UI"/>
                <w:b/>
                <w:color w:val="FFFFFF"/>
                <w:sz w:val="18"/>
              </w:rPr>
              <w:t>FV</w:t>
            </w:r>
          </w:p>
        </w:tc>
      </w:tr>
      <w:tr>
        <w:tc>
          <w:tcPr>
            <w:tcW w:type="dxa" w:w="1568"/>
          </w:tcPr>
          <w:p>
            <w:r>
              <w:rPr>
                <w:rFonts w:ascii="Meiryo UI" w:hAnsi="Meiryo UI"/>
                <w:sz w:val="18"/>
              </w:rPr>
              <w:t>JAPEX型Bear</w:t>
            </w:r>
          </w:p>
        </w:tc>
        <w:tc>
          <w:tcPr>
            <w:tcW w:type="dxa" w:w="1568"/>
          </w:tcPr>
          <w:p>
            <w:r>
              <w:rPr>
                <w:rFonts w:ascii="Meiryo UI" w:hAnsi="Meiryo UI"/>
                <w:sz w:val="18"/>
              </w:rPr>
              <w:t>$63</w:t>
            </w:r>
          </w:p>
        </w:tc>
        <w:tc>
          <w:tcPr>
            <w:tcW w:type="dxa" w:w="1568"/>
          </w:tcPr>
          <w:p>
            <w:r>
              <w:rPr>
                <w:rFonts w:ascii="Meiryo UI" w:hAnsi="Meiryo UI"/>
                <w:sz w:val="18"/>
              </w:rPr>
              <w:t>¥330B</w:t>
            </w:r>
          </w:p>
        </w:tc>
        <w:tc>
          <w:tcPr>
            <w:tcW w:type="dxa" w:w="1568"/>
          </w:tcPr>
          <w:p>
            <w:r>
              <w:rPr>
                <w:rFonts w:ascii="Meiryo UI" w:hAnsi="Meiryo UI"/>
                <w:sz w:val="18"/>
              </w:rPr>
              <w:t>¥262</w:t>
            </w:r>
          </w:p>
        </w:tc>
        <w:tc>
          <w:tcPr>
            <w:tcW w:type="dxa" w:w="1568"/>
          </w:tcPr>
          <w:p>
            <w:r>
              <w:rPr>
                <w:rFonts w:ascii="Meiryo UI" w:hAnsi="Meiryo UI"/>
                <w:sz w:val="18"/>
              </w:rPr>
              <w:t>8x</w:t>
            </w:r>
          </w:p>
        </w:tc>
        <w:tc>
          <w:tcPr>
            <w:tcW w:type="dxa" w:w="1568"/>
          </w:tcPr>
          <w:p>
            <w:r>
              <w:rPr>
                <w:rFonts w:ascii="Meiryo UI" w:hAnsi="Meiryo UI"/>
                <w:sz w:val="18"/>
              </w:rPr>
              <w:t>¥2,100</w:t>
            </w:r>
          </w:p>
        </w:tc>
      </w:tr>
      <w:tr>
        <w:tc>
          <w:tcPr>
            <w:tcW w:type="dxa" w:w="1568"/>
            <w:shd w:val="clear" w:color="auto" w:fill="DDEBF7"/>
          </w:tcPr>
          <w:p>
            <w:r>
              <w:rPr>
                <w:rFonts w:ascii="Meiryo UI" w:hAnsi="Meiryo UI"/>
                <w:sz w:val="18"/>
              </w:rPr>
              <w:t>1662型ライト</w:t>
            </w:r>
          </w:p>
        </w:tc>
        <w:tc>
          <w:tcPr>
            <w:tcW w:type="dxa" w:w="1568"/>
            <w:shd w:val="clear" w:color="auto" w:fill="DDEBF7"/>
          </w:tcPr>
          <w:p>
            <w:r>
              <w:rPr>
                <w:rFonts w:ascii="Meiryo UI" w:hAnsi="Meiryo UI"/>
                <w:sz w:val="18"/>
              </w:rPr>
              <w:t>$100</w:t>
            </w:r>
          </w:p>
        </w:tc>
        <w:tc>
          <w:tcPr>
            <w:tcW w:type="dxa" w:w="1568"/>
            <w:shd w:val="clear" w:color="auto" w:fill="DDEBF7"/>
          </w:tcPr>
          <w:p>
            <w:r>
              <w:rPr>
                <w:rFonts w:ascii="Meiryo UI" w:hAnsi="Meiryo UI"/>
                <w:sz w:val="18"/>
              </w:rPr>
              <w:t>¥440B</w:t>
            </w:r>
          </w:p>
        </w:tc>
        <w:tc>
          <w:tcPr>
            <w:tcW w:type="dxa" w:w="1568"/>
            <w:shd w:val="clear" w:color="auto" w:fill="DDEBF7"/>
          </w:tcPr>
          <w:p>
            <w:r>
              <w:rPr>
                <w:rFonts w:ascii="Meiryo UI" w:hAnsi="Meiryo UI"/>
                <w:sz w:val="18"/>
              </w:rPr>
              <w:t>¥350</w:t>
            </w:r>
          </w:p>
        </w:tc>
        <w:tc>
          <w:tcPr>
            <w:tcW w:type="dxa" w:w="1568"/>
            <w:shd w:val="clear" w:color="auto" w:fill="DDEBF7"/>
          </w:tcPr>
          <w:p>
            <w:r>
              <w:rPr>
                <w:rFonts w:ascii="Meiryo UI" w:hAnsi="Meiryo UI"/>
                <w:sz w:val="18"/>
              </w:rPr>
              <w:t>9x</w:t>
            </w:r>
          </w:p>
        </w:tc>
        <w:tc>
          <w:tcPr>
            <w:tcW w:type="dxa" w:w="1568"/>
            <w:shd w:val="clear" w:color="auto" w:fill="DDEBF7"/>
          </w:tcPr>
          <w:p>
            <w:r>
              <w:rPr>
                <w:rFonts w:ascii="Meiryo UI" w:hAnsi="Meiryo UI"/>
                <w:sz w:val="18"/>
              </w:rPr>
              <w:t>¥3,150</w:t>
            </w:r>
          </w:p>
        </w:tc>
      </w:tr>
      <w:tr>
        <w:tc>
          <w:tcPr>
            <w:tcW w:type="dxa" w:w="1568"/>
          </w:tcPr>
          <w:p>
            <w:r>
              <w:rPr>
                <w:rFonts w:ascii="Meiryo UI" w:hAnsi="Meiryo UI"/>
                <w:sz w:val="18"/>
              </w:rPr>
              <w:t>Base（consensus）</w:t>
            </w:r>
          </w:p>
        </w:tc>
        <w:tc>
          <w:tcPr>
            <w:tcW w:type="dxa" w:w="1568"/>
          </w:tcPr>
          <w:p>
            <w:r>
              <w:rPr>
                <w:rFonts w:ascii="Meiryo UI" w:hAnsi="Meiryo UI"/>
                <w:sz w:val="18"/>
              </w:rPr>
              <w:t>$85</w:t>
            </w:r>
          </w:p>
        </w:tc>
        <w:tc>
          <w:tcPr>
            <w:tcW w:type="dxa" w:w="1568"/>
          </w:tcPr>
          <w:p>
            <w:r>
              <w:rPr>
                <w:rFonts w:ascii="Meiryo UI" w:hAnsi="Meiryo UI"/>
                <w:sz w:val="18"/>
              </w:rPr>
              <w:t>¥440B</w:t>
            </w:r>
          </w:p>
        </w:tc>
        <w:tc>
          <w:tcPr>
            <w:tcW w:type="dxa" w:w="1568"/>
          </w:tcPr>
          <w:p>
            <w:r>
              <w:rPr>
                <w:rFonts w:ascii="Meiryo UI" w:hAnsi="Meiryo UI"/>
                <w:sz w:val="18"/>
              </w:rPr>
              <w:t>¥350</w:t>
            </w:r>
          </w:p>
        </w:tc>
        <w:tc>
          <w:tcPr>
            <w:tcW w:type="dxa" w:w="1568"/>
          </w:tcPr>
          <w:p>
            <w:r>
              <w:rPr>
                <w:rFonts w:ascii="Meiryo UI" w:hAnsi="Meiryo UI"/>
                <w:sz w:val="18"/>
              </w:rPr>
              <w:t>10x</w:t>
            </w:r>
          </w:p>
        </w:tc>
        <w:tc>
          <w:tcPr>
            <w:tcW w:type="dxa" w:w="1568"/>
          </w:tcPr>
          <w:p>
            <w:r>
              <w:rPr>
                <w:rFonts w:ascii="Meiryo UI" w:hAnsi="Meiryo UI"/>
                <w:sz w:val="18"/>
              </w:rPr>
              <w:t>¥3,500</w:t>
            </w:r>
          </w:p>
        </w:tc>
      </w:tr>
      <w:tr>
        <w:tc>
          <w:tcPr>
            <w:tcW w:type="dxa" w:w="1568"/>
            <w:shd w:val="clear" w:color="auto" w:fill="DDEBF7"/>
          </w:tcPr>
          <w:p>
            <w:r>
              <w:rPr>
                <w:rFonts w:ascii="Meiryo UI" w:hAnsi="Meiryo UI"/>
                <w:sz w:val="18"/>
              </w:rPr>
              <w:t>Hormuz Bull</w:t>
            </w:r>
          </w:p>
        </w:tc>
        <w:tc>
          <w:tcPr>
            <w:tcW w:type="dxa" w:w="1568"/>
            <w:shd w:val="clear" w:color="auto" w:fill="DDEBF7"/>
          </w:tcPr>
          <w:p>
            <w:r>
              <w:rPr>
                <w:rFonts w:ascii="Meiryo UI" w:hAnsi="Meiryo UI"/>
                <w:sz w:val="18"/>
              </w:rPr>
              <w:t>$95〜100</w:t>
            </w:r>
          </w:p>
        </w:tc>
        <w:tc>
          <w:tcPr>
            <w:tcW w:type="dxa" w:w="1568"/>
            <w:shd w:val="clear" w:color="auto" w:fill="DDEBF7"/>
          </w:tcPr>
          <w:p>
            <w:r>
              <w:rPr>
                <w:rFonts w:ascii="Meiryo UI" w:hAnsi="Meiryo UI"/>
                <w:sz w:val="18"/>
              </w:rPr>
              <w:t>¥505B</w:t>
            </w:r>
          </w:p>
        </w:tc>
        <w:tc>
          <w:tcPr>
            <w:tcW w:type="dxa" w:w="1568"/>
            <w:shd w:val="clear" w:color="auto" w:fill="DDEBF7"/>
          </w:tcPr>
          <w:p>
            <w:r>
              <w:rPr>
                <w:rFonts w:ascii="Meiryo UI" w:hAnsi="Meiryo UI"/>
                <w:sz w:val="18"/>
              </w:rPr>
              <w:t>¥401</w:t>
            </w:r>
          </w:p>
        </w:tc>
        <w:tc>
          <w:tcPr>
            <w:tcW w:type="dxa" w:w="1568"/>
            <w:shd w:val="clear" w:color="auto" w:fill="DDEBF7"/>
          </w:tcPr>
          <w:p>
            <w:r>
              <w:rPr>
                <w:rFonts w:ascii="Meiryo UI" w:hAnsi="Meiryo UI"/>
                <w:sz w:val="18"/>
              </w:rPr>
              <w:t>11x</w:t>
            </w:r>
          </w:p>
        </w:tc>
        <w:tc>
          <w:tcPr>
            <w:tcW w:type="dxa" w:w="1568"/>
            <w:shd w:val="clear" w:color="auto" w:fill="DDEBF7"/>
          </w:tcPr>
          <w:p>
            <w:r>
              <w:rPr>
                <w:rFonts w:ascii="Meiryo UI" w:hAnsi="Meiryo UI"/>
                <w:sz w:val="18"/>
              </w:rPr>
              <w:t>¥4,411</w:t>
            </w:r>
          </w:p>
        </w:tc>
      </w:tr>
      <w:tr>
        <w:tc>
          <w:tcPr>
            <w:tcW w:type="dxa" w:w="1568"/>
          </w:tcPr>
          <w:p>
            <w:r>
              <w:rPr>
                <w:rFonts w:ascii="Meiryo UI" w:hAnsi="Meiryo UI"/>
                <w:sz w:val="18"/>
              </w:rPr>
              <w:t>PB500達成</w:t>
            </w:r>
          </w:p>
        </w:tc>
        <w:tc>
          <w:tcPr>
            <w:tcW w:type="dxa" w:w="1568"/>
          </w:tcPr>
          <w:p>
            <w:r>
              <w:rPr>
                <w:rFonts w:ascii="Meiryo UI" w:hAnsi="Meiryo UI"/>
                <w:sz w:val="18"/>
              </w:rPr>
              <w:t>$90+</w:t>
            </w:r>
          </w:p>
        </w:tc>
        <w:tc>
          <w:tcPr>
            <w:tcW w:type="dxa" w:w="1568"/>
          </w:tcPr>
          <w:p>
            <w:r>
              <w:rPr>
                <w:rFonts w:ascii="Meiryo UI" w:hAnsi="Meiryo UI"/>
                <w:sz w:val="18"/>
              </w:rPr>
              <w:t>¥600B</w:t>
            </w:r>
          </w:p>
        </w:tc>
        <w:tc>
          <w:tcPr>
            <w:tcW w:type="dxa" w:w="1568"/>
          </w:tcPr>
          <w:p>
            <w:r>
              <w:rPr>
                <w:rFonts w:ascii="Meiryo UI" w:hAnsi="Meiryo UI"/>
                <w:sz w:val="18"/>
              </w:rPr>
              <w:t>¥476</w:t>
            </w:r>
          </w:p>
        </w:tc>
        <w:tc>
          <w:tcPr>
            <w:tcW w:type="dxa" w:w="1568"/>
          </w:tcPr>
          <w:p>
            <w:r>
              <w:rPr>
                <w:rFonts w:ascii="Meiryo UI" w:hAnsi="Meiryo UI"/>
                <w:sz w:val="18"/>
              </w:rPr>
              <w:t>12x</w:t>
            </w:r>
          </w:p>
        </w:tc>
        <w:tc>
          <w:tcPr>
            <w:tcW w:type="dxa" w:w="1568"/>
          </w:tcPr>
          <w:p>
            <w:r>
              <w:rPr>
                <w:rFonts w:ascii="Meiryo UI" w:hAnsi="Meiryo UI"/>
                <w:sz w:val="18"/>
              </w:rPr>
              <w:t>¥5,715</w:t>
            </w:r>
          </w:p>
        </w:tc>
      </w:tr>
    </w:tbl>
    <w:p/>
    <w:p>
      <w:pPr>
        <w:pStyle w:val="Heading3"/>
      </w:pPr>
      <w:r>
        <w:rPr>
          <w:rFonts w:ascii="Meiryo UI" w:hAnsi="Meiryo UI"/>
          <w:color w:val="2E74B5"/>
        </w:rPr>
        <w:t>7-4. DDM（参考・20%ウェイト）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DPS</w:t>
            </w:r>
          </w:p>
        </w:tc>
        <w:tc>
          <w:tcPr>
            <w:tcW w:type="dxa" w:w="2351"/>
            <w:shd w:val="clear" w:color="auto" w:fill="2E74B5"/>
          </w:tcPr>
          <w:p>
            <w:r>
              <w:rPr>
                <w:rFonts w:ascii="Meiryo UI" w:hAnsi="Meiryo UI"/>
                <w:b/>
                <w:color w:val="FFFFFF"/>
                <w:sz w:val="18"/>
              </w:rPr>
              <w:t>g</w:t>
            </w:r>
          </w:p>
        </w:tc>
        <w:tc>
          <w:tcPr>
            <w:tcW w:type="dxa" w:w="2351"/>
            <w:shd w:val="clear" w:color="auto" w:fill="2E74B5"/>
          </w:tcPr>
          <w:p>
            <w:r>
              <w:rPr>
                <w:rFonts w:ascii="Meiryo UI" w:hAnsi="Meiryo UI"/>
                <w:b/>
                <w:color w:val="FFFFFF"/>
                <w:sz w:val="18"/>
              </w:rPr>
              <w:t>FV</w:t>
            </w:r>
          </w:p>
        </w:tc>
      </w:tr>
      <w:tr>
        <w:tc>
          <w:tcPr>
            <w:tcW w:type="dxa" w:w="2351"/>
          </w:tcPr>
          <w:p>
            <w:r>
              <w:rPr>
                <w:rFonts w:ascii="Meiryo UI" w:hAnsi="Meiryo UI"/>
                <w:sz w:val="18"/>
              </w:rPr>
              <w:t>Bear</w:t>
            </w:r>
          </w:p>
        </w:tc>
        <w:tc>
          <w:tcPr>
            <w:tcW w:type="dxa" w:w="2351"/>
          </w:tcPr>
          <w:p>
            <w:r>
              <w:rPr>
                <w:rFonts w:ascii="Meiryo UI" w:hAnsi="Meiryo UI"/>
                <w:sz w:val="18"/>
              </w:rPr>
              <w:t>¥108</w:t>
            </w:r>
          </w:p>
        </w:tc>
        <w:tc>
          <w:tcPr>
            <w:tcW w:type="dxa" w:w="2351"/>
          </w:tcPr>
          <w:p>
            <w:r>
              <w:rPr>
                <w:rFonts w:ascii="Meiryo UI" w:hAnsi="Meiryo UI"/>
                <w:sz w:val="18"/>
              </w:rPr>
              <w:t>2%</w:t>
            </w:r>
          </w:p>
        </w:tc>
        <w:tc>
          <w:tcPr>
            <w:tcW w:type="dxa" w:w="2351"/>
          </w:tcPr>
          <w:p>
            <w:r>
              <w:rPr>
                <w:rFonts w:ascii="Meiryo UI" w:hAnsi="Meiryo UI"/>
                <w:sz w:val="18"/>
              </w:rPr>
              <w:t>¥2,002</w:t>
            </w:r>
          </w:p>
        </w:tc>
      </w:tr>
      <w:tr>
        <w:tc>
          <w:tcPr>
            <w:tcW w:type="dxa" w:w="2351"/>
            <w:shd w:val="clear" w:color="auto" w:fill="DDEBF7"/>
          </w:tcPr>
          <w:p>
            <w:r>
              <w:rPr>
                <w:rFonts w:ascii="Meiryo UI" w:hAnsi="Meiryo UI"/>
                <w:sz w:val="18"/>
              </w:rPr>
              <w:t>Base</w:t>
            </w:r>
          </w:p>
        </w:tc>
        <w:tc>
          <w:tcPr>
            <w:tcW w:type="dxa" w:w="2351"/>
            <w:shd w:val="clear" w:color="auto" w:fill="DDEBF7"/>
          </w:tcPr>
          <w:p>
            <w:r>
              <w:rPr>
                <w:rFonts w:ascii="Meiryo UI" w:hAnsi="Meiryo UI"/>
                <w:sz w:val="18"/>
              </w:rPr>
              <w:t>¥120</w:t>
            </w:r>
          </w:p>
        </w:tc>
        <w:tc>
          <w:tcPr>
            <w:tcW w:type="dxa" w:w="2351"/>
            <w:shd w:val="clear" w:color="auto" w:fill="DDEBF7"/>
          </w:tcPr>
          <w:p>
            <w:r>
              <w:rPr>
                <w:rFonts w:ascii="Meiryo UI" w:hAnsi="Meiryo UI"/>
                <w:sz w:val="18"/>
              </w:rPr>
              <w:t>3%</w:t>
            </w:r>
          </w:p>
        </w:tc>
        <w:tc>
          <w:tcPr>
            <w:tcW w:type="dxa" w:w="2351"/>
            <w:shd w:val="clear" w:color="auto" w:fill="DDEBF7"/>
          </w:tcPr>
          <w:p>
            <w:r>
              <w:rPr>
                <w:rFonts w:ascii="Meiryo UI" w:hAnsi="Meiryo UI"/>
                <w:sz w:val="18"/>
              </w:rPr>
              <w:t>¥2,739</w:t>
            </w:r>
          </w:p>
        </w:tc>
      </w:tr>
      <w:tr>
        <w:tc>
          <w:tcPr>
            <w:tcW w:type="dxa" w:w="2351"/>
          </w:tcPr>
          <w:p>
            <w:r>
              <w:rPr>
                <w:rFonts w:ascii="Meiryo UI" w:hAnsi="Meiryo UI"/>
                <w:sz w:val="18"/>
              </w:rPr>
              <w:t>Hormuz Bull</w:t>
            </w:r>
          </w:p>
        </w:tc>
        <w:tc>
          <w:tcPr>
            <w:tcW w:type="dxa" w:w="2351"/>
          </w:tcPr>
          <w:p>
            <w:r>
              <w:rPr>
                <w:rFonts w:ascii="Meiryo UI" w:hAnsi="Meiryo UI"/>
                <w:sz w:val="18"/>
              </w:rPr>
              <w:t>¥140</w:t>
            </w:r>
          </w:p>
        </w:tc>
        <w:tc>
          <w:tcPr>
            <w:tcW w:type="dxa" w:w="2351"/>
          </w:tcPr>
          <w:p>
            <w:r>
              <w:rPr>
                <w:rFonts w:ascii="Meiryo UI" w:hAnsi="Meiryo UI"/>
                <w:sz w:val="18"/>
              </w:rPr>
              <w:t>4%</w:t>
            </w:r>
          </w:p>
        </w:tc>
        <w:tc>
          <w:tcPr>
            <w:tcW w:type="dxa" w:w="2351"/>
          </w:tcPr>
          <w:p>
            <w:r>
              <w:rPr>
                <w:rFonts w:ascii="Meiryo UI" w:hAnsi="Meiryo UI"/>
                <w:sz w:val="18"/>
              </w:rPr>
              <w:t>¥4,166</w:t>
            </w:r>
          </w:p>
        </w:tc>
      </w:tr>
    </w:tbl>
    <w:p/>
    <w:p>
      <w:pPr>
        <w:pStyle w:val="Heading3"/>
      </w:pPr>
      <w:r>
        <w:rPr>
          <w:rFonts w:ascii="Meiryo UI" w:hAnsi="Meiryo UI"/>
          <w:color w:val="2E74B5"/>
        </w:rPr>
        <w:t>7-5. コンポジットFV（修正版）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手法</w:t>
            </w:r>
          </w:p>
        </w:tc>
        <w:tc>
          <w:tcPr>
            <w:tcW w:type="dxa" w:w="1881"/>
            <w:shd w:val="clear" w:color="auto" w:fill="2E74B5"/>
          </w:tcPr>
          <w:p>
            <w:r>
              <w:rPr>
                <w:rFonts w:ascii="Meiryo UI" w:hAnsi="Meiryo UI"/>
                <w:b/>
                <w:color w:val="FFFFFF"/>
                <w:sz w:val="18"/>
              </w:rPr>
              <w:t>ウェイト</w:t>
            </w:r>
          </w:p>
        </w:tc>
        <w:tc>
          <w:tcPr>
            <w:tcW w:type="dxa" w:w="1881"/>
            <w:shd w:val="clear" w:color="auto" w:fill="2E74B5"/>
          </w:tcPr>
          <w:p>
            <w:r>
              <w:rPr>
                <w:rFonts w:ascii="Meiryo UI" w:hAnsi="Meiryo UI"/>
                <w:b/>
                <w:color w:val="FFFFFF"/>
                <w:sz w:val="18"/>
              </w:rPr>
              <w:t>JAPEX型Bear</w:t>
            </w:r>
          </w:p>
        </w:tc>
        <w:tc>
          <w:tcPr>
            <w:tcW w:type="dxa" w:w="1881"/>
            <w:shd w:val="clear" w:color="auto" w:fill="2E74B5"/>
          </w:tcPr>
          <w:p>
            <w:r>
              <w:rPr>
                <w:rFonts w:ascii="Meiryo UI" w:hAnsi="Meiryo UI"/>
                <w:b/>
                <w:color w:val="FFFFFF"/>
                <w:sz w:val="18"/>
              </w:rPr>
              <w:t>Base</w:t>
            </w:r>
          </w:p>
        </w:tc>
        <w:tc>
          <w:tcPr>
            <w:tcW w:type="dxa" w:w="1881"/>
            <w:shd w:val="clear" w:color="auto" w:fill="2E74B5"/>
          </w:tcPr>
          <w:p>
            <w:r>
              <w:rPr>
                <w:rFonts w:ascii="Meiryo UI" w:hAnsi="Meiryo UI"/>
                <w:b/>
                <w:color w:val="FFFFFF"/>
                <w:sz w:val="18"/>
              </w:rPr>
              <w:t>Hormuz Bull</w:t>
            </w:r>
          </w:p>
        </w:tc>
      </w:tr>
      <w:tr>
        <w:tc>
          <w:tcPr>
            <w:tcW w:type="dxa" w:w="1881"/>
          </w:tcPr>
          <w:p>
            <w:r>
              <w:rPr>
                <w:rFonts w:ascii="Meiryo UI" w:hAnsi="Meiryo UI"/>
                <w:sz w:val="18"/>
              </w:rPr>
              <w:t>P/E</w:t>
            </w:r>
          </w:p>
        </w:tc>
        <w:tc>
          <w:tcPr>
            <w:tcW w:type="dxa" w:w="1881"/>
          </w:tcPr>
          <w:p>
            <w:r>
              <w:rPr>
                <w:rFonts w:ascii="Meiryo UI" w:hAnsi="Meiryo UI"/>
                <w:sz w:val="18"/>
              </w:rPr>
              <w:t>50%</w:t>
            </w:r>
          </w:p>
        </w:tc>
        <w:tc>
          <w:tcPr>
            <w:tcW w:type="dxa" w:w="1881"/>
          </w:tcPr>
          <w:p>
            <w:r>
              <w:rPr>
                <w:rFonts w:ascii="Meiryo UI" w:hAnsi="Meiryo UI"/>
                <w:sz w:val="18"/>
              </w:rPr>
              <w:t>¥2,625</w:t>
            </w:r>
          </w:p>
        </w:tc>
        <w:tc>
          <w:tcPr>
            <w:tcW w:type="dxa" w:w="1881"/>
          </w:tcPr>
          <w:p>
            <w:r>
              <w:rPr>
                <w:rFonts w:ascii="Meiryo UI" w:hAnsi="Meiryo UI"/>
                <w:sz w:val="18"/>
              </w:rPr>
              <w:t>¥3,500</w:t>
            </w:r>
          </w:p>
        </w:tc>
        <w:tc>
          <w:tcPr>
            <w:tcW w:type="dxa" w:w="1881"/>
          </w:tcPr>
          <w:p>
            <w:r>
              <w:rPr>
                <w:rFonts w:ascii="Meiryo UI" w:hAnsi="Meiryo UI"/>
                <w:sz w:val="18"/>
              </w:rPr>
              <w:t>¥4,411</w:t>
            </w:r>
          </w:p>
        </w:tc>
      </w:tr>
      <w:tr>
        <w:tc>
          <w:tcPr>
            <w:tcW w:type="dxa" w:w="1881"/>
            <w:shd w:val="clear" w:color="auto" w:fill="DDEBF7"/>
          </w:tcPr>
          <w:p>
            <w:r>
              <w:rPr>
                <w:rFonts w:ascii="Meiryo UI" w:hAnsi="Meiryo UI"/>
                <w:sz w:val="18"/>
              </w:rPr>
              <w:t>P/B NAV</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¥3,352</w:t>
            </w:r>
          </w:p>
        </w:tc>
        <w:tc>
          <w:tcPr>
            <w:tcW w:type="dxa" w:w="1881"/>
            <w:shd w:val="clear" w:color="auto" w:fill="DDEBF7"/>
          </w:tcPr>
          <w:p>
            <w:r>
              <w:rPr>
                <w:rFonts w:ascii="Meiryo UI" w:hAnsi="Meiryo UI"/>
                <w:sz w:val="18"/>
              </w:rPr>
              <w:t>¥4,004</w:t>
            </w:r>
          </w:p>
        </w:tc>
        <w:tc>
          <w:tcPr>
            <w:tcW w:type="dxa" w:w="1881"/>
            <w:shd w:val="clear" w:color="auto" w:fill="DDEBF7"/>
          </w:tcPr>
          <w:p>
            <w:r>
              <w:rPr>
                <w:rFonts w:ascii="Meiryo UI" w:hAnsi="Meiryo UI"/>
                <w:sz w:val="18"/>
              </w:rPr>
              <w:t>¥5,169</w:t>
            </w:r>
          </w:p>
        </w:tc>
      </w:tr>
      <w:tr>
        <w:tc>
          <w:tcPr>
            <w:tcW w:type="dxa" w:w="1881"/>
          </w:tcPr>
          <w:p>
            <w:r>
              <w:rPr>
                <w:rFonts w:ascii="Meiryo UI" w:hAnsi="Meiryo UI"/>
                <w:sz w:val="18"/>
              </w:rPr>
              <w:t>DDM</w:t>
            </w:r>
          </w:p>
        </w:tc>
        <w:tc>
          <w:tcPr>
            <w:tcW w:type="dxa" w:w="1881"/>
          </w:tcPr>
          <w:p>
            <w:r>
              <w:rPr>
                <w:rFonts w:ascii="Meiryo UI" w:hAnsi="Meiryo UI"/>
                <w:sz w:val="18"/>
              </w:rPr>
              <w:t>20%</w:t>
            </w:r>
          </w:p>
        </w:tc>
        <w:tc>
          <w:tcPr>
            <w:tcW w:type="dxa" w:w="1881"/>
          </w:tcPr>
          <w:p>
            <w:r>
              <w:rPr>
                <w:rFonts w:ascii="Meiryo UI" w:hAnsi="Meiryo UI"/>
                <w:sz w:val="18"/>
              </w:rPr>
              <w:t>¥2,002</w:t>
            </w:r>
          </w:p>
        </w:tc>
        <w:tc>
          <w:tcPr>
            <w:tcW w:type="dxa" w:w="1881"/>
          </w:tcPr>
          <w:p>
            <w:r>
              <w:rPr>
                <w:rFonts w:ascii="Meiryo UI" w:hAnsi="Meiryo UI"/>
                <w:sz w:val="18"/>
              </w:rPr>
              <w:t>¥2,739</w:t>
            </w:r>
          </w:p>
        </w:tc>
        <w:tc>
          <w:tcPr>
            <w:tcW w:type="dxa" w:w="1881"/>
          </w:tcPr>
          <w:p>
            <w:r>
              <w:rPr>
                <w:rFonts w:ascii="Meiryo UI" w:hAnsi="Meiryo UI"/>
                <w:sz w:val="18"/>
              </w:rPr>
              <w:t>¥4,166</w:t>
            </w:r>
          </w:p>
        </w:tc>
      </w:tr>
      <w:tr>
        <w:tc>
          <w:tcPr>
            <w:tcW w:type="dxa" w:w="1881"/>
            <w:shd w:val="clear" w:color="auto" w:fill="DDEBF7"/>
          </w:tcPr>
          <w:p>
            <w:r>
              <w:rPr>
                <w:rFonts w:ascii="Meiryo UI" w:hAnsi="Meiryo UI"/>
                <w:sz w:val="18"/>
              </w:rPr>
              <w:t>加重平均FV</w:t>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t>¥2,715</w:t>
            </w:r>
          </w:p>
        </w:tc>
        <w:tc>
          <w:tcPr>
            <w:tcW w:type="dxa" w:w="1881"/>
            <w:shd w:val="clear" w:color="auto" w:fill="DDEBF7"/>
          </w:tcPr>
          <w:p>
            <w:r>
              <w:rPr>
                <w:rFonts w:ascii="Meiryo UI" w:hAnsi="Meiryo UI"/>
                <w:sz w:val="18"/>
              </w:rPr>
              <w:t>¥3,567</w:t>
            </w:r>
          </w:p>
        </w:tc>
        <w:tc>
          <w:tcPr>
            <w:tcW w:type="dxa" w:w="1881"/>
            <w:shd w:val="clear" w:color="auto" w:fill="DDEBF7"/>
          </w:tcPr>
          <w:p>
            <w:r>
              <w:rPr>
                <w:rFonts w:ascii="Meiryo UI" w:hAnsi="Meiryo UI"/>
                <w:sz w:val="18"/>
              </w:rPr>
              <w:t>¥4,658</w:t>
            </w:r>
          </w:p>
        </w:tc>
      </w:tr>
    </w:tbl>
    <w:p/>
    <w:p>
      <w:r>
        <w:rPr>
          <w:rFonts w:ascii="Meiryo UI" w:hAnsi="Meiryo UI"/>
          <w:sz w:val="20"/>
        </w:rPr>
        <w:t>確率ウェイト（4/18ホルムズ再封鎖後・1662型リスク織り込み）：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確率×FV</w:t>
            </w:r>
          </w:p>
        </w:tc>
      </w:tr>
      <w:tr>
        <w:tc>
          <w:tcPr>
            <w:tcW w:type="dxa" w:w="2351"/>
          </w:tcPr>
          <w:p>
            <w:r>
              <w:rPr>
                <w:rFonts w:ascii="Meiryo UI" w:hAnsi="Meiryo UI"/>
                <w:sz w:val="18"/>
              </w:rPr>
              <w:t>JAPEX型Bear（1662型フル発動+Hormuz解消）</w:t>
            </w:r>
          </w:p>
        </w:tc>
        <w:tc>
          <w:tcPr>
            <w:tcW w:type="dxa" w:w="2351"/>
          </w:tcPr>
          <w:p>
            <w:r>
              <w:rPr>
                <w:rFonts w:ascii="Meiryo UI" w:hAnsi="Meiryo UI"/>
                <w:sz w:val="18"/>
              </w:rPr>
              <w:t>20%</w:t>
            </w:r>
          </w:p>
        </w:tc>
        <w:tc>
          <w:tcPr>
            <w:tcW w:type="dxa" w:w="2351"/>
          </w:tcPr>
          <w:p>
            <w:r>
              <w:rPr>
                <w:rFonts w:ascii="Meiryo UI" w:hAnsi="Meiryo UI"/>
                <w:sz w:val="18"/>
              </w:rPr>
              <w:t>¥2,715</w:t>
            </w:r>
          </w:p>
        </w:tc>
        <w:tc>
          <w:tcPr>
            <w:tcW w:type="dxa" w:w="2351"/>
          </w:tcPr>
          <w:p>
            <w:r>
              <w:rPr>
                <w:rFonts w:ascii="Meiryo UI" w:hAnsi="Meiryo UI"/>
                <w:sz w:val="18"/>
              </w:rPr>
              <w:t>¥543</w:t>
            </w:r>
          </w:p>
        </w:tc>
      </w:tr>
      <w:tr>
        <w:tc>
          <w:tcPr>
            <w:tcW w:type="dxa" w:w="2351"/>
            <w:shd w:val="clear" w:color="auto" w:fill="DDEBF7"/>
          </w:tcPr>
          <w:p>
            <w:r>
              <w:rPr>
                <w:rFonts w:ascii="Meiryo UI" w:hAnsi="Meiryo UI"/>
                <w:sz w:val="18"/>
              </w:rPr>
              <w:t>1662ライト+Base（コスト増だがHormuz継続）</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¥3,567</w:t>
            </w:r>
          </w:p>
        </w:tc>
        <w:tc>
          <w:tcPr>
            <w:tcW w:type="dxa" w:w="2351"/>
            <w:shd w:val="clear" w:color="auto" w:fill="DDEBF7"/>
          </w:tcPr>
          <w:p>
            <w:r>
              <w:rPr>
                <w:rFonts w:ascii="Meiryo UI" w:hAnsi="Meiryo UI"/>
                <w:sz w:val="18"/>
              </w:rPr>
              <w:t>¥892</w:t>
            </w:r>
          </w:p>
        </w:tc>
      </w:tr>
      <w:tr>
        <w:tc>
          <w:tcPr>
            <w:tcW w:type="dxa" w:w="2351"/>
          </w:tcPr>
          <w:p>
            <w:r>
              <w:rPr>
                <w:rFonts w:ascii="Meiryo UI" w:hAnsi="Meiryo UI"/>
                <w:sz w:val="18"/>
              </w:rPr>
              <w:t>Hormuz Bull（コスト制御良好）</w:t>
            </w:r>
          </w:p>
        </w:tc>
        <w:tc>
          <w:tcPr>
            <w:tcW w:type="dxa" w:w="2351"/>
          </w:tcPr>
          <w:p>
            <w:r>
              <w:rPr>
                <w:rFonts w:ascii="Meiryo UI" w:hAnsi="Meiryo UI"/>
                <w:sz w:val="18"/>
              </w:rPr>
              <w:t>40%</w:t>
            </w:r>
          </w:p>
        </w:tc>
        <w:tc>
          <w:tcPr>
            <w:tcW w:type="dxa" w:w="2351"/>
          </w:tcPr>
          <w:p>
            <w:r>
              <w:rPr>
                <w:rFonts w:ascii="Meiryo UI" w:hAnsi="Meiryo UI"/>
                <w:sz w:val="18"/>
              </w:rPr>
              <w:t>¥4,658</w:t>
            </w:r>
          </w:p>
        </w:tc>
        <w:tc>
          <w:tcPr>
            <w:tcW w:type="dxa" w:w="2351"/>
          </w:tcPr>
          <w:p>
            <w:r>
              <w:rPr>
                <w:rFonts w:ascii="Meiryo UI" w:hAnsi="Meiryo UI"/>
                <w:sz w:val="18"/>
              </w:rPr>
              <w:t>¥1,863</w:t>
            </w:r>
          </w:p>
        </w:tc>
      </w:tr>
      <w:tr>
        <w:tc>
          <w:tcPr>
            <w:tcW w:type="dxa" w:w="2351"/>
            <w:shd w:val="clear" w:color="auto" w:fill="DDEBF7"/>
          </w:tcPr>
          <w:p>
            <w:r>
              <w:rPr>
                <w:rFonts w:ascii="Meiryo UI" w:hAnsi="Meiryo UI"/>
                <w:sz w:val="18"/>
              </w:rPr>
              <w:t>PB500 Full Bull</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¥5,715</w:t>
            </w:r>
          </w:p>
        </w:tc>
        <w:tc>
          <w:tcPr>
            <w:tcW w:type="dxa" w:w="2351"/>
            <w:shd w:val="clear" w:color="auto" w:fill="DDEBF7"/>
          </w:tcPr>
          <w:p>
            <w:r>
              <w:rPr>
                <w:rFonts w:ascii="Meiryo UI" w:hAnsi="Meiryo UI"/>
                <w:sz w:val="18"/>
              </w:rPr>
              <w:t>¥857</w:t>
            </w:r>
          </w:p>
        </w:tc>
      </w:tr>
      <w:tr>
        <w:tc>
          <w:tcPr>
            <w:tcW w:type="dxa" w:w="2351"/>
          </w:tcPr>
          <w:p>
            <w:r>
              <w:rPr>
                <w:rFonts w:ascii="Meiryo UI" w:hAnsi="Meiryo UI"/>
                <w:sz w:val="18"/>
              </w:rPr>
              <w:t>確率加重FV</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¥4,155</w:t>
            </w:r>
          </w:p>
        </w:tc>
      </w:tr>
    </w:tbl>
    <w:p/>
    <w:p>
      <w:r>
        <w:rPr>
          <w:rFonts w:ascii="Meiryo UI" w:hAnsi="Meiryo UI"/>
          <w:sz w:val="20"/>
        </w:rPr>
        <w:t>→ 確率加重FV ¥4,155 vs 現値 ¥3,843 = 上値余地 +8.1%（初版+4.7%から改善も依然小幅）</w:t>
      </w:r>
    </w:p>
    <w:p/>
    <w:p>
      <w:r>
        <w:rPr>
          <w:rFonts w:ascii="Meiryo UI" w:hAnsi="Meiryo UI"/>
          <w:sz w:val="20"/>
        </w:rPr>
        <w:t>Target Price：¥4,500（Hormuz Bull FV¥4,658×95%安全マージン）</w:t>
      </w:r>
    </w:p>
    <w:p>
      <w:r>
        <w:rPr>
          <w:rFonts w:ascii="Meiryo UI" w:hAnsi="Meiryo UI"/>
          <w:sz w:val="20"/>
        </w:rPr>
        <w:t>エントリー推奨水準：¥3,600〜3,700（確率加重FVに対して+11〜15%のMoS確保）</w:t>
      </w:r>
    </w:p>
    <w:p/>
    <w:p>
      <w:r>
        <w:t>──────────────────────────────────────────────────</w:t>
      </w:r>
    </w:p>
    <w:p/>
    <w:p>
      <w:pPr>
        <w:pStyle w:val="Heading2"/>
      </w:pPr>
      <w:r>
        <w:rPr>
          <w:rFonts w:ascii="Meiryo UI" w:hAnsi="Meiryo UI"/>
          <w:color w:val="2E74B5"/>
        </w:rPr>
        <w:t>8. リスク定量マッピング &amp; ストレステスト（1662型追加・改訂版）</w:t>
      </w:r>
    </w:p>
    <w:p/>
    <w:p>
      <w:pPr>
        <w:pStyle w:val="Heading3"/>
      </w:pPr>
      <w:r>
        <w:rPr>
          <w:rFonts w:ascii="Meiryo UI" w:hAnsi="Meiryo UI"/>
          <w:color w:val="2E74B5"/>
        </w:rPr>
        <w:t>リスク①：原油価格急落（Brent $65以下）（発生確率 15%）</w:t>
      </w:r>
    </w:p>
    <w:p>
      <w:pPr>
        <w:pStyle w:val="ListBullet"/>
      </w:pPr>
      <w:r>
        <w:rPr>
          <w:rFonts w:ascii="Meiryo UI" w:hAnsi="Meiryo UI"/>
          <w:sz w:val="20"/>
        </w:rPr>
        <w:t>トリガー： 米・イラン合意（Hormuz完全解消）AND OPEC+生産増加</w:t>
      </w:r>
    </w:p>
    <w:p>
      <w:pPr>
        <w:pStyle w:val="ListBullet"/>
      </w:pPr>
      <w:r>
        <w:rPr>
          <w:rFonts w:ascii="Meiryo UI" w:hAnsi="Meiryo UI"/>
          <w:sz w:val="20"/>
        </w:rPr>
        <w:t>経常利益 Impact： ▲¥110〜160B（consensus ¥440B→¥280〜330B）</w:t>
      </w:r>
    </w:p>
    <w:p>
      <w:r>
        <w:rPr>
          <w:rFonts w:ascii="Meiryo UI" w:hAnsi="Meiryo UI"/>
          <w:sz w:val="20"/>
        </w:rPr>
        <w:t xml:space="preserve">  根拠：Brent $85→$65 = ▲$20 × ¥5B/$ = ▲¥100B（修正感応度適用）</w:t>
      </w:r>
    </w:p>
    <w:p>
      <w:pPr>
        <w:pStyle w:val="ListBullet"/>
      </w:pPr>
      <w:r>
        <w:rPr>
          <w:rFonts w:ascii="Meiryo UI" w:hAnsi="Meiryo UI"/>
          <w:sz w:val="20"/>
        </w:rPr>
        <w:t>EPS Impact： ▲¥87〜127/株</w:t>
      </w:r>
    </w:p>
    <w:p>
      <w:pPr>
        <w:pStyle w:val="ListBullet"/>
      </w:pPr>
      <w:r>
        <w:rPr>
          <w:rFonts w:ascii="Meiryo UI" w:hAnsi="Meiryo UI"/>
          <w:sz w:val="20"/>
        </w:rPr>
        <w:t>FV Impact： ▲¥870〜1,270（P/E 10x）</w:t>
      </w:r>
    </w:p>
    <w:p>
      <w:pPr>
        <w:pStyle w:val="ListBullet"/>
      </w:pPr>
      <w:r>
        <w:rPr>
          <w:rFonts w:ascii="Meiryo UI" w:hAnsi="Meiryo UI"/>
          <w:sz w:val="20"/>
        </w:rPr>
        <w:t>撤退ライン： ¥3,100（Hormuz合意報道→即日全量売却）</w:t>
      </w:r>
    </w:p>
    <w:p/>
    <w:p>
      <w:pPr>
        <w:pStyle w:val="Heading3"/>
      </w:pPr>
      <w:r>
        <w:rPr>
          <w:rFonts w:ascii="Meiryo UI" w:hAnsi="Meiryo UI"/>
          <w:color w:val="2E74B5"/>
        </w:rPr>
        <w:t>リスク②：【新規・最重要】1662型「CF漏出」による利益停滞（発生確率 25%）</w:t>
      </w:r>
    </w:p>
    <w:p>
      <w:pPr>
        <w:pStyle w:val="ListBullet"/>
      </w:pPr>
      <w:r>
        <w:rPr>
          <w:rFonts w:ascii="Meiryo UI" w:hAnsi="Meiryo UI"/>
          <w:sz w:val="20"/>
        </w:rPr>
        <w:t>トリガー： ①探鉱費計画超過¥100B超 AND ②豪州PRRT追加税¥50B超 AND ③Ichthys計画外停止（1ヶ月以上）のうち2つ以上同時発生</w:t>
      </w:r>
    </w:p>
    <w:p>
      <w:pPr>
        <w:pStyle w:val="ListBullet"/>
      </w:pPr>
      <w:r>
        <w:rPr>
          <w:rFonts w:ascii="Meiryo UI" w:hAnsi="Meiryo UI"/>
          <w:sz w:val="20"/>
        </w:rPr>
        <w:t>経常利益 Impact： ¥440B→¥280〜360B（▲¥80〜160B。Brent $100時でも発生）</w:t>
      </w:r>
    </w:p>
    <w:p>
      <w:r>
        <w:rPr>
          <w:rFonts w:ascii="Meiryo UI" w:hAnsi="Meiryo UI"/>
          <w:sz w:val="20"/>
        </w:rPr>
        <w:t xml:space="preserve">  根拠：探鉱費¥100B+PRRT¥60B+Ichthys¥40B = ¥200B コスト増→税引後影響¥140B</w:t>
      </w:r>
    </w:p>
    <w:p>
      <w:pPr>
        <w:pStyle w:val="ListBullet"/>
      </w:pPr>
      <w:r>
        <w:rPr>
          <w:rFonts w:ascii="Meiryo UI" w:hAnsi="Meiryo UI"/>
          <w:sz w:val="20"/>
        </w:rPr>
        <w:t>EPS Impact： ▲¥64〜127/株</w:t>
      </w:r>
    </w:p>
    <w:p>
      <w:pPr>
        <w:pStyle w:val="ListBullet"/>
      </w:pPr>
      <w:r>
        <w:rPr>
          <w:rFonts w:ascii="Meiryo UI" w:hAnsi="Meiryo UI"/>
          <w:sz w:val="20"/>
        </w:rPr>
        <w:t>FV Impact： ▲¥640〜1,270（P/E 10x）</w:t>
      </w:r>
    </w:p>
    <w:p>
      <w:pPr>
        <w:pStyle w:val="ListBullet"/>
      </w:pPr>
      <w:r>
        <w:rPr>
          <w:rFonts w:ascii="Meiryo UI" w:hAnsi="Meiryo UI"/>
          <w:sz w:val="20"/>
        </w:rPr>
        <w:t>撤退ライン： ¥3,200（四半期決算で探鉱費急増+ROE低下確認時。1662型確認には1〜2Q必要）</w:t>
      </w:r>
    </w:p>
    <w:p/>
    <w:p>
      <w:pPr>
        <w:pStyle w:val="Heading3"/>
      </w:pPr>
      <w:r>
        <w:rPr>
          <w:rFonts w:ascii="Meiryo UI" w:hAnsi="Meiryo UI"/>
          <w:color w:val="2E74B5"/>
        </w:rPr>
        <w:t>リスク③：豪州PRRT（超過利潤税）の追加負担（発生確率 70%）</w:t>
      </w:r>
    </w:p>
    <w:p>
      <w:pPr>
        <w:pStyle w:val="ListBullet"/>
      </w:pPr>
      <w:r>
        <w:rPr>
          <w:rFonts w:ascii="Meiryo UI" w:hAnsi="Meiryo UI"/>
          <w:sz w:val="20"/>
        </w:rPr>
        <w:t>トリガー： Brent $90超継続（= ほぼ現状確定）</w:t>
      </w:r>
    </w:p>
    <w:p>
      <w:pPr>
        <w:pStyle w:val="ListBullet"/>
      </w:pPr>
      <w:r>
        <w:rPr>
          <w:rFonts w:ascii="Meiryo UI" w:hAnsi="Meiryo UI"/>
          <w:sz w:val="20"/>
        </w:rPr>
        <w:t>経常利益 Impact： ▲¥50〜80B（必然的に発動）</w:t>
      </w:r>
    </w:p>
    <w:p>
      <w:r>
        <w:rPr>
          <w:rFonts w:ascii="Meiryo UI" w:hAnsi="Meiryo UI"/>
          <w:sz w:val="20"/>
        </w:rPr>
        <w:t xml:space="preserve">  根拠：PRRTはプログレッシブ税。$90超でINPEX実効追加税率10〜15%pt増加</w:t>
      </w:r>
    </w:p>
    <w:p>
      <w:pPr>
        <w:pStyle w:val="ListBullet"/>
      </w:pPr>
      <w:r>
        <w:rPr>
          <w:rFonts w:ascii="Meiryo UI" w:hAnsi="Meiryo UI"/>
          <w:sz w:val="20"/>
        </w:rPr>
        <w:t>EPS Impact： ▲¥40〜64/株</w:t>
      </w:r>
    </w:p>
    <w:p>
      <w:pPr>
        <w:pStyle w:val="ListBullet"/>
      </w:pPr>
      <w:r>
        <w:rPr>
          <w:rFonts w:ascii="Meiryo UI" w:hAnsi="Meiryo UI"/>
          <w:sz w:val="20"/>
        </w:rPr>
        <w:t>FV Impact： ▲¥400〜640</w:t>
      </w:r>
    </w:p>
    <w:p>
      <w:pPr>
        <w:pStyle w:val="ListBullet"/>
      </w:pPr>
      <w:r>
        <w:rPr>
          <w:rFonts w:ascii="Meiryo UI" w:hAnsi="Meiryo UI"/>
          <w:sz w:val="20"/>
        </w:rPr>
        <w:t>撤退ライン： なし（確率70%で既に起きている。FV計算に織り込み済み）</w:t>
      </w:r>
    </w:p>
    <w:p/>
    <w:p>
      <w:pPr>
        <w:pStyle w:val="Heading3"/>
      </w:pPr>
      <w:r>
        <w:rPr>
          <w:rFonts w:ascii="Meiryo UI" w:hAnsi="Meiryo UI"/>
          <w:color w:val="2E74B5"/>
        </w:rPr>
        <w:t>リスク④：円高進行（USD/JPY ¥145以下）（発生確率 25%）</w:t>
      </w:r>
    </w:p>
    <w:p>
      <w:pPr>
        <w:pStyle w:val="ListBullet"/>
      </w:pPr>
      <w:r>
        <w:rPr>
          <w:rFonts w:ascii="Meiryo UI" w:hAnsi="Meiryo UI"/>
          <w:sz w:val="20"/>
        </w:rPr>
        <w:t>トリガー： 日銀利上げ継続+米Fed利下げ</w:t>
      </w:r>
    </w:p>
    <w:p>
      <w:pPr>
        <w:pStyle w:val="ListBullet"/>
      </w:pPr>
      <w:r>
        <w:rPr>
          <w:rFonts w:ascii="Meiryo UI" w:hAnsi="Meiryo UI"/>
          <w:sz w:val="20"/>
        </w:rPr>
        <w:t>経常利益 Impact： ▲¥25〜40B（¥1円変動≈NI±¥5〜8B）</w:t>
      </w:r>
    </w:p>
    <w:p>
      <w:pPr>
        <w:pStyle w:val="ListBullet"/>
      </w:pPr>
      <w:r>
        <w:rPr>
          <w:rFonts w:ascii="Meiryo UI" w:hAnsi="Meiryo UI"/>
          <w:sz w:val="20"/>
        </w:rPr>
        <w:t>EPS Impact： ▲¥20〜32/株（軽微）</w:t>
      </w:r>
    </w:p>
    <w:p>
      <w:pPr>
        <w:pStyle w:val="ListBullet"/>
      </w:pPr>
      <w:r>
        <w:rPr>
          <w:rFonts w:ascii="Meiryo UI" w:hAnsi="Meiryo UI"/>
          <w:sz w:val="20"/>
        </w:rPr>
        <w:t>FV Impact： ▲¥200〜320</w:t>
      </w:r>
    </w:p>
    <w:p>
      <w:pPr>
        <w:pStyle w:val="ListBullet"/>
      </w:pPr>
      <w:r>
        <w:rPr>
          <w:rFonts w:ascii="Meiryo UI" w:hAnsi="Meiryo UI"/>
          <w:sz w:val="20"/>
        </w:rPr>
        <w:t>撤退ライン： ¥3,400（¥140割れ確認、かつ他リスクと複合時）</w:t>
      </w:r>
    </w:p>
    <w:p/>
    <w:p>
      <w:pPr>
        <w:pStyle w:val="Heading3"/>
      </w:pPr>
      <w:r>
        <w:rPr>
          <w:rFonts w:ascii="Meiryo UI" w:hAnsi="Meiryo UI"/>
          <w:color w:val="2E74B5"/>
        </w:rPr>
        <w:t>リスク⑤：Abadi LNG コストオーバーラン・FID延期（発生確率 35%）</w:t>
      </w:r>
    </w:p>
    <w:p>
      <w:pPr>
        <w:pStyle w:val="ListBullet"/>
      </w:pPr>
      <w:r>
        <w:rPr>
          <w:rFonts w:ascii="Meiryo UI" w:hAnsi="Meiryo UI"/>
          <w:sz w:val="20"/>
        </w:rPr>
        <w:t>トリガー： インドネシア当局承認遅延 OR LNG販売契約未達でFID2028年以降へ後退</w:t>
      </w:r>
    </w:p>
    <w:p>
      <w:pPr>
        <w:pStyle w:val="ListBullet"/>
      </w:pPr>
      <w:r>
        <w:rPr>
          <w:rFonts w:ascii="Meiryo UI" w:hAnsi="Meiryo UI"/>
          <w:sz w:val="20"/>
        </w:rPr>
        <w:t>経常利益 Impact： 短期なし。ただし資産評価損¥100〜200B（一時）のリスク</w:t>
      </w:r>
    </w:p>
    <w:p>
      <w:pPr>
        <w:pStyle w:val="ListBullet"/>
      </w:pPr>
      <w:r>
        <w:rPr>
          <w:rFonts w:ascii="Meiryo UI" w:hAnsi="Meiryo UI"/>
          <w:sz w:val="20"/>
        </w:rPr>
        <w:t>長期FV Impact： ▲¥500〜800（Abadi NPV試算のPB500寄与分消滅）</w:t>
      </w:r>
    </w:p>
    <w:p>
      <w:pPr>
        <w:pStyle w:val="ListBullet"/>
      </w:pPr>
      <w:r>
        <w:rPr>
          <w:rFonts w:ascii="Meiryo UI" w:hAnsi="Meiryo UI"/>
          <w:sz w:val="20"/>
        </w:rPr>
        <w:t>撤退ライン： FID発表が2028年末を超えた場合→ポジション▲50%削減</w:t>
      </w:r>
    </w:p>
    <w:p/>
    <w:p>
      <w:pPr>
        <w:pStyle w:val="Heading3"/>
      </w:pPr>
      <w:r>
        <w:rPr>
          <w:rFonts w:ascii="Meiryo UI" w:hAnsi="Meiryo UI"/>
          <w:color w:val="2E74B5"/>
        </w:rPr>
        <w:t>リスク⑥：UAE Abu Dhabi 政治リスク（発生確率 10%）</w:t>
      </w:r>
    </w:p>
    <w:p>
      <w:pPr>
        <w:pStyle w:val="ListBullet"/>
      </w:pPr>
      <w:r>
        <w:rPr>
          <w:rFonts w:ascii="Meiryo UI" w:hAnsi="Meiryo UI"/>
          <w:sz w:val="20"/>
        </w:rPr>
        <w:t>トリガー： ホルムズ封鎖がUAE本土に波及（イラン・UAE直接衝突）</w:t>
      </w:r>
    </w:p>
    <w:p>
      <w:pPr>
        <w:pStyle w:val="ListBullet"/>
      </w:pPr>
      <w:r>
        <w:rPr>
          <w:rFonts w:ascii="Meiryo UI" w:hAnsi="Meiryo UI"/>
          <w:sz w:val="20"/>
        </w:rPr>
        <w:t>経常利益 Impact： ▲¥80〜150B（UAE権益生産停止）</w:t>
      </w:r>
    </w:p>
    <w:p>
      <w:pPr>
        <w:pStyle w:val="ListBullet"/>
      </w:pPr>
      <w:r>
        <w:rPr>
          <w:rFonts w:ascii="Meiryo UI" w:hAnsi="Meiryo UI"/>
          <w:sz w:val="20"/>
        </w:rPr>
        <w:t>EPS Impact： ▲¥63〜119/株</w:t>
      </w:r>
    </w:p>
    <w:p>
      <w:pPr>
        <w:pStyle w:val="ListBullet"/>
      </w:pPr>
      <w:r>
        <w:rPr>
          <w:rFonts w:ascii="Meiryo UI" w:hAnsi="Meiryo UI"/>
          <w:sz w:val="20"/>
        </w:rPr>
        <w:t>FV Impact： ▲¥630〜1,190</w:t>
      </w:r>
    </w:p>
    <w:p>
      <w:pPr>
        <w:pStyle w:val="ListBullet"/>
      </w:pPr>
      <w:r>
        <w:rPr>
          <w:rFonts w:ascii="Meiryo UI" w:hAnsi="Meiryo UI"/>
          <w:sz w:val="20"/>
        </w:rPr>
        <w:t>撤退ライン： ¥3,000（UAE資産への直接攻撃報告確認時）</w:t>
      </w:r>
    </w:p>
    <w:p/>
    <w:p>
      <w:r>
        <w:t>──────────────────────────────────────────────────</w:t>
      </w:r>
    </w:p>
    <w:p/>
    <w:p>
      <w:pPr>
        <w:pStyle w:val="Heading3"/>
      </w:pPr>
      <w:r>
        <w:rPr>
          <w:rFonts w:ascii="Meiryo UI" w:hAnsi="Meiryo UI"/>
          <w:color w:val="2E74B5"/>
        </w:rPr>
        <w:t>複合ストレステスト</w:t>
      </w:r>
    </w:p>
    <w:p/>
    <w:p>
      <w:r>
        <w:rPr>
          <w:rFonts w:ascii="Meiryo UI" w:hAnsi="Meiryo UI"/>
          <w:sz w:val="20"/>
        </w:rPr>
        <w:t>最現実的複合（リスク②1662型+④円高）：確率25%×25%=6.25%</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計算</w:t>
            </w:r>
          </w:p>
        </w:tc>
        <w:tc>
          <w:tcPr>
            <w:tcW w:type="dxa" w:w="3135"/>
            <w:shd w:val="clear" w:color="auto" w:fill="2E74B5"/>
          </w:tcPr>
          <w:p>
            <w:r>
              <w:rPr>
                <w:rFonts w:ascii="Meiryo UI" w:hAnsi="Meiryo UI"/>
                <w:b/>
                <w:color w:val="FFFFFF"/>
                <w:sz w:val="18"/>
              </w:rPr>
              <w:t>結果</w:t>
            </w:r>
          </w:p>
        </w:tc>
      </w:tr>
      <w:tr>
        <w:tc>
          <w:tcPr>
            <w:tcW w:type="dxa" w:w="3135"/>
          </w:tcPr>
          <w:p>
            <w:r>
              <w:rPr>
                <w:rFonts w:ascii="Meiryo UI" w:hAnsi="Meiryo UI"/>
                <w:sz w:val="18"/>
              </w:rPr>
              <w:t>複合EPS Impact</w:t>
            </w:r>
          </w:p>
        </w:tc>
        <w:tc>
          <w:tcPr>
            <w:tcW w:type="dxa" w:w="3135"/>
          </w:tcPr>
          <w:p>
            <w:r>
              <w:rPr>
                <w:rFonts w:ascii="Meiryo UI" w:hAnsi="Meiryo UI"/>
                <w:sz w:val="18"/>
              </w:rPr>
              <w:t>▲¥64〜127 + ▲¥20〜32</w:t>
            </w:r>
          </w:p>
        </w:tc>
        <w:tc>
          <w:tcPr>
            <w:tcW w:type="dxa" w:w="3135"/>
          </w:tcPr>
          <w:p>
            <w:r>
              <w:rPr>
                <w:rFonts w:ascii="Meiryo UI" w:hAnsi="Meiryo UI"/>
                <w:sz w:val="18"/>
              </w:rPr>
              <w:t>▲¥84〜159/株</w:t>
            </w:r>
          </w:p>
        </w:tc>
      </w:tr>
      <w:tr>
        <w:tc>
          <w:tcPr>
            <w:tcW w:type="dxa" w:w="3135"/>
            <w:shd w:val="clear" w:color="auto" w:fill="DDEBF7"/>
          </w:tcPr>
          <w:p>
            <w:r>
              <w:rPr>
                <w:rFonts w:ascii="Meiryo UI" w:hAnsi="Meiryo UI"/>
                <w:sz w:val="18"/>
              </w:rPr>
              <w:t>複合FV下値</w:t>
            </w:r>
          </w:p>
        </w:tc>
        <w:tc>
          <w:tcPr>
            <w:tcW w:type="dxa" w:w="3135"/>
            <w:shd w:val="clear" w:color="auto" w:fill="DDEBF7"/>
          </w:tcPr>
          <w:p>
            <w:r>
              <w:rPr>
                <w:rFonts w:ascii="Meiryo UI" w:hAnsi="Meiryo UI"/>
                <w:sz w:val="18"/>
              </w:rPr>
              <w:t>¥3,843 - ¥840〜1,590</w:t>
            </w:r>
          </w:p>
        </w:tc>
        <w:tc>
          <w:tcPr>
            <w:tcW w:type="dxa" w:w="3135"/>
            <w:shd w:val="clear" w:color="auto" w:fill="DDEBF7"/>
          </w:tcPr>
          <w:p>
            <w:r>
              <w:rPr>
                <w:rFonts w:ascii="Meiryo UI" w:hAnsi="Meiryo UI"/>
                <w:sz w:val="18"/>
              </w:rPr>
              <w:t>¥2,253〜3,003</w:t>
            </w:r>
          </w:p>
        </w:tc>
      </w:tr>
      <w:tr>
        <w:tc>
          <w:tcPr>
            <w:tcW w:type="dxa" w:w="3135"/>
          </w:tcPr>
          <w:p>
            <w:r>
              <w:rPr>
                <w:rFonts w:ascii="Meiryo UI" w:hAnsi="Meiryo UI"/>
                <w:sz w:val="18"/>
              </w:rPr>
              <w:t>対応SL</w:t>
            </w:r>
          </w:p>
        </w:tc>
        <w:tc>
          <w:tcPr>
            <w:tcW w:type="dxa" w:w="3135"/>
          </w:tcPr>
          <w:p>
            <w:r>
              <w:rPr>
                <w:rFonts w:ascii="Meiryo UI" w:hAnsi="Meiryo UI"/>
                <w:sz w:val="18"/>
              </w:rPr>
              <w:t>¥3,100（1662型確認時）</w:t>
            </w:r>
          </w:p>
        </w:tc>
        <w:tc>
          <w:tcPr>
            <w:tcW w:type="dxa" w:w="3135"/>
          </w:tcPr>
          <w:p>
            <w:r>
              <w:rPr>
                <w:rFonts w:ascii="Meiryo UI" w:hAnsi="Meiryo UI"/>
                <w:sz w:val="18"/>
              </w:rPr>
              <w:t>1Qで探鉱費急増確認→即売却</w:t>
            </w:r>
          </w:p>
        </w:tc>
      </w:tr>
    </w:tbl>
    <w:p/>
    <w:p>
      <w:r>
        <w:rPr>
          <w:rFonts w:ascii="Meiryo UI" w:hAnsi="Meiryo UI"/>
          <w:sz w:val="20"/>
        </w:rPr>
        <w:t>最悪複合（リスク①Hormuz解消+②1662型）：確率15%×25%=3.75%</w:t>
      </w:r>
    </w:p>
    <w:p>
      <w:r>
        <w:rPr>
          <w:rFonts w:ascii="Meiryo UI" w:hAnsi="Meiryo UI"/>
          <w:sz w:val="20"/>
        </w:rPr>
        <w:t>→ FV ¥1,700〜2,100。現ポジション1.5%設定の根拠がこの想定最大損失。</w:t>
      </w:r>
    </w:p>
    <w:p/>
    <w:p>
      <w:r>
        <w:t>──────────────────────────────────────────────────</w:t>
      </w:r>
    </w:p>
    <w:p/>
    <w:p>
      <w:pPr>
        <w:pStyle w:val="Heading2"/>
      </w:pPr>
      <w:r>
        <w:rPr>
          <w:rFonts w:ascii="Meiryo UI" w:hAnsi="Meiryo UI"/>
          <w:color w:val="2E74B5"/>
        </w:rPr>
        <w:t>9. Q-1（FY3/26 Q3）定性変化分析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変化点</w:t>
            </w:r>
          </w:p>
        </w:tc>
        <w:tc>
          <w:tcPr>
            <w:tcW w:type="dxa" w:w="3135"/>
            <w:shd w:val="clear" w:color="auto" w:fill="2E74B5"/>
          </w:tcPr>
          <w:p>
            <w:r>
              <w:rPr>
                <w:rFonts w:ascii="Meiryo UI" w:hAnsi="Meiryo UI"/>
                <w:b/>
                <w:color w:val="FFFFFF"/>
                <w:sz w:val="18"/>
              </w:rPr>
              <w:t>Q2比較</w:t>
            </w:r>
          </w:p>
        </w:tc>
        <w:tc>
          <w:tcPr>
            <w:tcW w:type="dxa" w:w="3135"/>
            <w:shd w:val="clear" w:color="auto" w:fill="2E74B5"/>
          </w:tcPr>
          <w:p>
            <w:r>
              <w:rPr>
                <w:rFonts w:ascii="Meiryo UI" w:hAnsi="Meiryo UI"/>
                <w:b/>
                <w:color w:val="FFFFFF"/>
                <w:sz w:val="18"/>
              </w:rPr>
              <w:t>1662型フィルターでの読み替え</w:t>
            </w:r>
          </w:p>
        </w:tc>
      </w:tr>
      <w:tr>
        <w:tc>
          <w:tcPr>
            <w:tcW w:type="dxa" w:w="3135"/>
          </w:tcPr>
          <w:p>
            <w:r>
              <w:rPr>
                <w:rFonts w:ascii="Meiryo UI" w:hAnsi="Meiryo UI"/>
                <w:sz w:val="18"/>
              </w:rPr>
              <w:t>探鉱費用が急増（Q3開示）</w:t>
            </w:r>
          </w:p>
        </w:tc>
        <w:tc>
          <w:tcPr>
            <w:tcW w:type="dxa" w:w="3135"/>
          </w:tcPr>
          <w:p>
            <w:r>
              <w:rPr>
                <w:rFonts w:ascii="Meiryo UI" w:hAnsi="Meiryo UI"/>
                <w:sz w:val="18"/>
              </w:rPr>
              <w:t>悪化</w:t>
            </w:r>
          </w:p>
        </w:tc>
        <w:tc>
          <w:tcPr>
            <w:tcW w:type="dxa" w:w="3135"/>
          </w:tcPr>
          <w:p>
            <w:r>
              <w:rPr>
                <w:rFonts w:ascii="Meiryo UI" w:hAnsi="Meiryo UI"/>
                <w:sz w:val="18"/>
              </w:rPr>
              <w:t>1662型の先行サイン。要注意。 具体的な超過額を5月決算で確認必須</w:t>
            </w:r>
          </w:p>
        </w:tc>
      </w:tr>
      <w:tr>
        <w:tc>
          <w:tcPr>
            <w:tcW w:type="dxa" w:w="3135"/>
            <w:shd w:val="clear" w:color="auto" w:fill="DDEBF7"/>
          </w:tcPr>
          <w:p>
            <w:r>
              <w:rPr>
                <w:rFonts w:ascii="Meiryo UI" w:hAnsi="Meiryo UI"/>
                <w:sz w:val="18"/>
              </w:rPr>
              <w:t>Ichthys生産量：計画比低め</w:t>
            </w:r>
          </w:p>
        </w:tc>
        <w:tc>
          <w:tcPr>
            <w:tcW w:type="dxa" w:w="3135"/>
            <w:shd w:val="clear" w:color="auto" w:fill="DDEBF7"/>
          </w:tcPr>
          <w:p>
            <w:r>
              <w:rPr>
                <w:rFonts w:ascii="Meiryo UI" w:hAnsi="Meiryo UI"/>
                <w:sz w:val="18"/>
              </w:rPr>
              <w:t>悪化</w:t>
            </w:r>
          </w:p>
        </w:tc>
        <w:tc>
          <w:tcPr>
            <w:tcW w:type="dxa" w:w="3135"/>
            <w:shd w:val="clear" w:color="auto" w:fill="DDEBF7"/>
          </w:tcPr>
          <w:p>
            <w:r>
              <w:rPr>
                <w:rFonts w:ascii="Meiryo UI" w:hAnsi="Meiryo UI"/>
                <w:sz w:val="18"/>
              </w:rPr>
              <w:t>「FY26はシャットダウンメンテなし」（大和1/7）。低め継続なら能力問題が顕在化</w:t>
            </w:r>
          </w:p>
        </w:tc>
      </w:tr>
      <w:tr>
        <w:tc>
          <w:tcPr>
            <w:tcW w:type="dxa" w:w="3135"/>
          </w:tcPr>
          <w:p>
            <w:r>
              <w:rPr>
                <w:rFonts w:ascii="Meiryo UI" w:hAnsi="Meiryo UI"/>
                <w:sz w:val="18"/>
              </w:rPr>
              <w:t>中東投資配分見直し（4/9 日経）</w:t>
            </w:r>
          </w:p>
        </w:tc>
        <w:tc>
          <w:tcPr>
            <w:tcW w:type="dxa" w:w="3135"/>
          </w:tcPr>
          <w:p>
            <w:r>
              <w:rPr>
                <w:rFonts w:ascii="Meiryo UI" w:hAnsi="Meiryo UI"/>
                <w:sz w:val="18"/>
              </w:rPr>
              <w:t>方針変化</w:t>
            </w:r>
          </w:p>
        </w:tc>
        <w:tc>
          <w:tcPr>
            <w:tcW w:type="dxa" w:w="3135"/>
          </w:tcPr>
          <w:p>
            <w:r>
              <w:rPr>
                <w:rFonts w:ascii="Meiryo UI" w:hAnsi="Meiryo UI"/>
                <w:sz w:val="18"/>
              </w:rPr>
              <w:t>Abu Dhabi依存低下→長期的にUAEリスク減。ただし代替（SE Asia）のAbadi遅延リスクに転換</w:t>
            </w:r>
          </w:p>
        </w:tc>
      </w:tr>
      <w:tr>
        <w:tc>
          <w:tcPr>
            <w:tcW w:type="dxa" w:w="3135"/>
            <w:shd w:val="clear" w:color="auto" w:fill="DDEBF7"/>
          </w:tcPr>
          <w:p>
            <w:r>
              <w:rPr>
                <w:rFonts w:ascii="Meiryo UI" w:hAnsi="Meiryo UI"/>
                <w:sz w:val="18"/>
              </w:rPr>
              <w:t>MOL LNG長期用船契約（4/17）</w:t>
            </w:r>
          </w:p>
        </w:tc>
        <w:tc>
          <w:tcPr>
            <w:tcW w:type="dxa" w:w="3135"/>
            <w:shd w:val="clear" w:color="auto" w:fill="DDEBF7"/>
          </w:tcPr>
          <w:p>
            <w:r>
              <w:rPr>
                <w:rFonts w:ascii="Meiryo UI" w:hAnsi="Meiryo UI"/>
                <w:sz w:val="18"/>
              </w:rPr>
              <w:t>新規ポジ</w:t>
            </w:r>
          </w:p>
        </w:tc>
        <w:tc>
          <w:tcPr>
            <w:tcW w:type="dxa" w:w="3135"/>
            <w:shd w:val="clear" w:color="auto" w:fill="DDEBF7"/>
          </w:tcPr>
          <w:p>
            <w:r>
              <w:rPr>
                <w:rFonts w:ascii="Meiryo UI" w:hAnsi="Meiryo UI"/>
                <w:sz w:val="18"/>
              </w:rPr>
              <w:t>Ichthys収益の長期visibility確保。1662型のコスト増を一部吸収</w:t>
            </w:r>
          </w:p>
        </w:tc>
      </w:tr>
      <w:tr>
        <w:tc>
          <w:tcPr>
            <w:tcW w:type="dxa" w:w="3135"/>
          </w:tcPr>
          <w:p>
            <w:r>
              <w:rPr>
                <w:rFonts w:ascii="Meiryo UI" w:hAnsi="Meiryo UI"/>
                <w:sz w:val="18"/>
              </w:rPr>
              <w:t>DPS ¥108（+8% YoY）</w:t>
            </w:r>
          </w:p>
        </w:tc>
        <w:tc>
          <w:tcPr>
            <w:tcW w:type="dxa" w:w="3135"/>
          </w:tcPr>
          <w:p>
            <w:r>
              <w:rPr>
                <w:rFonts w:ascii="Meiryo UI" w:hAnsi="Meiryo UI"/>
                <w:sz w:val="18"/>
              </w:rPr>
              <w:t>増配ポジ</w:t>
            </w:r>
          </w:p>
        </w:tc>
        <w:tc>
          <w:tcPr>
            <w:tcW w:type="dxa" w:w="3135"/>
          </w:tcPr>
          <w:p>
            <w:r>
              <w:rPr>
                <w:rFonts w:ascii="Meiryo UI" w:hAnsi="Meiryo UI"/>
                <w:sz w:val="18"/>
              </w:rPr>
              <w:t>会社が自信を持っている証拠。ただしFCFギリギリ水準（¥136B）での増配持続可能性に注意</w:t>
            </w:r>
          </w:p>
        </w:tc>
      </w:tr>
    </w:tbl>
    <w:p/>
    <w:p>
      <w:r>
        <w:t>──────────────────────────────────────────────────</w:t>
      </w:r>
    </w:p>
    <w:p/>
    <w:p>
      <w:pPr>
        <w:pStyle w:val="Heading2"/>
      </w:pPr>
      <w:r>
        <w:rPr>
          <w:rFonts w:ascii="Meiryo UI" w:hAnsi="Meiryo UI"/>
          <w:color w:val="2E74B5"/>
        </w:rPr>
        <w:t>10. ガイダンス考察（批判的再読）</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会社ガイダンス</w:t>
            </w:r>
          </w:p>
        </w:tc>
        <w:tc>
          <w:tcPr>
            <w:tcW w:type="dxa" w:w="2351"/>
            <w:shd w:val="clear" w:color="auto" w:fill="2E74B5"/>
          </w:tcPr>
          <w:p>
            <w:r>
              <w:rPr>
                <w:rFonts w:ascii="Meiryo UI" w:hAnsi="Meiryo UI"/>
                <w:b/>
                <w:color w:val="FFFFFF"/>
                <w:sz w:val="18"/>
              </w:rPr>
              <w:t>Consensus</w:t>
            </w:r>
          </w:p>
        </w:tc>
        <w:tc>
          <w:tcPr>
            <w:tcW w:type="dxa" w:w="2351"/>
            <w:shd w:val="clear" w:color="auto" w:fill="2E74B5"/>
          </w:tcPr>
          <w:p>
            <w:r>
              <w:rPr>
                <w:rFonts w:ascii="Meiryo UI" w:hAnsi="Meiryo UI"/>
                <w:b/>
                <w:color w:val="FFFFFF"/>
                <w:sz w:val="18"/>
              </w:rPr>
              <w:t>1662型フィルター後評価</w:t>
            </w:r>
          </w:p>
        </w:tc>
      </w:tr>
      <w:tr>
        <w:tc>
          <w:tcPr>
            <w:tcW w:type="dxa" w:w="2351"/>
          </w:tcPr>
          <w:p>
            <w:r>
              <w:rPr>
                <w:rFonts w:ascii="Meiryo UI" w:hAnsi="Meiryo UI"/>
                <w:sz w:val="18"/>
              </w:rPr>
              <w:t>NP</w:t>
            </w:r>
          </w:p>
        </w:tc>
        <w:tc>
          <w:tcPr>
            <w:tcW w:type="dxa" w:w="2351"/>
          </w:tcPr>
          <w:p>
            <w:r>
              <w:rPr>
                <w:rFonts w:ascii="Meiryo UI" w:hAnsi="Meiryo UI"/>
                <w:sz w:val="18"/>
              </w:rPr>
              <w:t>¥330B（$63想定）</w:t>
            </w:r>
          </w:p>
        </w:tc>
        <w:tc>
          <w:tcPr>
            <w:tcW w:type="dxa" w:w="2351"/>
          </w:tcPr>
          <w:p>
            <w:r>
              <w:rPr>
                <w:rFonts w:ascii="Meiryo UI" w:hAnsi="Meiryo UI"/>
                <w:sz w:val="18"/>
              </w:rPr>
              <w:t>¥440.6B</w:t>
            </w:r>
          </w:p>
        </w:tc>
        <w:tc>
          <w:tcPr>
            <w:tcW w:type="dxa" w:w="2351"/>
          </w:tcPr>
          <w:p>
            <w:r>
              <w:rPr>
                <w:rFonts w:ascii="Meiryo UI" w:hAnsi="Meiryo UI"/>
                <w:sz w:val="18"/>
              </w:rPr>
              <w:t>上方修正はあるが、1662型コスト増で¥380〜450Bに留まる可能性（¥500B超にはなりにくい）</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¥262（推計）</w:t>
            </w:r>
          </w:p>
        </w:tc>
        <w:tc>
          <w:tcPr>
            <w:tcW w:type="dxa" w:w="2351"/>
            <w:shd w:val="clear" w:color="auto" w:fill="DDEBF7"/>
          </w:tcPr>
          <w:p>
            <w:r>
              <w:rPr>
                <w:rFonts w:ascii="Meiryo UI" w:hAnsi="Meiryo UI"/>
                <w:sz w:val="18"/>
              </w:rPr>
              <w:t>¥381.14</w:t>
            </w:r>
          </w:p>
        </w:tc>
        <w:tc>
          <w:tcPr>
            <w:tcW w:type="dxa" w:w="2351"/>
            <w:shd w:val="clear" w:color="auto" w:fill="DDEBF7"/>
          </w:tcPr>
          <w:p>
            <w:r>
              <w:rPr>
                <w:rFonts w:ascii="Meiryo UI" w:hAnsi="Meiryo UI"/>
                <w:sz w:val="18"/>
              </w:rPr>
              <w:t>¥301〜357（1662ライト後）</w:t>
            </w:r>
          </w:p>
        </w:tc>
      </w:tr>
      <w:tr>
        <w:tc>
          <w:tcPr>
            <w:tcW w:type="dxa" w:w="2351"/>
          </w:tcPr>
          <w:p>
            <w:r>
              <w:rPr>
                <w:rFonts w:ascii="Meiryo UI" w:hAnsi="Meiryo UI"/>
                <w:sz w:val="18"/>
              </w:rPr>
              <w:t>Brent想定</w:t>
            </w:r>
          </w:p>
        </w:tc>
        <w:tc>
          <w:tcPr>
            <w:tcW w:type="dxa" w:w="2351"/>
          </w:tcPr>
          <w:p>
            <w:r>
              <w:rPr>
                <w:rFonts w:ascii="Meiryo UI" w:hAnsi="Meiryo UI"/>
                <w:sz w:val="18"/>
              </w:rPr>
              <w:t>$63</w:t>
            </w:r>
          </w:p>
        </w:tc>
        <w:tc>
          <w:tcPr>
            <w:tcW w:type="dxa" w:w="2351"/>
          </w:tcPr>
          <w:p>
            <w:r>
              <w:rPr>
                <w:rFonts w:ascii="Meiryo UI" w:hAnsi="Meiryo UI"/>
                <w:sz w:val="18"/>
              </w:rPr>
              <w:t>~$85〜90</w:t>
            </w:r>
          </w:p>
        </w:tc>
        <w:tc>
          <w:tcPr>
            <w:tcW w:type="dxa" w:w="2351"/>
          </w:tcPr>
          <w:p>
            <w:r>
              <w:rPr>
                <w:rFonts w:ascii="Meiryo UI" w:hAnsi="Meiryo UI"/>
                <w:sz w:val="18"/>
              </w:rPr>
              <w:t>現実$98〜102。だがPRRT等で利益転換効率は低い</w:t>
            </w:r>
          </w:p>
        </w:tc>
      </w:tr>
      <w:tr>
        <w:tc>
          <w:tcPr>
            <w:tcW w:type="dxa" w:w="2351"/>
            <w:shd w:val="clear" w:color="auto" w:fill="DDEBF7"/>
          </w:tcPr>
          <w:p>
            <w:r>
              <w:rPr>
                <w:rFonts w:ascii="Meiryo UI" w:hAnsi="Meiryo UI"/>
                <w:sz w:val="18"/>
              </w:rPr>
              <w:t>DPS</w:t>
            </w:r>
          </w:p>
        </w:tc>
        <w:tc>
          <w:tcPr>
            <w:tcW w:type="dxa" w:w="2351"/>
            <w:shd w:val="clear" w:color="auto" w:fill="DDEBF7"/>
          </w:tcPr>
          <w:p>
            <w:r>
              <w:rPr>
                <w:rFonts w:ascii="Meiryo UI" w:hAnsi="Meiryo UI"/>
                <w:sz w:val="18"/>
              </w:rPr>
              <w:t>¥108</w:t>
            </w:r>
          </w:p>
        </w:tc>
        <w:tc>
          <w:tcPr>
            <w:tcW w:type="dxa" w:w="2351"/>
            <w:shd w:val="clear" w:color="auto" w:fill="DDEBF7"/>
          </w:tcPr>
          <w:p>
            <w:r>
              <w:rPr>
                <w:rFonts w:ascii="Meiryo UI" w:hAnsi="Meiryo UI"/>
                <w:sz w:val="18"/>
              </w:rPr>
              <w:t>¥110.25</w:t>
            </w:r>
          </w:p>
        </w:tc>
        <w:tc>
          <w:tcPr>
            <w:tcW w:type="dxa" w:w="2351"/>
            <w:shd w:val="clear" w:color="auto" w:fill="DDEBF7"/>
          </w:tcPr>
          <w:p>
            <w:r>
              <w:rPr>
                <w:rFonts w:ascii="Meiryo UI" w:hAnsi="Meiryo UI"/>
                <w:sz w:val="18"/>
              </w:rPr>
              <w:t>持続可能。ただし超過利益の還元はFY27以降</w:t>
            </w:r>
          </w:p>
        </w:tc>
      </w:tr>
    </w:tbl>
    <w:p/>
    <w:p>
      <w:r>
        <w:rPr>
          <w:rFonts w:ascii="Meiryo UI" w:hAnsi="Meiryo UI"/>
          <w:sz w:val="20"/>
        </w:rPr>
        <w:t>FY27期待（正直な推計）：</w:t>
      </w:r>
    </w:p>
    <w:p>
      <w:pPr>
        <w:pStyle w:val="ListBullet"/>
      </w:pPr>
      <w:r>
        <w:rPr>
          <w:rFonts w:ascii="Meiryo UI" w:hAnsi="Meiryo UI"/>
          <w:sz w:val="20"/>
        </w:rPr>
        <w:t>Hormuz継続ならNP ¥480〜520B（PB500途上）</w:t>
      </w:r>
    </w:p>
    <w:p>
      <w:pPr>
        <w:pStyle w:val="ListBullet"/>
      </w:pPr>
      <w:r>
        <w:rPr>
          <w:rFonts w:ascii="Meiryo UI" w:hAnsi="Meiryo UI"/>
          <w:sz w:val="20"/>
        </w:rPr>
        <w:t>Hormuz解消ならNP ¥350〜400B（¥75〜80 Brent想定）</w:t>
      </w:r>
    </w:p>
    <w:p>
      <w:pPr>
        <w:pStyle w:val="ListBullet"/>
      </w:pPr>
      <w:r>
        <w:rPr>
          <w:rFonts w:ascii="Meiryo UI" w:hAnsi="Meiryo UI"/>
          <w:sz w:val="20"/>
        </w:rPr>
        <w:t>1662型フル発動ならNP ¥280〜350B（PB500程遠い）</w:t>
      </w:r>
    </w:p>
    <w:p/>
    <w:p>
      <w:r>
        <w:t>──────────────────────────────────────────────────</w:t>
      </w:r>
    </w:p>
    <w:p/>
    <w:p>
      <w:pPr>
        <w:pStyle w:val="Heading2"/>
      </w:pPr>
      <w:r>
        <w:rPr>
          <w:rFonts w:ascii="Meiryo UI" w:hAnsi="Meiryo UI"/>
          <w:color w:val="2E74B5"/>
        </w:rPr>
        <w:t>11. アナリスト consensus</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機関</w:t>
            </w:r>
          </w:p>
        </w:tc>
        <w:tc>
          <w:tcPr>
            <w:tcW w:type="dxa" w:w="1881"/>
            <w:shd w:val="clear" w:color="auto" w:fill="2E74B5"/>
          </w:tcPr>
          <w:p>
            <w:r>
              <w:rPr>
                <w:rFonts w:ascii="Meiryo UI" w:hAnsi="Meiryo UI"/>
                <w:b/>
                <w:color w:val="FFFFFF"/>
                <w:sz w:val="18"/>
              </w:rPr>
              <w:t>評価</w:t>
            </w:r>
          </w:p>
        </w:tc>
        <w:tc>
          <w:tcPr>
            <w:tcW w:type="dxa" w:w="1881"/>
            <w:shd w:val="clear" w:color="auto" w:fill="2E74B5"/>
          </w:tcPr>
          <w:p>
            <w:r>
              <w:rPr>
                <w:rFonts w:ascii="Meiryo UI" w:hAnsi="Meiryo UI"/>
                <w:b/>
                <w:color w:val="FFFFFF"/>
                <w:sz w:val="18"/>
              </w:rPr>
              <w:t>TP</w:t>
            </w:r>
          </w:p>
        </w:tc>
        <w:tc>
          <w:tcPr>
            <w:tcW w:type="dxa" w:w="1881"/>
            <w:shd w:val="clear" w:color="auto" w:fill="2E74B5"/>
          </w:tcPr>
          <w:p>
            <w:r>
              <w:rPr>
                <w:rFonts w:ascii="Meiryo UI" w:hAnsi="Meiryo UI"/>
                <w:b/>
                <w:color w:val="FFFFFF"/>
                <w:sz w:val="18"/>
              </w:rPr>
              <w:t>日付</w:t>
            </w:r>
          </w:p>
        </w:tc>
        <w:tc>
          <w:tcPr>
            <w:tcW w:type="dxa" w:w="1881"/>
            <w:shd w:val="clear" w:color="auto" w:fill="2E74B5"/>
          </w:tcPr>
          <w:p>
            <w:r>
              <w:rPr>
                <w:rFonts w:ascii="Meiryo UI" w:hAnsi="Meiryo UI"/>
                <w:b/>
                <w:color w:val="FFFFFF"/>
                <w:sz w:val="18"/>
              </w:rPr>
              <w:t>1662型感度</w:t>
            </w:r>
          </w:p>
        </w:tc>
      </w:tr>
      <w:tr>
        <w:tc>
          <w:tcPr>
            <w:tcW w:type="dxa" w:w="1881"/>
          </w:tcPr>
          <w:p>
            <w:r>
              <w:rPr>
                <w:rFonts w:ascii="Meiryo UI" w:hAnsi="Meiryo UI"/>
                <w:sz w:val="18"/>
              </w:rPr>
              <w:t>みずほ証券</w:t>
            </w:r>
          </w:p>
        </w:tc>
        <w:tc>
          <w:tcPr>
            <w:tcW w:type="dxa" w:w="1881"/>
          </w:tcPr>
          <w:p>
            <w:r>
              <w:rPr>
                <w:rFonts w:ascii="Meiryo UI" w:hAnsi="Meiryo UI"/>
                <w:sz w:val="18"/>
              </w:rPr>
              <w:t>Buy</w:t>
            </w:r>
          </w:p>
        </w:tc>
        <w:tc>
          <w:tcPr>
            <w:tcW w:type="dxa" w:w="1881"/>
          </w:tcPr>
          <w:p>
            <w:r>
              <w:rPr>
                <w:rFonts w:ascii="Meiryo UI" w:hAnsi="Meiryo UI"/>
                <w:sz w:val="18"/>
              </w:rPr>
              <w:t>¥4,800</w:t>
            </w:r>
          </w:p>
        </w:tc>
        <w:tc>
          <w:tcPr>
            <w:tcW w:type="dxa" w:w="1881"/>
          </w:tcPr>
          <w:p>
            <w:r>
              <w:rPr>
                <w:rFonts w:ascii="Meiryo UI" w:hAnsi="Meiryo UI"/>
                <w:sz w:val="18"/>
              </w:rPr>
              <w:t>4/15</w:t>
            </w:r>
          </w:p>
        </w:tc>
        <w:tc>
          <w:tcPr>
            <w:tcW w:type="dxa" w:w="1881"/>
          </w:tcPr>
          <w:p>
            <w:r>
              <w:rPr>
                <w:rFonts w:ascii="Meiryo UI" w:hAnsi="Meiryo UI"/>
                <w:sz w:val="18"/>
              </w:rPr>
              <w:t>高Brent継続前提。1662型未織り込み</w:t>
            </w:r>
          </w:p>
        </w:tc>
      </w:tr>
      <w:tr>
        <w:tc>
          <w:tcPr>
            <w:tcW w:type="dxa" w:w="1881"/>
            <w:shd w:val="clear" w:color="auto" w:fill="DDEBF7"/>
          </w:tcPr>
          <w:p>
            <w:r>
              <w:rPr>
                <w:rFonts w:ascii="Meiryo UI" w:hAnsi="Meiryo UI"/>
                <w:sz w:val="18"/>
              </w:rPr>
              <w:t>SMBC日興</w:t>
            </w:r>
          </w:p>
        </w:tc>
        <w:tc>
          <w:tcPr>
            <w:tcW w:type="dxa" w:w="1881"/>
            <w:shd w:val="clear" w:color="auto" w:fill="DDEBF7"/>
          </w:tcPr>
          <w:p>
            <w:r>
              <w:rPr>
                <w:rFonts w:ascii="Meiryo UI" w:hAnsi="Meiryo UI"/>
                <w:sz w:val="18"/>
              </w:rPr>
              <w:t>Neutral</w:t>
            </w:r>
          </w:p>
        </w:tc>
        <w:tc>
          <w:tcPr>
            <w:tcW w:type="dxa" w:w="1881"/>
            <w:shd w:val="clear" w:color="auto" w:fill="DDEBF7"/>
          </w:tcPr>
          <w:p>
            <w:r>
              <w:rPr>
                <w:rFonts w:ascii="Meiryo UI" w:hAnsi="Meiryo UI"/>
                <w:sz w:val="18"/>
              </w:rPr>
              <w:t>¥4,000</w:t>
            </w:r>
          </w:p>
        </w:tc>
        <w:tc>
          <w:tcPr>
            <w:tcW w:type="dxa" w:w="1881"/>
            <w:shd w:val="clear" w:color="auto" w:fill="DDEBF7"/>
          </w:tcPr>
          <w:p>
            <w:r>
              <w:rPr>
                <w:rFonts w:ascii="Meiryo UI" w:hAnsi="Meiryo UI"/>
                <w:sz w:val="18"/>
              </w:rPr>
              <w:t>3/13</w:t>
            </w:r>
          </w:p>
        </w:tc>
        <w:tc>
          <w:tcPr>
            <w:tcW w:type="dxa" w:w="1881"/>
            <w:shd w:val="clear" w:color="auto" w:fill="DDEBF7"/>
          </w:tcPr>
          <w:p>
            <w:r>
              <w:rPr>
                <w:rFonts w:ascii="Meiryo UI" w:hAnsi="Meiryo UI"/>
                <w:sz w:val="18"/>
              </w:rPr>
              <w:t>Bull ¥7,700/Bear ¥2,200。分布の広さが本質的不確実性を示す</w:t>
            </w:r>
          </w:p>
        </w:tc>
      </w:tr>
      <w:tr>
        <w:tc>
          <w:tcPr>
            <w:tcW w:type="dxa" w:w="1881"/>
          </w:tcPr>
          <w:p>
            <w:r>
              <w:rPr>
                <w:rFonts w:ascii="Meiryo UI" w:hAnsi="Meiryo UI"/>
                <w:sz w:val="18"/>
              </w:rPr>
              <w:t>大和証券</w:t>
            </w:r>
          </w:p>
        </w:tc>
        <w:tc>
          <w:tcPr>
            <w:tcW w:type="dxa" w:w="1881"/>
          </w:tcPr>
          <w:p>
            <w:r>
              <w:rPr>
                <w:rFonts w:ascii="Meiryo UI" w:hAnsi="Meiryo UI"/>
                <w:sz w:val="18"/>
              </w:rPr>
              <w:t>Neutral</w:t>
            </w:r>
          </w:p>
        </w:tc>
        <w:tc>
          <w:tcPr>
            <w:tcW w:type="dxa" w:w="1881"/>
          </w:tcPr>
          <w:p>
            <w:r>
              <w:rPr>
                <w:rFonts w:ascii="Meiryo UI" w:hAnsi="Meiryo UI"/>
                <w:sz w:val="18"/>
              </w:rPr>
              <w:t>¥2,880</w:t>
            </w:r>
          </w:p>
        </w:tc>
        <w:tc>
          <w:tcPr>
            <w:tcW w:type="dxa" w:w="1881"/>
          </w:tcPr>
          <w:p>
            <w:r>
              <w:rPr>
                <w:rFonts w:ascii="Meiryo UI" w:hAnsi="Meiryo UI"/>
                <w:sz w:val="18"/>
              </w:rPr>
              <w:t>1/7</w:t>
            </w:r>
          </w:p>
        </w:tc>
        <w:tc>
          <w:tcPr>
            <w:tcW w:type="dxa" w:w="1881"/>
          </w:tcPr>
          <w:p>
            <w:r>
              <w:rPr>
                <w:rFonts w:ascii="Meiryo UI" w:hAnsi="Meiryo UI"/>
                <w:sz w:val="18"/>
              </w:rPr>
              <w:t>最も保守的。シャットダウン年外れの改善だけを評価</w:t>
            </w:r>
          </w:p>
        </w:tc>
      </w:tr>
    </w:tbl>
    <w:p/>
    <w:p>
      <w:r>
        <w:t>──────────────────────────────────────────────────</w:t>
      </w:r>
    </w:p>
    <w:p/>
    <w:p>
      <w:pPr>
        <w:pStyle w:val="Heading2"/>
      </w:pPr>
      <w:r>
        <w:rPr>
          <w:rFonts w:ascii="Meiryo UI" w:hAnsi="Meiryo UI"/>
          <w:color w:val="2E74B5"/>
        </w:rPr>
        <w:t>12. 投資アクションプラン（修正版）</w:t>
      </w:r>
    </w:p>
    <w:p/>
    <w:p>
      <w:r>
        <w:rPr>
          <w:rFonts w:ascii="Meiryo UI" w:hAnsi="Meiryo UI"/>
          <w:sz w:val="20"/>
        </w:rPr>
        <w:t>メインシナリオ（Hormuz Bull・1662型軽度）:</w:t>
      </w:r>
    </w:p>
    <w:p>
      <w:r>
        <w:rPr>
          <w:rFonts w:ascii="Meiryo UI" w:hAnsi="Meiryo UI"/>
          <w:sz w:val="20"/>
        </w:rPr>
        <w:t>エントリー：¥3,600〜3,700（確率加重FV¥4,155に対して+12〜15%のMoS確保が必要）</w:t>
      </w:r>
    </w:p>
    <w:p>
      <w:r>
        <w:rPr>
          <w:rFonts w:ascii="Meiryo UI" w:hAnsi="Meiryo UI"/>
          <w:sz w:val="20"/>
        </w:rPr>
        <w:t>目標：¥4,500（修正TP、6M）</w:t>
      </w:r>
    </w:p>
    <w:p>
      <w:r>
        <w:rPr>
          <w:rFonts w:ascii="Meiryo UI" w:hAnsi="Meiryo UI"/>
          <w:sz w:val="20"/>
        </w:rPr>
        <w:t>SL：¥3,100（Hormuz合意OR 1662型確認→即売却）</w:t>
      </w:r>
    </w:p>
    <w:p>
      <w:r>
        <w:rPr>
          <w:rFonts w:ascii="Meiryo UI" w:hAnsi="Meiryo UI"/>
          <w:sz w:val="20"/>
        </w:rPr>
        <w:t>最大ポジション：1.5%（初版2.0%から削減。1662型最悪ケース¥1,700を考慮）</w:t>
      </w:r>
    </w:p>
    <w:p/>
    <w:p>
      <w:r>
        <w:rPr>
          <w:rFonts w:ascii="Meiryo UI" w:hAnsi="Meiryo UI"/>
          <w:sz w:val="20"/>
        </w:rPr>
        <w:t>強制追加条件（この2点が揃った場合のみ2.0%まで引上げ可）:</w:t>
      </w:r>
    </w:p>
    <w:p>
      <w:pPr>
        <w:pStyle w:val="ListBullet"/>
      </w:pPr>
      <w:r>
        <w:rPr>
          <w:rFonts w:ascii="Meiryo UI" w:hAnsi="Meiryo UI"/>
          <w:sz w:val="20"/>
        </w:rPr>
        <w:t>5月決算で探鉱費が前年比+¥30B以下（1662型非発動確認）</w:t>
      </w:r>
    </w:p>
    <w:p>
      <w:pPr>
        <w:pStyle w:val="ListBullet"/>
      </w:pPr>
      <w:r>
        <w:rPr>
          <w:rFonts w:ascii="Meiryo UI" w:hAnsi="Meiryo UI"/>
          <w:sz w:val="20"/>
        </w:rPr>
        <w:t>Ichthys生産量が稼働計画95%以上（操業安定確認）</w:t>
      </w:r>
    </w:p>
    <w:p/>
    <w:p>
      <w:r>
        <w:rPr>
          <w:rFonts w:ascii="Meiryo UI" w:hAnsi="Meiryo UI"/>
          <w:sz w:val="20"/>
        </w:rPr>
        <w:t>利確ルール:</w:t>
      </w:r>
    </w:p>
    <w:p>
      <w:pPr>
        <w:pStyle w:val="ListBullet"/>
      </w:pPr>
      <w:r>
        <w:rPr>
          <w:rFonts w:ascii="Meiryo UI" w:hAnsi="Meiryo UI"/>
          <w:sz w:val="20"/>
        </w:rPr>
        <w:t>¥4,500達成 → 50%利確</w:t>
      </w:r>
    </w:p>
    <w:p>
      <w:pPr>
        <w:pStyle w:val="ListBullet"/>
      </w:pPr>
      <w:r>
        <w:rPr>
          <w:rFonts w:ascii="Meiryo UI" w:hAnsi="Meiryo UI"/>
          <w:sz w:val="20"/>
        </w:rPr>
        <w:t>Hormuz合意 → 全量即日売却（SL¥3,100方向へ急落前提）</w:t>
      </w:r>
    </w:p>
    <w:p>
      <w:pPr>
        <w:pStyle w:val="ListBullet"/>
      </w:pPr>
      <w:r>
        <w:rPr>
          <w:rFonts w:ascii="Meiryo UI" w:hAnsi="Meiryo UI"/>
          <w:sz w:val="20"/>
        </w:rPr>
        <w:t>四半期決算で探鉱費¥100B超・Ichthys停止報告 → 50%削減、SL¥3,100に引き下げ</w:t>
      </w:r>
    </w:p>
    <w:p/>
    <w:p>
      <w:r>
        <w:t>──────────────────────────────────────────────────</w:t>
      </w:r>
    </w:p>
    <w:p/>
    <w:p>
      <w:pPr>
        <w:pStyle w:val="Heading2"/>
      </w:pPr>
      <w:r>
        <w:rPr>
          <w:rFonts w:ascii="Meiryo UI" w:hAnsi="Meiryo UI"/>
          <w:color w:val="2E74B5"/>
        </w:rPr>
        <w:t>13. 結論（修正版）</w:t>
      </w:r>
    </w:p>
    <w:p/>
    <w:p>
      <w:r>
        <w:rPr>
          <w:rFonts w:ascii="Meiryo UI" w:hAnsi="Meiryo UI"/>
          <w:sz w:val="20"/>
        </w:rPr>
        <w:t>BUY（¥3,600〜3,700での買い）。STRONG BUYではない。</w:t>
      </w:r>
    </w:p>
    <w:p/>
    <w:p>
      <w:r>
        <w:rPr>
          <w:rFonts w:ascii="Meiryo UI" w:hAnsi="Meiryo UI"/>
          <w:sz w:val="20"/>
        </w:rPr>
        <w:t>正直な現状認識：</w:t>
      </w:r>
    </w:p>
    <w:p>
      <w:pPr>
        <w:pStyle w:val="ListNumber"/>
      </w:pPr>
      <w:r>
        <w:rPr>
          <w:rFonts w:ascii="Meiryo UI" w:hAnsi="Meiryo UI"/>
          <w:sz w:val="20"/>
        </w:rPr>
        <w:t>現値¥3,843は確率加重FV¥4,155に対して+8.1%の上値しかない</w:t>
      </w:r>
    </w:p>
    <w:p>
      <w:pPr>
        <w:pStyle w:val="ListNumber"/>
      </w:pPr>
      <w:r>
        <w:rPr>
          <w:rFonts w:ascii="Meiryo UI" w:hAnsi="Meiryo UI"/>
          <w:sz w:val="20"/>
        </w:rPr>
        <w:t>Brent $75正常化時にはFV ¥3,352（現値より▲12.8%）</w:t>
      </w:r>
    </w:p>
    <w:p>
      <w:pPr>
        <w:pStyle w:val="ListNumber"/>
      </w:pPr>
      <w:r>
        <w:rPr>
          <w:rFonts w:ascii="Meiryo UI" w:hAnsi="Meiryo UI"/>
          <w:sz w:val="20"/>
        </w:rPr>
        <w:t>「P/B 0.94x = 割安」はBrent $80超の持続が条件</w:t>
      </w:r>
    </w:p>
    <w:p>
      <w:pPr>
        <w:pStyle w:val="ListNumber"/>
      </w:pPr>
      <w:r>
        <w:rPr>
          <w:rFonts w:ascii="Meiryo UI" w:hAnsi="Meiryo UI"/>
          <w:sz w:val="20"/>
        </w:rPr>
        <w:t>1662型コスト漏出が25%確率で存在し、Brent $100でもNP ¥380B留まりが起き得る</w:t>
      </w:r>
    </w:p>
    <w:p>
      <w:pPr>
        <w:pStyle w:val="ListNumber"/>
      </w:pPr>
      <w:r>
        <w:rPr>
          <w:rFonts w:ascii="Meiryo UI" w:hAnsi="Meiryo UI"/>
          <w:sz w:val="20"/>
        </w:rPr>
        <w:t>初版は楽観的すぎた。EPS感応度を¥11.55/$ → ¥5.0/$に修正</w:t>
      </w:r>
    </w:p>
    <w:p/>
    <w:p>
      <w:r>
        <w:rPr>
          <w:rFonts w:ascii="Meiryo UI" w:hAnsi="Meiryo UI"/>
          <w:sz w:val="20"/>
        </w:rPr>
        <w:t>それでもBUYである理由：</w:t>
      </w:r>
    </w:p>
    <w:p>
      <w:pPr>
        <w:pStyle w:val="ListBullet"/>
      </w:pPr>
      <w:r>
        <w:rPr>
          <w:rFonts w:ascii="Meiryo UI" w:hAnsi="Meiryo UI"/>
          <w:sz w:val="20"/>
        </w:rPr>
        <w:t>ホルムズ再封鎖（4/18）は短期的に上振れを確実にする</w:t>
      </w:r>
    </w:p>
    <w:p>
      <w:pPr>
        <w:pStyle w:val="ListBullet"/>
      </w:pPr>
      <w:r>
        <w:rPr>
          <w:rFonts w:ascii="Meiryo UI" w:hAnsi="Meiryo UI"/>
          <w:sz w:val="20"/>
        </w:rPr>
        <w:t>5月決算で何らかの上方修正は出る（ガイダンスが$63過ぎるため）</w:t>
      </w:r>
    </w:p>
    <w:p>
      <w:pPr>
        <w:pStyle w:val="ListBullet"/>
      </w:pPr>
      <w:r>
        <w:rPr>
          <w:rFonts w:ascii="Meiryo UI" w:hAnsi="Meiryo UI"/>
          <w:sz w:val="20"/>
        </w:rPr>
        <w:t>¥3,600〜3,700まで引き付けてエントリーすれば、最悪（JAPEX型）でもFV¥3,352と▲7%以内</w:t>
      </w:r>
    </w:p>
    <w:p>
      <w:pPr>
        <w:pStyle w:val="ListBullet"/>
      </w:pPr>
      <w:r>
        <w:rPr>
          <w:rFonts w:ascii="Meiryo UI" w:hAnsi="Meiryo UI"/>
          <w:sz w:val="20"/>
        </w:rPr>
        <w:t>浅井スコア+98〜100の水準は市場フロー面でも支持</w:t>
      </w:r>
    </w:p>
    <w:p/>
    <w:p>
      <w:r>
        <w:rPr>
          <w:rFonts w:ascii="Meiryo UI" w:hAnsi="Meiryo UI"/>
          <w:sz w:val="20"/>
        </w:rPr>
        <w:t>Risk/Reward（修正後）：¥3,700エントリー時 上値+21.6% vs 下値▲16.2% = 比率1.33倍（初版1.5倍から低下）</w:t>
      </w:r>
    </w:p>
    <w:p/>
    <w:p>
      <w:r>
        <w:t>──────────────────────────────────────────────────</w:t>
      </w:r>
    </w:p>
    <w:p/>
    <w:p>
      <w:pPr>
        <w:pStyle w:val="Heading2"/>
      </w:pPr>
      <w:r>
        <w:rPr>
          <w:rFonts w:ascii="Meiryo UI" w:hAnsi="Meiryo UI"/>
          <w:color w:val="2E74B5"/>
        </w:rPr>
        <w:t>■ IR質問状【改訂版：資本効率・1662型リスクに切り込む】</w:t>
      </w:r>
    </w:p>
    <w:p/>
    <w:p>
      <w:r>
        <w:rPr>
          <w:rFonts w:ascii="Meiryo UI" w:hAnsi="Meiryo UI"/>
          <w:sz w:val="20"/>
        </w:rPr>
        <w:t>宛先：ir@inpex.co.jp</w:t>
      </w:r>
    </w:p>
    <w:p>
      <w:r>
        <w:rPr>
          <w:rFonts w:ascii="Meiryo UI" w:hAnsi="Meiryo UI"/>
          <w:sz w:val="20"/>
        </w:rPr>
        <w:t>件名：【竹村トレードカンパニー】1605 INPEX 投資家質問状（改訂版・2026年4月20日）</w:t>
      </w:r>
    </w:p>
    <w:p/>
    <w:p>
      <w:r>
        <w:rPr>
          <w:rFonts w:ascii="Meiryo UI" w:hAnsi="Meiryo UI"/>
          <w:sz w:val="20"/>
        </w:rPr>
        <w:t>インペックス株式会社 IR部門 ご担当者様</w:t>
      </w:r>
    </w:p>
    <w:p/>
    <w:p>
      <w:r>
        <w:rPr>
          <w:rFonts w:ascii="Meiryo UI" w:hAnsi="Meiryo UI"/>
          <w:sz w:val="20"/>
        </w:rPr>
        <w:t>竹村トレードカンパニーの竹村と申します。</w:t>
      </w:r>
    </w:p>
    <w:p>
      <w:r>
        <w:rPr>
          <w:rFonts w:ascii="Meiryo UI" w:hAnsi="Meiryo UI"/>
          <w:sz w:val="20"/>
        </w:rPr>
        <w:t>以下5点につきご教示いただけますでしょうか。</w:t>
      </w:r>
    </w:p>
    <w:p/>
    <w:p>
      <w:r>
        <w:rPr>
          <w:rFonts w:ascii="Meiryo UI" w:hAnsi="Meiryo UI"/>
          <w:sz w:val="20"/>
        </w:rPr>
        <w:t>【質問1：油価高騰がNPに直結しない構造の説明を求めます】</w:t>
      </w:r>
    </w:p>
    <w:p>
      <w:r>
        <w:rPr>
          <w:rFonts w:ascii="Meiryo UI" w:hAnsi="Meiryo UI"/>
          <w:sz w:val="20"/>
        </w:rPr>
        <w:t>Brent $63→$85の間（+$22）で純利益はガイダンス¥330B→consensus¥440B（+¥110B）にとどまります。算術的感応度（¥5B/$）が想定より大幅に低い原因として豪州PRRT（超過利潤税）の累進税率・ロイヤルティ変動・探鉱費増があると推察します。</w:t>
      </w:r>
    </w:p>
    <w:p>
      <w:r>
        <w:rPr>
          <w:rFonts w:ascii="Meiryo UI" w:hAnsi="Meiryo UI"/>
          <w:sz w:val="20"/>
        </w:rPr>
        <w:t>①各要因の実際の負担額（FY26ガイダンスベース）、②Brent $100時のPRRT追加負担見込み額、③油価が利益に直結しにくい構造の会社側説明をお聞かせください。</w:t>
      </w:r>
    </w:p>
    <w:p/>
    <w:p>
      <w:r>
        <w:rPr>
          <w:rFonts w:ascii="Meiryo UI" w:hAnsi="Meiryo UI"/>
          <w:sz w:val="20"/>
        </w:rPr>
        <w:t>【質問2：探鉱費の「計画超過」リスク管理体制について】</w:t>
      </w:r>
    </w:p>
    <w:p>
      <w:r>
        <w:rPr>
          <w:rFonts w:ascii="Meiryo UI" w:hAnsi="Meiryo UI"/>
          <w:sz w:val="20"/>
        </w:rPr>
        <w:t>Q3決算で「探鉱費の急増」が開示されています（出所19）。石油資源開発（1662）が探鉱失敗・コストオーバーランで業績を大きく毀損した経緯を踏まえ、①FY26探鉱費の計画額と現状の超過額、②新規鉱区の成功率目標とガバナンス体制、③大型探鉱失敗時の損失処理ルール（何年以内に減損判断か）をお教えください。</w:t>
      </w:r>
    </w:p>
    <w:p/>
    <w:p>
      <w:r>
        <w:rPr>
          <w:rFonts w:ascii="Meiryo UI" w:hAnsi="Meiryo UI"/>
          <w:sz w:val="20"/>
        </w:rPr>
        <w:t>【質問3：Ichthys維持CAPEXと「真の」フリーCF開示を求めます】</w:t>
      </w:r>
    </w:p>
    <w:p>
      <w:r>
        <w:rPr>
          <w:rFonts w:ascii="Meiryo UI" w:hAnsi="Meiryo UI"/>
          <w:sz w:val="20"/>
        </w:rPr>
        <w:t>Ichthys LNGは建設費$45B超の巨大資産です。この資産の年間「維持CAPEX」（減耗補填・設備更新に必要な最低限支出）と、成長CAPEX（探鉱・Abadi）を分けた開示は行っていますか。投資家としてFCF（維持CAPEX控除後）の水準を把握したいと考えています。具体的な開示または概算をご提供ください。</w:t>
      </w:r>
    </w:p>
    <w:p/>
    <w:p>
      <w:r>
        <w:rPr>
          <w:rFonts w:ascii="Meiryo UI" w:hAnsi="Meiryo UI"/>
          <w:sz w:val="20"/>
        </w:rPr>
        <w:t>【質問4：ROE 8.2%の「構造的上限」はどこにあるか】</w:t>
      </w:r>
    </w:p>
    <w:p>
      <w:r>
        <w:rPr>
          <w:rFonts w:ascii="Meiryo UI" w:hAnsi="Meiryo UI"/>
          <w:sz w:val="20"/>
        </w:rPr>
        <w:t>PB500は利益¥500B超を目標としますが、仮に達成してもROEは~10%程度（Ke 7.4%との差+2.6%pt）に過ぎません。Abadi LNG（数兆円の将来投資）が連結資産に加わるとBPS膨張でROEがさらに抑制されます。この「ROEの上限」に対する経営陣の認識と、新規投資のハードルレート（IRR目標・ROIC目標）をお聞かせください。</w:t>
      </w:r>
    </w:p>
    <w:p/>
    <w:p>
      <w:r>
        <w:rPr>
          <w:rFonts w:ascii="Meiryo UI" w:hAnsi="Meiryo UI"/>
          <w:sz w:val="20"/>
        </w:rPr>
        <w:t>【質問5：ホルムズ封鎖下のAbu Dhabi権益と投資配分の見直し内容】</w:t>
      </w:r>
    </w:p>
    <w:p>
      <w:r>
        <w:rPr>
          <w:rFonts w:ascii="Meiryo UI" w:hAnsi="Meiryo UI"/>
          <w:sz w:val="20"/>
        </w:rPr>
        <w:t>4月9日付日経で「中東投資配分見直し・東南アジアシフト」が報道されました。現在のAbu Dhabi生産量への具体的影響と、今後の中東新規投資の凍結・縮小方針の内容をご教示ください。東南アジア（Abadi等）へのシフトにより、UAE権益からの撤退や持分売却を検討しているか否かも含めてお答えいただければ幸いです。</w:t>
      </w:r>
    </w:p>
    <w:p/>
    <w:p>
      <w:r>
        <w:rPr>
          <w:rFonts w:ascii="Meiryo UI" w:hAnsi="Meiryo UI"/>
          <w:sz w:val="20"/>
        </w:rPr>
        <w:t>何卒よろしくお願い申し上げます。</w:t>
      </w:r>
    </w:p>
    <w:p/>
    <w:p>
      <w:r>
        <w:rPr>
          <w:rFonts w:ascii="Meiryo UI" w:hAnsi="Meiryo UI"/>
          <w:sz w:val="20"/>
        </w:rPr>
        <w:t>竹村トレードカンパニー</w:t>
      </w:r>
    </w:p>
    <w:p>
      <w:r>
        <w:rPr>
          <w:rFonts w:ascii="Meiryo UI" w:hAnsi="Meiryo UI"/>
          <w:sz w:val="20"/>
        </w:rPr>
        <w:t>竹村 拝</w:t>
      </w:r>
    </w:p>
    <w:p/>
    <w:p>
      <w:r>
        <w:t>──────────────────────────────────────────────────</w:t>
      </w:r>
    </w:p>
    <w:p/>
    <w:p>
      <w:r>
        <w:rPr>
          <w:rFonts w:ascii="Meiryo UI" w:hAnsi="Meiryo UI"/>
          <w:sz w:val="20"/>
        </w:rPr>
        <w:t>本レポートは初版（STRONG BUY・¥4,800）を首席軍師指令に基づき全面改訂。1662型リスク・CF漏出・バリュートラップ可能性を定量織り込み。投資判断：BUY（¥3,600〜3,700エントリー）に格下げ。Rf=2.394%（Bloomberg指定値）。データ整合性プロトコル適用済み。</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