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[1793] 大本組【低PBR×高自己資本比率×建設】</w:t>
      </w:r>
    </w:p>
    <w:p/>
    <w:p/>
    <w:p>
      <w:pPr>
        <w:jc w:val="center"/>
      </w:pPr>
      <w:r>
        <w:rPr>
          <w:rFonts w:ascii="Meiryo UI" w:hAnsi="Meiryo UI"/>
          <w:sz w:val="24"/>
        </w:rPr>
        <w:t>アナリスト：深井</w:t>
      </w:r>
    </w:p>
    <w:p>
      <w:pPr>
        <w:jc w:val="center"/>
      </w:pPr>
      <w:r>
        <w:rPr>
          <w:rFonts w:ascii="Meiryo UI" w:hAnsi="Meiryo UI"/>
          <w:sz w:val="24"/>
        </w:rPr>
        <w:t>分析日：2026-04-06</w:t>
      </w:r>
    </w:p>
    <w:p>
      <w:r>
        <w:br w:type="page"/>
      </w:r>
    </w:p>
    <w:p>
      <w:pPr>
        <w:pStyle w:val="Heading1"/>
      </w:pPr>
      <w:r>
        <w:rPr>
          <w:rFonts w:ascii="Meiryo UI" w:hAnsi="Meiryo UI"/>
          <w:color w:val="1F3864"/>
        </w:rPr>
        <w:t>深井 DeepResearchレポート — [1793] 大本組【低PBR×高自己資本比率×建設】</w:t>
      </w:r>
    </w:p>
    <w:p>
      <w:r>
        <w:rPr>
          <w:rFonts w:ascii="Meiryo UI" w:hAnsi="Meiryo UI"/>
          <w:sz w:val="20"/>
        </w:rPr>
        <w:t>作成日: 2026-04-06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大本組（1793.T）DeepResearch レポート</w:t>
      </w:r>
    </w:p>
    <w:p/>
    <w:p>
      <w:r>
        <w:rPr>
          <w:rFonts w:ascii="Meiryo UI" w:hAnsi="Meiryo UI"/>
          <w:sz w:val="20"/>
        </w:rPr>
        <w:t>竹村トレードカンパニー / アナリスト：深井</w:t>
      </w:r>
    </w:p>
    <w:p>
      <w:r>
        <w:rPr>
          <w:rFonts w:ascii="Meiryo UI" w:hAnsi="Meiryo UI"/>
          <w:sz w:val="20"/>
        </w:rPr>
        <w:t>分析日：2026年4月6日 / レポート種別：社長指示優先度2 / 機密：社内限り</w:t>
      </w:r>
    </w:p>
    <w:p/>
    <w:p>
      <w:r>
        <w:t>──────────────────────────────────────────────────</w:t>
      </w:r>
    </w:p>
    <w:p/>
    <w:p>
      <w:r>
        <w:rPr>
          <w:rFonts w:ascii="Meiryo UI" w:hAnsi="Meiryo UI"/>
          <w:sz w:val="20"/>
        </w:rPr>
        <w:t>&gt; 【データ確認】</w:t>
      </w:r>
    </w:p>
    <w:p>
      <w:r>
        <w:rPr>
          <w:rFonts w:ascii="Meiryo UI" w:hAnsi="Meiryo UI"/>
          <w:sz w:val="20"/>
        </w:rPr>
        <w:t>&gt; 現在株価：¥1,665（2026-04-06 11:11 JST / Yahoo Finance）</w:t>
      </w:r>
    </w:p>
    <w:p>
      <w:r>
        <w:rPr>
          <w:rFonts w:ascii="Meiryo UI" w:hAnsi="Meiryo UI"/>
          <w:sz w:val="20"/>
        </w:rPr>
        <w:t>&gt; BPS：¥1,405 / PBR：1.19倍 / ROE：3.3% / EPS：¥50 / PER：33.6倍</w:t>
      </w:r>
    </w:p>
    <w:p>
      <w:r>
        <w:rPr>
          <w:rFonts w:ascii="Meiryo UI" w:hAnsi="Meiryo UI"/>
          <w:sz w:val="20"/>
        </w:rPr>
        <w:t>&gt; Rf：2.380%（JGB10Y / 社長確認値）</w:t>
      </w:r>
    </w:p>
    <w:p>
      <w:r>
        <w:rPr>
          <w:rFonts w:ascii="Meiryo UI" w:hAnsi="Meiryo UI"/>
          <w:sz w:val="20"/>
        </w:rPr>
        <w:t>&gt; ⚠️ 上記リアルタイム取得値を唯一の正解として使用。学習データの上書き禁止。</w:t>
      </w:r>
    </w:p>
    <w:p/>
    <w:p>
      <w:r>
        <w:t>──────────────────────────────────────────────────</w:t>
      </w:r>
    </w:p>
    <w:p/>
    <w:p>
      <w:pPr>
        <w:pStyle w:val="Heading2"/>
      </w:pPr>
      <w:r>
        <w:rPr>
          <w:rFonts w:ascii="Meiryo UI" w:hAnsi="Meiryo UI"/>
          <w:color w:val="2E74B5"/>
        </w:rPr>
        <w:t>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中立（NEUTRAL）</w:t>
            </w:r>
          </w:p>
        </w:tc>
      </w:tr>
      <w:tr>
        <w:tc>
          <w:tcPr>
            <w:tcW w:type="dxa" w:w="4703"/>
            <w:shd w:val="clear" w:color="auto" w:fill="DDEBF7"/>
          </w:tcPr>
          <w:p>
            <w:r>
              <w:rPr>
                <w:rFonts w:ascii="Meiryo UI" w:hAnsi="Meiryo UI"/>
                <w:sz w:val="18"/>
              </w:rPr>
              <w:t>現在株価</w:t>
            </w:r>
          </w:p>
        </w:tc>
        <w:tc>
          <w:tcPr>
            <w:tcW w:type="dxa" w:w="4703"/>
            <w:shd w:val="clear" w:color="auto" w:fill="DDEBF7"/>
          </w:tcPr>
          <w:p>
            <w:r>
              <w:rPr>
                <w:rFonts w:ascii="Meiryo UI" w:hAnsi="Meiryo UI"/>
                <w:sz w:val="18"/>
              </w:rPr>
              <w:t>¥1,665</w:t>
            </w:r>
          </w:p>
        </w:tc>
      </w:tr>
      <w:tr>
        <w:tc>
          <w:tcPr>
            <w:tcW w:type="dxa" w:w="4703"/>
          </w:tcPr>
          <w:p>
            <w:r>
              <w:rPr>
                <w:rFonts w:ascii="Meiryo UI" w:hAnsi="Meiryo UI"/>
                <w:sz w:val="18"/>
              </w:rPr>
              <w:t>DCF理論株価（ベースケース）</w:t>
            </w:r>
          </w:p>
        </w:tc>
        <w:tc>
          <w:tcPr>
            <w:tcW w:type="dxa" w:w="4703"/>
          </w:tcPr>
          <w:p>
            <w:r>
              <w:rPr>
                <w:rFonts w:ascii="Meiryo UI" w:hAnsi="Meiryo UI"/>
                <w:sz w:val="18"/>
              </w:rPr>
              <w:t>¥1,450〜¥1,650</w:t>
            </w:r>
          </w:p>
        </w:tc>
      </w:tr>
      <w:tr>
        <w:tc>
          <w:tcPr>
            <w:tcW w:type="dxa" w:w="4703"/>
            <w:shd w:val="clear" w:color="auto" w:fill="DDEBF7"/>
          </w:tcPr>
          <w:p>
            <w:r>
              <w:rPr>
                <w:rFonts w:ascii="Meiryo UI" w:hAnsi="Meiryo UI"/>
                <w:sz w:val="18"/>
              </w:rPr>
              <w:t>アップサイドシナリオ理論株価</w:t>
            </w:r>
          </w:p>
        </w:tc>
        <w:tc>
          <w:tcPr>
            <w:tcW w:type="dxa" w:w="4703"/>
            <w:shd w:val="clear" w:color="auto" w:fill="DDEBF7"/>
          </w:tcPr>
          <w:p>
            <w:r>
              <w:rPr>
                <w:rFonts w:ascii="Meiryo UI" w:hAnsi="Meiryo UI"/>
                <w:sz w:val="18"/>
              </w:rPr>
              <w:t>¥1,900〜¥2,100</w:t>
            </w:r>
          </w:p>
        </w:tc>
      </w:tr>
      <w:tr>
        <w:tc>
          <w:tcPr>
            <w:tcW w:type="dxa" w:w="4703"/>
          </w:tcPr>
          <w:p>
            <w:r>
              <w:rPr>
                <w:rFonts w:ascii="Meiryo UI" w:hAnsi="Meiryo UI"/>
                <w:sz w:val="18"/>
              </w:rPr>
              <w:t>ダウンサイドリスク</w:t>
            </w:r>
          </w:p>
        </w:tc>
        <w:tc>
          <w:tcPr>
            <w:tcW w:type="dxa" w:w="4703"/>
          </w:tcPr>
          <w:p>
            <w:r>
              <w:rPr>
                <w:rFonts w:ascii="Meiryo UI" w:hAnsi="Meiryo UI"/>
                <w:sz w:val="18"/>
              </w:rPr>
              <w:t>¥1,100〜¥1,200</w:t>
            </w:r>
          </w:p>
        </w:tc>
      </w:tr>
      <w:tr>
        <w:tc>
          <w:tcPr>
            <w:tcW w:type="dxa" w:w="4703"/>
            <w:shd w:val="clear" w:color="auto" w:fill="DDEBF7"/>
          </w:tcPr>
          <w:p>
            <w:r>
              <w:rPr>
                <w:rFonts w:ascii="Meiryo UI" w:hAnsi="Meiryo UI"/>
                <w:sz w:val="18"/>
              </w:rPr>
              <w:t>安全域（MoS）</w:t>
            </w:r>
          </w:p>
        </w:tc>
        <w:tc>
          <w:tcPr>
            <w:tcW w:type="dxa" w:w="4703"/>
            <w:shd w:val="clear" w:color="auto" w:fill="DDEBF7"/>
          </w:tcPr>
          <w:p>
            <w:r>
              <w:rPr>
                <w:rFonts w:ascii="Meiryo UI" w:hAnsi="Meiryo UI"/>
                <w:sz w:val="18"/>
              </w:rPr>
              <w:t>現在株価は理論株価の上限付近。バッファ薄い</w:t>
            </w:r>
          </w:p>
        </w:tc>
      </w:tr>
      <w:tr>
        <w:tc>
          <w:tcPr>
            <w:tcW w:type="dxa" w:w="4703"/>
          </w:tcPr>
          <w:p>
            <w:r>
              <w:rPr>
                <w:rFonts w:ascii="Meiryo UI" w:hAnsi="Meiryo UI"/>
                <w:sz w:val="18"/>
              </w:rPr>
              <w:t>最大の論点</w:t>
            </w:r>
          </w:p>
        </w:tc>
        <w:tc>
          <w:tcPr>
            <w:tcW w:type="dxa" w:w="4703"/>
          </w:tcPr>
          <w:p>
            <w:r>
              <w:rPr>
                <w:rFonts w:ascii="Meiryo UI" w:hAnsi="Meiryo UI"/>
                <w:sz w:val="18"/>
              </w:rPr>
              <w:t>ROE 3.3%の低収益体質 vs 高自己資本比率の資本効率ギャップ</w:t>
            </w:r>
          </w:p>
        </w:tc>
      </w:tr>
      <w:tr>
        <w:tc>
          <w:tcPr>
            <w:tcW w:type="dxa" w:w="4703"/>
            <w:shd w:val="clear" w:color="auto" w:fill="DDEBF7"/>
          </w:tcPr>
          <w:p>
            <w:r>
              <w:rPr>
                <w:rFonts w:ascii="Meiryo UI" w:hAnsi="Meiryo UI"/>
                <w:sz w:val="18"/>
              </w:rPr>
              <w:t>社長指示への回答</w:t>
            </w:r>
          </w:p>
        </w:tc>
        <w:tc>
          <w:tcPr>
            <w:tcW w:type="dxa" w:w="4703"/>
            <w:shd w:val="clear" w:color="auto" w:fill="DDEBF7"/>
          </w:tcPr>
          <w:p>
            <w:r>
              <w:rPr>
                <w:rFonts w:ascii="Meiryo UI" w:hAnsi="Meiryo UI"/>
                <w:sz w:val="18"/>
              </w:rPr>
              <w:t>本レポートSection 2で最優先詳述</w:t>
            </w:r>
          </w:p>
        </w:tc>
      </w:tr>
    </w:tbl>
    <w:p/>
    <w:p>
      <w:r>
        <w:rPr>
          <w:rFonts w:ascii="Meiryo UI" w:hAnsi="Meiryo UI"/>
          <w:sz w:val="20"/>
        </w:rPr>
        <w:t>深井コア見解： 大本組は"高自己資本・低収益"という典型的な中堅建設業の構造的課題を抱える。PBR 1.19倍は既にネットキャッシュ・自己資本の価値をほぼ織り込んでおり、ROE 3.3%の現状維持では株価上昇余地は限定的。経営改革（増配・自社株買い・収益性改善）の蓋然性が投資判断の分岐点であり、現時点では中立を維持する。</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企業プロフィール</w:t>
      </w:r>
    </w:p>
    <w:p/>
    <w:p>
      <w:r>
        <w:rPr>
          <w:rFonts w:ascii="Meiryo UI" w:hAnsi="Meiryo UI"/>
          <w:sz w:val="20"/>
        </w:rPr>
        <w:t>大本組（証券コード：1793）は岡山県に本社を置く中堅総合建設会社（ゼネコン）。1907年創業の歴史を持ち、主に西日本・中四国エリアを地盤とする。東証プライム市場上場。売上高は概ね600〜700億円規模の準大手ゾネコン。</w:t>
      </w:r>
    </w:p>
    <w:p/>
    <w:p>
      <w:pPr>
        <w:pStyle w:val="Heading3"/>
      </w:pPr>
      <w:r>
        <w:rPr>
          <w:rFonts w:ascii="Meiryo UI" w:hAnsi="Meiryo UI"/>
          <w:color w:val="2E74B5"/>
        </w:rPr>
        <w:t>1-2. セグメント・事業構成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セグメント</w:t>
            </w:r>
          </w:p>
        </w:tc>
        <w:tc>
          <w:tcPr>
            <w:tcW w:type="dxa" w:w="3135"/>
            <w:shd w:val="clear" w:color="auto" w:fill="2E74B5"/>
          </w:tcPr>
          <w:p>
            <w:r>
              <w:rPr>
                <w:rFonts w:ascii="Meiryo UI" w:hAnsi="Meiryo UI"/>
                <w:b/>
                <w:color w:val="FFFFFF"/>
                <w:sz w:val="18"/>
              </w:rPr>
              <w:t>概要</w:t>
            </w:r>
          </w:p>
        </w:tc>
        <w:tc>
          <w:tcPr>
            <w:tcW w:type="dxa" w:w="3135"/>
            <w:shd w:val="clear" w:color="auto" w:fill="2E74B5"/>
          </w:tcPr>
          <w:p>
            <w:r>
              <w:rPr>
                <w:rFonts w:ascii="Meiryo UI" w:hAnsi="Meiryo UI"/>
                <w:b/>
                <w:color w:val="FFFFFF"/>
                <w:sz w:val="18"/>
              </w:rPr>
              <w:t>推定売上比率</w:t>
            </w:r>
          </w:p>
        </w:tc>
      </w:tr>
      <w:tr>
        <w:tc>
          <w:tcPr>
            <w:tcW w:type="dxa" w:w="3135"/>
          </w:tcPr>
          <w:p>
            <w:r>
              <w:rPr>
                <w:rFonts w:ascii="Meiryo UI" w:hAnsi="Meiryo UI"/>
                <w:sz w:val="18"/>
              </w:rPr>
              <w:t>土木工事</w:t>
            </w:r>
          </w:p>
        </w:tc>
        <w:tc>
          <w:tcPr>
            <w:tcW w:type="dxa" w:w="3135"/>
          </w:tcPr>
          <w:p>
            <w:r>
              <w:rPr>
                <w:rFonts w:ascii="Meiryo UI" w:hAnsi="Meiryo UI"/>
                <w:sz w:val="18"/>
              </w:rPr>
              <w:t>インフラ・公共工事（道路・橋梁・ダム等）</w:t>
            </w:r>
          </w:p>
        </w:tc>
        <w:tc>
          <w:tcPr>
            <w:tcW w:type="dxa" w:w="3135"/>
          </w:tcPr>
          <w:p>
            <w:r>
              <w:rPr>
                <w:rFonts w:ascii="Meiryo UI" w:hAnsi="Meiryo UI"/>
                <w:sz w:val="18"/>
              </w:rPr>
              <w:t>約40〜45%</w:t>
            </w:r>
          </w:p>
        </w:tc>
      </w:tr>
      <w:tr>
        <w:tc>
          <w:tcPr>
            <w:tcW w:type="dxa" w:w="3135"/>
            <w:shd w:val="clear" w:color="auto" w:fill="DDEBF7"/>
          </w:tcPr>
          <w:p>
            <w:r>
              <w:rPr>
                <w:rFonts w:ascii="Meiryo UI" w:hAnsi="Meiryo UI"/>
                <w:sz w:val="18"/>
              </w:rPr>
              <w:t>建築工事</w:t>
            </w:r>
          </w:p>
        </w:tc>
        <w:tc>
          <w:tcPr>
            <w:tcW w:type="dxa" w:w="3135"/>
            <w:shd w:val="clear" w:color="auto" w:fill="DDEBF7"/>
          </w:tcPr>
          <w:p>
            <w:r>
              <w:rPr>
                <w:rFonts w:ascii="Meiryo UI" w:hAnsi="Meiryo UI"/>
                <w:sz w:val="18"/>
              </w:rPr>
              <w:t>民間建築・物流施設・医療・官公庁</w:t>
            </w:r>
          </w:p>
        </w:tc>
        <w:tc>
          <w:tcPr>
            <w:tcW w:type="dxa" w:w="3135"/>
            <w:shd w:val="clear" w:color="auto" w:fill="DDEBF7"/>
          </w:tcPr>
          <w:p>
            <w:r>
              <w:rPr>
                <w:rFonts w:ascii="Meiryo UI" w:hAnsi="Meiryo UI"/>
                <w:sz w:val="18"/>
              </w:rPr>
              <w:t>約45〜50%</w:t>
            </w:r>
          </w:p>
        </w:tc>
      </w:tr>
      <w:tr>
        <w:tc>
          <w:tcPr>
            <w:tcW w:type="dxa" w:w="3135"/>
          </w:tcPr>
          <w:p>
            <w:r>
              <w:rPr>
                <w:rFonts w:ascii="Meiryo UI" w:hAnsi="Meiryo UI"/>
                <w:sz w:val="18"/>
              </w:rPr>
              <w:t>その他</w:t>
            </w:r>
          </w:p>
        </w:tc>
        <w:tc>
          <w:tcPr>
            <w:tcW w:type="dxa" w:w="3135"/>
          </w:tcPr>
          <w:p>
            <w:r>
              <w:rPr>
                <w:rFonts w:ascii="Meiryo UI" w:hAnsi="Meiryo UI"/>
                <w:sz w:val="18"/>
              </w:rPr>
              <w:t>不動産・設備関連・子会社</w:t>
            </w:r>
          </w:p>
        </w:tc>
        <w:tc>
          <w:tcPr>
            <w:tcW w:type="dxa" w:w="3135"/>
          </w:tcPr>
          <w:p>
            <w:r>
              <w:rPr>
                <w:rFonts w:ascii="Meiryo UI" w:hAnsi="Meiryo UI"/>
                <w:sz w:val="18"/>
              </w:rPr>
              <w:t>約5〜10%</w:t>
            </w:r>
          </w:p>
        </w:tc>
      </w:tr>
    </w:tbl>
    <w:p/>
    <w:p>
      <w:r>
        <w:rPr>
          <w:rFonts w:ascii="Meiryo UI" w:hAnsi="Meiryo UI"/>
          <w:sz w:val="20"/>
        </w:rPr>
        <w:t>地盤の優位性： 岡山・広島・四国を中心とした西日本ネットワーク。地方自治体との長年の関係構築が受注基盤を支える。大手ゼネコンが入りにくい中規模・地方インフラ案件に強み。</w:t>
      </w:r>
    </w:p>
    <w:p/>
    <w:p>
      <w:pPr>
        <w:pStyle w:val="Heading3"/>
      </w:pPr>
      <w:r>
        <w:rPr>
          <w:rFonts w:ascii="Meiryo UI" w:hAnsi="Meiryo UI"/>
          <w:color w:val="2E74B5"/>
        </w:rPr>
        <w:t>1-3. 競合ポジショニング</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大本組</w:t>
            </w:r>
          </w:p>
        </w:tc>
        <w:tc>
          <w:tcPr>
            <w:tcW w:type="dxa" w:w="2351"/>
            <w:shd w:val="clear" w:color="auto" w:fill="2E74B5"/>
          </w:tcPr>
          <w:p>
            <w:r>
              <w:rPr>
                <w:rFonts w:ascii="Meiryo UI" w:hAnsi="Meiryo UI"/>
                <w:b/>
                <w:color w:val="FFFFFF"/>
                <w:sz w:val="18"/>
              </w:rPr>
              <w:t>中堅ゼネコン平均</w:t>
            </w:r>
          </w:p>
        </w:tc>
        <w:tc>
          <w:tcPr>
            <w:tcW w:type="dxa" w:w="2351"/>
            <w:shd w:val="clear" w:color="auto" w:fill="2E74B5"/>
          </w:tcPr>
          <w:p>
            <w:r>
              <w:rPr>
                <w:rFonts w:ascii="Meiryo UI" w:hAnsi="Meiryo UI"/>
                <w:b/>
                <w:color w:val="FFFFFF"/>
                <w:sz w:val="18"/>
              </w:rPr>
              <w:t>大手（大林組等）</w:t>
            </w:r>
          </w:p>
        </w:tc>
      </w:tr>
      <w:tr>
        <w:tc>
          <w:tcPr>
            <w:tcW w:type="dxa" w:w="2351"/>
          </w:tcPr>
          <w:p>
            <w:r>
              <w:rPr>
                <w:rFonts w:ascii="Meiryo UI" w:hAnsi="Meiryo UI"/>
                <w:sz w:val="18"/>
              </w:rPr>
              <w:t>ROE</w:t>
            </w:r>
          </w:p>
        </w:tc>
        <w:tc>
          <w:tcPr>
            <w:tcW w:type="dxa" w:w="2351"/>
          </w:tcPr>
          <w:p>
            <w:r>
              <w:rPr>
                <w:rFonts w:ascii="Meiryo UI" w:hAnsi="Meiryo UI"/>
                <w:sz w:val="18"/>
              </w:rPr>
              <w:t>3.3%</w:t>
            </w:r>
          </w:p>
        </w:tc>
        <w:tc>
          <w:tcPr>
            <w:tcW w:type="dxa" w:w="2351"/>
          </w:tcPr>
          <w:p>
            <w:r>
              <w:rPr>
                <w:rFonts w:ascii="Meiryo UI" w:hAnsi="Meiryo UI"/>
                <w:sz w:val="18"/>
              </w:rPr>
              <w:t>5〜8%</w:t>
            </w:r>
          </w:p>
        </w:tc>
        <w:tc>
          <w:tcPr>
            <w:tcW w:type="dxa" w:w="2351"/>
          </w:tcPr>
          <w:p>
            <w:r>
              <w:rPr>
                <w:rFonts w:ascii="Meiryo UI" w:hAnsi="Meiryo UI"/>
                <w:sz w:val="18"/>
              </w:rPr>
              <w:t>10〜15%</w:t>
            </w:r>
          </w:p>
        </w:tc>
      </w:tr>
      <w:tr>
        <w:tc>
          <w:tcPr>
            <w:tcW w:type="dxa" w:w="2351"/>
            <w:shd w:val="clear" w:color="auto" w:fill="DDEBF7"/>
          </w:tcPr>
          <w:p>
            <w:r>
              <w:rPr>
                <w:rFonts w:ascii="Meiryo UI" w:hAnsi="Meiryo UI"/>
                <w:sz w:val="18"/>
              </w:rPr>
              <w:t>PBR</w:t>
            </w:r>
          </w:p>
        </w:tc>
        <w:tc>
          <w:tcPr>
            <w:tcW w:type="dxa" w:w="2351"/>
            <w:shd w:val="clear" w:color="auto" w:fill="DDEBF7"/>
          </w:tcPr>
          <w:p>
            <w:r>
              <w:rPr>
                <w:rFonts w:ascii="Meiryo UI" w:hAnsi="Meiryo UI"/>
                <w:sz w:val="18"/>
              </w:rPr>
              <w:t>1.19倍</w:t>
            </w:r>
          </w:p>
        </w:tc>
        <w:tc>
          <w:tcPr>
            <w:tcW w:type="dxa" w:w="2351"/>
            <w:shd w:val="clear" w:color="auto" w:fill="DDEBF7"/>
          </w:tcPr>
          <w:p>
            <w:r>
              <w:rPr>
                <w:rFonts w:ascii="Meiryo UI" w:hAnsi="Meiryo UI"/>
                <w:sz w:val="18"/>
              </w:rPr>
              <w:t>0.8〜1.2倍</w:t>
            </w:r>
          </w:p>
        </w:tc>
        <w:tc>
          <w:tcPr>
            <w:tcW w:type="dxa" w:w="2351"/>
            <w:shd w:val="clear" w:color="auto" w:fill="DDEBF7"/>
          </w:tcPr>
          <w:p>
            <w:r>
              <w:rPr>
                <w:rFonts w:ascii="Meiryo UI" w:hAnsi="Meiryo UI"/>
                <w:sz w:val="18"/>
              </w:rPr>
              <w:t>1.5〜2.5倍</w:t>
            </w:r>
          </w:p>
        </w:tc>
      </w:tr>
      <w:tr>
        <w:tc>
          <w:tcPr>
            <w:tcW w:type="dxa" w:w="2351"/>
          </w:tcPr>
          <w:p>
            <w:r>
              <w:rPr>
                <w:rFonts w:ascii="Meiryo UI" w:hAnsi="Meiryo UI"/>
                <w:sz w:val="18"/>
              </w:rPr>
              <w:t>自己資本比率</w:t>
            </w:r>
          </w:p>
        </w:tc>
        <w:tc>
          <w:tcPr>
            <w:tcW w:type="dxa" w:w="2351"/>
          </w:tcPr>
          <w:p>
            <w:r>
              <w:rPr>
                <w:rFonts w:ascii="Meiryo UI" w:hAnsi="Meiryo UI"/>
                <w:sz w:val="18"/>
              </w:rPr>
              <w:t>推定40〜50%超</w:t>
            </w:r>
          </w:p>
        </w:tc>
        <w:tc>
          <w:tcPr>
            <w:tcW w:type="dxa" w:w="2351"/>
          </w:tcPr>
          <w:p>
            <w:r>
              <w:rPr>
                <w:rFonts w:ascii="Meiryo UI" w:hAnsi="Meiryo UI"/>
                <w:sz w:val="18"/>
              </w:rPr>
              <w:t>25〜35%</w:t>
            </w:r>
          </w:p>
        </w:tc>
        <w:tc>
          <w:tcPr>
            <w:tcW w:type="dxa" w:w="2351"/>
          </w:tcPr>
          <w:p>
            <w:r>
              <w:rPr>
                <w:rFonts w:ascii="Meiryo UI" w:hAnsi="Meiryo UI"/>
                <w:sz w:val="18"/>
              </w:rPr>
              <w:t>30〜40%</w:t>
            </w:r>
          </w:p>
        </w:tc>
      </w:tr>
      <w:tr>
        <w:tc>
          <w:tcPr>
            <w:tcW w:type="dxa" w:w="2351"/>
            <w:shd w:val="clear" w:color="auto" w:fill="DDEBF7"/>
          </w:tcPr>
          <w:p>
            <w:r>
              <w:rPr>
                <w:rFonts w:ascii="Meiryo UI" w:hAnsi="Meiryo UI"/>
                <w:sz w:val="18"/>
              </w:rPr>
              <w:t>営業利益率</w:t>
            </w:r>
          </w:p>
        </w:tc>
        <w:tc>
          <w:tcPr>
            <w:tcW w:type="dxa" w:w="2351"/>
            <w:shd w:val="clear" w:color="auto" w:fill="DDEBF7"/>
          </w:tcPr>
          <w:p>
            <w:r>
              <w:rPr>
                <w:rFonts w:ascii="Meiryo UI" w:hAnsi="Meiryo UI"/>
                <w:sz w:val="18"/>
              </w:rPr>
              <w:t>推定3〜5%</w:t>
            </w:r>
          </w:p>
        </w:tc>
        <w:tc>
          <w:tcPr>
            <w:tcW w:type="dxa" w:w="2351"/>
            <w:shd w:val="clear" w:color="auto" w:fill="DDEBF7"/>
          </w:tcPr>
          <w:p>
            <w:r>
              <w:rPr>
                <w:rFonts w:ascii="Meiryo UI" w:hAnsi="Meiryo UI"/>
                <w:sz w:val="18"/>
              </w:rPr>
              <w:t>3〜6%</w:t>
            </w:r>
          </w:p>
        </w:tc>
        <w:tc>
          <w:tcPr>
            <w:tcW w:type="dxa" w:w="2351"/>
            <w:shd w:val="clear" w:color="auto" w:fill="DDEBF7"/>
          </w:tcPr>
          <w:p>
            <w:r>
              <w:rPr>
                <w:rFonts w:ascii="Meiryo UI" w:hAnsi="Meiryo UI"/>
                <w:sz w:val="18"/>
              </w:rPr>
              <w:t>5〜8%</w:t>
            </w:r>
          </w:p>
        </w:tc>
      </w:tr>
    </w:tbl>
    <w:p/>
    <w:p>
      <w:r>
        <w:rPr>
          <w:rFonts w:ascii="Meiryo UI" w:hAnsi="Meiryo UI"/>
          <w:sz w:val="20"/>
        </w:rPr>
        <w:t>競合優位性の評価：</w:t>
      </w:r>
    </w:p>
    <w:p>
      <w:pPr>
        <w:pStyle w:val="ListBullet"/>
      </w:pPr>
      <w:r>
        <w:rPr>
          <w:rFonts w:ascii="Meiryo UI" w:hAnsi="Meiryo UI"/>
          <w:sz w:val="20"/>
        </w:rPr>
        <w:t>✅ 西日本インフラ受注ネットワーク（地域密着型の競合参入障壁）</w:t>
      </w:r>
    </w:p>
    <w:p>
      <w:pPr>
        <w:pStyle w:val="ListBullet"/>
      </w:pPr>
      <w:r>
        <w:rPr>
          <w:rFonts w:ascii="Meiryo UI" w:hAnsi="Meiryo UI"/>
          <w:sz w:val="20"/>
        </w:rPr>
        <w:t>✅ 財務健全性（高自己資本比率・低借入依存）</w:t>
      </w:r>
    </w:p>
    <w:p>
      <w:pPr>
        <w:pStyle w:val="ListBullet"/>
      </w:pPr>
      <w:r>
        <w:rPr>
          <w:rFonts w:ascii="Meiryo UI" w:hAnsi="Meiryo UI"/>
          <w:sz w:val="20"/>
        </w:rPr>
        <w:t>❌ 収益性は業界中位以下（ROE・営業利益率の低さ）</w:t>
      </w:r>
    </w:p>
    <w:p>
      <w:pPr>
        <w:pStyle w:val="ListBullet"/>
      </w:pPr>
      <w:r>
        <w:rPr>
          <w:rFonts w:ascii="Meiryo UI" w:hAnsi="Meiryo UI"/>
          <w:sz w:val="20"/>
        </w:rPr>
        <w:t>❌ 規模の小ささによる価格交渉力の限界</w:t>
      </w:r>
    </w:p>
    <w:p/>
    <w:p>
      <w:pPr>
        <w:pStyle w:val="Heading3"/>
      </w:pPr>
      <w:r>
        <w:rPr>
          <w:rFonts w:ascii="Meiryo UI" w:hAnsi="Meiryo UI"/>
          <w:color w:val="2E74B5"/>
        </w:rPr>
        <w:t>1-4. 直近カタリスト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方向性</w:t>
            </w:r>
          </w:p>
        </w:tc>
        <w:tc>
          <w:tcPr>
            <w:tcW w:type="dxa" w:w="3135"/>
            <w:shd w:val="clear" w:color="auto" w:fill="2E74B5"/>
          </w:tcPr>
          <w:p>
            <w:r>
              <w:rPr>
                <w:rFonts w:ascii="Meiryo UI" w:hAnsi="Meiryo UI"/>
                <w:b/>
                <w:color w:val="FFFFFF"/>
                <w:sz w:val="18"/>
              </w:rPr>
              <w:t>タイムライン</w:t>
            </w:r>
          </w:p>
        </w:tc>
      </w:tr>
      <w:tr>
        <w:tc>
          <w:tcPr>
            <w:tcW w:type="dxa" w:w="3135"/>
          </w:tcPr>
          <w:p>
            <w:r>
              <w:rPr>
                <w:rFonts w:ascii="Meiryo UI" w:hAnsi="Meiryo UI"/>
                <w:sz w:val="18"/>
              </w:rPr>
              <w:t>防衛関連インフラ投資加速（基地・施設整備）</w:t>
            </w:r>
          </w:p>
        </w:tc>
        <w:tc>
          <w:tcPr>
            <w:tcW w:type="dxa" w:w="3135"/>
          </w:tcPr>
          <w:p>
            <w:r>
              <w:rPr>
                <w:rFonts w:ascii="Meiryo UI" w:hAnsi="Meiryo UI"/>
                <w:sz w:val="18"/>
              </w:rPr>
              <w:t>ポジティブ</w:t>
            </w:r>
          </w:p>
        </w:tc>
        <w:tc>
          <w:tcPr>
            <w:tcW w:type="dxa" w:w="3135"/>
          </w:tcPr>
          <w:p>
            <w:r>
              <w:rPr>
                <w:rFonts w:ascii="Meiryo UI" w:hAnsi="Meiryo UI"/>
                <w:sz w:val="18"/>
              </w:rPr>
              <w:t>2025〜2028年</w:t>
            </w:r>
          </w:p>
        </w:tc>
      </w:tr>
      <w:tr>
        <w:tc>
          <w:tcPr>
            <w:tcW w:type="dxa" w:w="3135"/>
            <w:shd w:val="clear" w:color="auto" w:fill="DDEBF7"/>
          </w:tcPr>
          <w:p>
            <w:r>
              <w:rPr>
                <w:rFonts w:ascii="Meiryo UI" w:hAnsi="Meiryo UI"/>
                <w:sz w:val="18"/>
              </w:rPr>
              <w:t>国土強靱化計画（道路・河川・橋梁）</w:t>
            </w:r>
          </w:p>
        </w:tc>
        <w:tc>
          <w:tcPr>
            <w:tcW w:type="dxa" w:w="3135"/>
            <w:shd w:val="clear" w:color="auto" w:fill="DDEBF7"/>
          </w:tcPr>
          <w:p>
            <w:r>
              <w:rPr>
                <w:rFonts w:ascii="Meiryo UI" w:hAnsi="Meiryo UI"/>
                <w:sz w:val="18"/>
              </w:rPr>
              <w:t>ポジティブ</w:t>
            </w:r>
          </w:p>
        </w:tc>
        <w:tc>
          <w:tcPr>
            <w:tcW w:type="dxa" w:w="3135"/>
            <w:shd w:val="clear" w:color="auto" w:fill="DDEBF7"/>
          </w:tcPr>
          <w:p>
            <w:r>
              <w:rPr>
                <w:rFonts w:ascii="Meiryo UI" w:hAnsi="Meiryo UI"/>
                <w:sz w:val="18"/>
              </w:rPr>
              <w:t>継続的</w:t>
            </w:r>
          </w:p>
        </w:tc>
      </w:tr>
      <w:tr>
        <w:tc>
          <w:tcPr>
            <w:tcW w:type="dxa" w:w="3135"/>
          </w:tcPr>
          <w:p>
            <w:r>
              <w:rPr>
                <w:rFonts w:ascii="Meiryo UI" w:hAnsi="Meiryo UI"/>
                <w:sz w:val="18"/>
              </w:rPr>
              <w:t>南海トラフ対策・防災インフラ</w:t>
            </w:r>
          </w:p>
        </w:tc>
        <w:tc>
          <w:tcPr>
            <w:tcW w:type="dxa" w:w="3135"/>
          </w:tcPr>
          <w:p>
            <w:r>
              <w:rPr>
                <w:rFonts w:ascii="Meiryo UI" w:hAnsi="Meiryo UI"/>
                <w:sz w:val="18"/>
              </w:rPr>
              <w:t>ポジティブ</w:t>
            </w:r>
          </w:p>
        </w:tc>
        <w:tc>
          <w:tcPr>
            <w:tcW w:type="dxa" w:w="3135"/>
          </w:tcPr>
          <w:p>
            <w:r>
              <w:rPr>
                <w:rFonts w:ascii="Meiryo UI" w:hAnsi="Meiryo UI"/>
                <w:sz w:val="18"/>
              </w:rPr>
              <w:t>2026〜2030年</w:t>
            </w:r>
          </w:p>
        </w:tc>
      </w:tr>
      <w:tr>
        <w:tc>
          <w:tcPr>
            <w:tcW w:type="dxa" w:w="3135"/>
            <w:shd w:val="clear" w:color="auto" w:fill="DDEBF7"/>
          </w:tcPr>
          <w:p>
            <w:r>
              <w:rPr>
                <w:rFonts w:ascii="Meiryo UI" w:hAnsi="Meiryo UI"/>
                <w:sz w:val="18"/>
              </w:rPr>
              <w:t>建設資材コスト上昇（スチール・コンクリート）</w:t>
            </w:r>
          </w:p>
        </w:tc>
        <w:tc>
          <w:tcPr>
            <w:tcW w:type="dxa" w:w="3135"/>
            <w:shd w:val="clear" w:color="auto" w:fill="DDEBF7"/>
          </w:tcPr>
          <w:p>
            <w:r>
              <w:rPr>
                <w:rFonts w:ascii="Meiryo UI" w:hAnsi="Meiryo UI"/>
                <w:sz w:val="18"/>
              </w:rPr>
              <w:t>ネガティブ</w:t>
            </w:r>
          </w:p>
        </w:tc>
        <w:tc>
          <w:tcPr>
            <w:tcW w:type="dxa" w:w="3135"/>
            <w:shd w:val="clear" w:color="auto" w:fill="DDEBF7"/>
          </w:tcPr>
          <w:p>
            <w:r>
              <w:rPr>
                <w:rFonts w:ascii="Meiryo UI" w:hAnsi="Meiryo UI"/>
                <w:sz w:val="18"/>
              </w:rPr>
              <w:t>継続的リスク</w:t>
            </w:r>
          </w:p>
        </w:tc>
      </w:tr>
      <w:tr>
        <w:tc>
          <w:tcPr>
            <w:tcW w:type="dxa" w:w="3135"/>
          </w:tcPr>
          <w:p>
            <w:r>
              <w:rPr>
                <w:rFonts w:ascii="Meiryo UI" w:hAnsi="Meiryo UI"/>
                <w:sz w:val="18"/>
              </w:rPr>
              <w:t>人手不足・労務費上昇（2024年問題の後遺症）</w:t>
            </w:r>
          </w:p>
        </w:tc>
        <w:tc>
          <w:tcPr>
            <w:tcW w:type="dxa" w:w="3135"/>
          </w:tcPr>
          <w:p>
            <w:r>
              <w:rPr>
                <w:rFonts w:ascii="Meiryo UI" w:hAnsi="Meiryo UI"/>
                <w:sz w:val="18"/>
              </w:rPr>
              <w:t>ネガティブ</w:t>
            </w:r>
          </w:p>
        </w:tc>
        <w:tc>
          <w:tcPr>
            <w:tcW w:type="dxa" w:w="3135"/>
          </w:tcPr>
          <w:p>
            <w:r>
              <w:rPr>
                <w:rFonts w:ascii="Meiryo UI" w:hAnsi="Meiryo UI"/>
                <w:sz w:val="18"/>
              </w:rPr>
              <w:t>構造的課題</w:t>
            </w:r>
          </w:p>
        </w:tc>
      </w:tr>
      <w:tr>
        <w:tc>
          <w:tcPr>
            <w:tcW w:type="dxa" w:w="3135"/>
            <w:shd w:val="clear" w:color="auto" w:fill="DDEBF7"/>
          </w:tcPr>
          <w:p>
            <w:r>
              <w:rPr>
                <w:rFonts w:ascii="Meiryo UI" w:hAnsi="Meiryo UI"/>
                <w:sz w:val="18"/>
              </w:rPr>
              <w:t>東京一極集中是正・地方投資の政策動向</w:t>
            </w:r>
          </w:p>
        </w:tc>
        <w:tc>
          <w:tcPr>
            <w:tcW w:type="dxa" w:w="3135"/>
            <w:shd w:val="clear" w:color="auto" w:fill="DDEBF7"/>
          </w:tcPr>
          <w:p>
            <w:r>
              <w:rPr>
                <w:rFonts w:ascii="Meiryo UI" w:hAnsi="Meiryo UI"/>
                <w:sz w:val="18"/>
              </w:rPr>
              <w:t>やや中立〜ポジティブ</w:t>
            </w:r>
          </w:p>
        </w:tc>
        <w:tc>
          <w:tcPr>
            <w:tcW w:type="dxa" w:w="3135"/>
            <w:shd w:val="clear" w:color="auto" w:fill="DDEBF7"/>
          </w:tcPr>
          <w:p>
            <w:r>
              <w:rPr>
                <w:rFonts w:ascii="Meiryo UI" w:hAnsi="Meiryo UI"/>
                <w:sz w:val="18"/>
              </w:rPr>
              <w:t>中長期</w:t>
            </w:r>
          </w:p>
        </w:tc>
      </w:tr>
      <w:tr>
        <w:tc>
          <w:tcPr>
            <w:tcW w:type="dxa" w:w="3135"/>
          </w:tcPr>
          <w:p>
            <w:r>
              <w:rPr>
                <w:rFonts w:ascii="Meiryo UI" w:hAnsi="Meiryo UI"/>
                <w:sz w:val="18"/>
              </w:rPr>
              <w:t>自社株買い・増配等の株主還元強化</w:t>
            </w:r>
          </w:p>
        </w:tc>
        <w:tc>
          <w:tcPr>
            <w:tcW w:type="dxa" w:w="3135"/>
          </w:tcPr>
          <w:p>
            <w:r>
              <w:rPr>
                <w:rFonts w:ascii="Meiryo UI" w:hAnsi="Meiryo UI"/>
                <w:sz w:val="18"/>
              </w:rPr>
              <w:t>要観察</w:t>
            </w:r>
          </w:p>
        </w:tc>
        <w:tc>
          <w:tcPr>
            <w:tcW w:type="dxa" w:w="3135"/>
          </w:tcPr>
          <w:p>
            <w:r>
              <w:rPr>
                <w:rFonts w:ascii="Meiryo UI" w:hAnsi="Meiryo UI"/>
                <w:sz w:val="18"/>
              </w:rPr>
              <w:t>2026年度方針次第</w:t>
            </w:r>
          </w:p>
        </w:tc>
      </w:tr>
    </w:tbl>
    <w:p/>
    <w:p>
      <w:r>
        <w:t>──────────────────────────────────────────────────</w:t>
      </w:r>
    </w:p>
    <w:p/>
    <w:p>
      <w:pPr>
        <w:pStyle w:val="Heading2"/>
      </w:pPr>
      <w:r>
        <w:rPr>
          <w:rFonts w:ascii="Meiryo UI" w:hAnsi="Meiryo UI"/>
          <w:color w:val="2E74B5"/>
        </w:rPr>
        <w:t>2. 【社長指示最優先】高自己資本比率×低ROEのギャップ解明とPBR改善蓋然性</w:t>
      </w:r>
    </w:p>
    <w:p/>
    <w:p>
      <w:r>
        <w:rPr>
          <w:rFonts w:ascii="Meiryo UI" w:hAnsi="Meiryo UI"/>
          <w:sz w:val="20"/>
        </w:rPr>
        <w:t>&gt; 社長指示：「高自己資本比率の実態と低ROEのギャップを解明。PBR改善に向けた経営改革の蓋然性を検証」</w:t>
      </w:r>
    </w:p>
    <w:p/>
    <w:p>
      <w:pPr>
        <w:pStyle w:val="Heading3"/>
      </w:pPr>
      <w:r>
        <w:rPr>
          <w:rFonts w:ascii="Meiryo UI" w:hAnsi="Meiryo UI"/>
          <w:color w:val="2E74B5"/>
        </w:rPr>
        <w:t>2-1. デュポン分解：ROE 3.3%の構造分解</w:t>
      </w:r>
    </w:p>
    <w:p/>
    <w:p>
      <w:r>
        <w:rPr>
          <w:rFonts w:ascii="Meiryo UI" w:hAnsi="Meiryo UI"/>
          <w:sz w:val="20"/>
        </w:rPr>
        <w:t>ROEをデュポン式で分解することで、低収益の根本原因を特定する。</w:t>
      </w:r>
    </w:p>
    <w:p/>
    <w:p>
      <w:pPr>
        <w:shd w:val="clear" w:color="auto" w:fill="F2F2F2"/>
      </w:pPr>
      <w:r>
        <w:rPr>
          <w:rFonts w:ascii="Courier New" w:hAnsi="Courier New"/>
          <w:sz w:val="16"/>
        </w:rPr>
        <w:t>ROE = 純利益率 × 総資産回転率 × 財務レバレッジ</w:t>
        <w:br/>
        <w:br/>
        <w:t>ROE = (純利益/売上) × (売上/総資産) × (総資産/自己資本)</w:t>
      </w:r>
    </w:p>
    <w:p/>
    <w:p>
      <w:r>
        <w:rPr>
          <w:rFonts w:ascii="Meiryo UI" w:hAnsi="Meiryo UI"/>
          <w:sz w:val="20"/>
        </w:rPr>
        <w:t>逆算による推計（提供データ固定値使用）：</w:t>
      </w:r>
    </w:p>
    <w:p/>
    <w:p>
      <w:pPr>
        <w:pStyle w:val="ListBullet"/>
      </w:pPr>
      <w:r>
        <w:rPr>
          <w:rFonts w:ascii="Meiryo UI" w:hAnsi="Meiryo UI"/>
          <w:sz w:val="20"/>
        </w:rPr>
        <w:t>EPS = ¥50 / BPS = ¥1,405</w:t>
      </w:r>
    </w:p>
    <w:p>
      <w:pPr>
        <w:pStyle w:val="ListBullet"/>
      </w:pPr>
      <w:r>
        <w:rPr>
          <w:rFonts w:ascii="Meiryo UI" w:hAnsi="Meiryo UI"/>
          <w:sz w:val="20"/>
        </w:rPr>
        <w:t>ROE = EPS / BPS = 50 / 1,405 = 3.56%（≈公式値3.3%と整合）</w:t>
      </w:r>
    </w:p>
    <w:p>
      <w:pPr>
        <w:pStyle w:val="ListBullet"/>
      </w:pPr>
      <w:r>
        <w:rPr>
          <w:rFonts w:ascii="Meiryo UI" w:hAnsi="Meiryo UI"/>
          <w:sz w:val="20"/>
        </w:rPr>
        <w:t>PER = 33.6倍 → 時価総額 = 株価 × 発行株数で推計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デュポン要素</w:t>
            </w:r>
          </w:p>
        </w:tc>
        <w:tc>
          <w:tcPr>
            <w:tcW w:type="dxa" w:w="3135"/>
            <w:shd w:val="clear" w:color="auto" w:fill="2E74B5"/>
          </w:tcPr>
          <w:p>
            <w:r>
              <w:rPr>
                <w:rFonts w:ascii="Meiryo UI" w:hAnsi="Meiryo UI"/>
                <w:b/>
                <w:color w:val="FFFFFF"/>
                <w:sz w:val="18"/>
              </w:rPr>
              <w:t>推計値</w:t>
            </w:r>
          </w:p>
        </w:tc>
        <w:tc>
          <w:tcPr>
            <w:tcW w:type="dxa" w:w="3135"/>
            <w:shd w:val="clear" w:color="auto" w:fill="2E74B5"/>
          </w:tcPr>
          <w:p>
            <w:r>
              <w:rPr>
                <w:rFonts w:ascii="Meiryo UI" w:hAnsi="Meiryo UI"/>
                <w:b/>
                <w:color w:val="FFFFFF"/>
                <w:sz w:val="18"/>
              </w:rPr>
              <w:t>業界平均比較</w:t>
            </w:r>
          </w:p>
        </w:tc>
      </w:tr>
      <w:tr>
        <w:tc>
          <w:tcPr>
            <w:tcW w:type="dxa" w:w="3135"/>
          </w:tcPr>
          <w:p>
            <w:r>
              <w:rPr>
                <w:rFonts w:ascii="Meiryo UI" w:hAnsi="Meiryo UI"/>
                <w:sz w:val="18"/>
              </w:rPr>
              <w:t>純利益率（ROS）</w:t>
            </w:r>
          </w:p>
        </w:tc>
        <w:tc>
          <w:tcPr>
            <w:tcW w:type="dxa" w:w="3135"/>
          </w:tcPr>
          <w:p>
            <w:r>
              <w:rPr>
                <w:rFonts w:ascii="Meiryo UI" w:hAnsi="Meiryo UI"/>
                <w:sz w:val="18"/>
              </w:rPr>
              <w:t>推定2〜4%</w:t>
            </w:r>
          </w:p>
        </w:tc>
        <w:tc>
          <w:tcPr>
            <w:tcW w:type="dxa" w:w="3135"/>
          </w:tcPr>
          <w:p>
            <w:r>
              <w:rPr>
                <w:rFonts w:ascii="Meiryo UI" w:hAnsi="Meiryo UI"/>
                <w:sz w:val="18"/>
              </w:rPr>
              <w:t>中堅平均：3〜5%</w:t>
            </w:r>
          </w:p>
        </w:tc>
      </w:tr>
      <w:tr>
        <w:tc>
          <w:tcPr>
            <w:tcW w:type="dxa" w:w="3135"/>
            <w:shd w:val="clear" w:color="auto" w:fill="DDEBF7"/>
          </w:tcPr>
          <w:p>
            <w:r>
              <w:rPr>
                <w:rFonts w:ascii="Meiryo UI" w:hAnsi="Meiryo UI"/>
                <w:sz w:val="18"/>
              </w:rPr>
              <w:t>総資産回転率</w:t>
            </w:r>
          </w:p>
        </w:tc>
        <w:tc>
          <w:tcPr>
            <w:tcW w:type="dxa" w:w="3135"/>
            <w:shd w:val="clear" w:color="auto" w:fill="DDEBF7"/>
          </w:tcPr>
          <w:p>
            <w:r>
              <w:rPr>
                <w:rFonts w:ascii="Meiryo UI" w:hAnsi="Meiryo UI"/>
                <w:sz w:val="18"/>
              </w:rPr>
              <w:t>推定0.6〜0.8回</w:t>
            </w:r>
          </w:p>
        </w:tc>
        <w:tc>
          <w:tcPr>
            <w:tcW w:type="dxa" w:w="3135"/>
            <w:shd w:val="clear" w:color="auto" w:fill="DDEBF7"/>
          </w:tcPr>
          <w:p>
            <w:r>
              <w:rPr>
                <w:rFonts w:ascii="Meiryo UI" w:hAnsi="Meiryo UI"/>
                <w:sz w:val="18"/>
              </w:rPr>
              <w:t>中堅平均：0.8〜1.0回</w:t>
            </w:r>
          </w:p>
        </w:tc>
      </w:tr>
      <w:tr>
        <w:tc>
          <w:tcPr>
            <w:tcW w:type="dxa" w:w="3135"/>
          </w:tcPr>
          <w:p>
            <w:r>
              <w:rPr>
                <w:rFonts w:ascii="Meiryo UI" w:hAnsi="Meiryo UI"/>
                <w:sz w:val="18"/>
              </w:rPr>
              <w:t>財務レバレッジ</w:t>
            </w:r>
          </w:p>
        </w:tc>
        <w:tc>
          <w:tcPr>
            <w:tcW w:type="dxa" w:w="3135"/>
          </w:tcPr>
          <w:p>
            <w:r>
              <w:rPr>
                <w:rFonts w:ascii="Meiryo UI" w:hAnsi="Meiryo UI"/>
                <w:sz w:val="18"/>
              </w:rPr>
              <w:t>推定1.8〜2.2倍</w:t>
            </w:r>
          </w:p>
        </w:tc>
        <w:tc>
          <w:tcPr>
            <w:tcW w:type="dxa" w:w="3135"/>
          </w:tcPr>
          <w:p>
            <w:r>
              <w:rPr>
                <w:rFonts w:ascii="Meiryo UI" w:hAnsi="Meiryo UI"/>
                <w:sz w:val="18"/>
              </w:rPr>
              <w:t>大手：2.5〜3.0倍</w:t>
            </w:r>
          </w:p>
        </w:tc>
      </w:tr>
    </w:tbl>
    <w:p/>
    <w:p>
      <w:r>
        <w:rPr>
          <w:rFonts w:ascii="Meiryo UI" w:hAnsi="Meiryo UI"/>
          <w:sz w:val="20"/>
        </w:rPr>
        <w:t>診断結果：ROE 3.3%の主因</w:t>
      </w:r>
    </w:p>
    <w:p/>
    <w:p>
      <w:pPr>
        <w:shd w:val="clear" w:color="auto" w:fill="F2F2F2"/>
      </w:pPr>
      <w:r>
        <w:rPr>
          <w:rFonts w:ascii="Courier New" w:hAnsi="Courier New"/>
          <w:sz w:val="16"/>
        </w:rPr>
        <w:t>① 財務レバレッジが低い（高自己資本比率の裏返し）</w:t>
        <w:br/>
        <w:t xml:space="preserve">   → 自己資本比率40〜50%超であれば、レバレッジは約2倍前後</w:t>
        <w:br/>
        <w:t xml:space="preserve">   → 大手ゼネコンは借入を積極活用し、レバレッジ2.5〜3倍でROEを嵩上げ</w:t>
        <w:br/>
        <w:t xml:space="preserve">   </w:t>
        <w:br/>
        <w:t>② 総資産回転率の低さ</w:t>
        <w:br/>
        <w:t xml:space="preserve">   → 現預金・有価証券等の非稼働資産を大量保有</w:t>
        <w:br/>
        <w:t xml:space="preserve">   → 投資効率が低い</w:t>
        <w:br/>
        <w:t xml:space="preserve">   </w:t>
        <w:br/>
        <w:t>③ 純利益率も中位</w:t>
        <w:br/>
        <w:t xml:space="preserve">   → 建設業特有のコスト上昇（資材・労務）の転嫁遅延</w:t>
      </w:r>
    </w:p>
    <w:p/>
    <w:p>
      <w:pPr>
        <w:pStyle w:val="Heading3"/>
      </w:pPr>
      <w:r>
        <w:rPr>
          <w:rFonts w:ascii="Meiryo UI" w:hAnsi="Meiryo UI"/>
          <w:color w:val="2E74B5"/>
        </w:rPr>
        <w:t>2-2. 高自己資本比率の「実態」精査</w:t>
      </w:r>
    </w:p>
    <w:p/>
    <w:p>
      <w:r>
        <w:rPr>
          <w:rFonts w:ascii="Meiryo UI" w:hAnsi="Meiryo UI"/>
          <w:sz w:val="20"/>
        </w:rPr>
        <w:t>高自己資本比率＝美徳か、非効率か？</w:t>
      </w:r>
    </w:p>
    <w:p/>
    <w:p>
      <w:r>
        <w:rPr>
          <w:rFonts w:ascii="Meiryo UI" w:hAnsi="Meiryo UI"/>
          <w:sz w:val="20"/>
        </w:rPr>
        <w:t>建設業（特に地方中堅）が高自己資本比率を維持する背景には複数の要因がある：</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要因</w:t>
            </w:r>
          </w:p>
        </w:tc>
        <w:tc>
          <w:tcPr>
            <w:tcW w:type="dxa" w:w="3135"/>
            <w:shd w:val="clear" w:color="auto" w:fill="2E74B5"/>
          </w:tcPr>
          <w:p>
            <w:r>
              <w:rPr>
                <w:rFonts w:ascii="Meiryo UI" w:hAnsi="Meiryo UI"/>
                <w:b/>
                <w:color w:val="FFFFFF"/>
                <w:sz w:val="18"/>
              </w:rPr>
              <w:t>詳細</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公共工事入札資格の維持</w:t>
            </w:r>
          </w:p>
        </w:tc>
        <w:tc>
          <w:tcPr>
            <w:tcW w:type="dxa" w:w="3135"/>
          </w:tcPr>
          <w:p>
            <w:r>
              <w:rPr>
                <w:rFonts w:ascii="Meiryo UI" w:hAnsi="Meiryo UI"/>
                <w:sz w:val="18"/>
              </w:rPr>
              <w:t>自己資本比率・経営事項審査（経審）スコアが受注力に直結</w:t>
            </w:r>
          </w:p>
        </w:tc>
        <w:tc>
          <w:tcPr>
            <w:tcW w:type="dxa" w:w="3135"/>
          </w:tcPr>
          <w:p>
            <w:r>
              <w:rPr>
                <w:rFonts w:ascii="Meiryo UI" w:hAnsi="Meiryo UI"/>
                <w:sz w:val="18"/>
              </w:rPr>
              <w:t>合理的理由あり</w:t>
            </w:r>
          </w:p>
        </w:tc>
      </w:tr>
      <w:tr>
        <w:tc>
          <w:tcPr>
            <w:tcW w:type="dxa" w:w="3135"/>
            <w:shd w:val="clear" w:color="auto" w:fill="DDEBF7"/>
          </w:tcPr>
          <w:p>
            <w:r>
              <w:rPr>
                <w:rFonts w:ascii="Meiryo UI" w:hAnsi="Meiryo UI"/>
                <w:sz w:val="18"/>
              </w:rPr>
              <w:t>繁閑サイクルへの備え</w:t>
            </w:r>
          </w:p>
        </w:tc>
        <w:tc>
          <w:tcPr>
            <w:tcW w:type="dxa" w:w="3135"/>
            <w:shd w:val="clear" w:color="auto" w:fill="DDEBF7"/>
          </w:tcPr>
          <w:p>
            <w:r>
              <w:rPr>
                <w:rFonts w:ascii="Meiryo UI" w:hAnsi="Meiryo UI"/>
                <w:sz w:val="18"/>
              </w:rPr>
              <w:t>建設受注は景気・政策連動で変動大。財務バッファが必要</w:t>
            </w:r>
          </w:p>
        </w:tc>
        <w:tc>
          <w:tcPr>
            <w:tcW w:type="dxa" w:w="3135"/>
            <w:shd w:val="clear" w:color="auto" w:fill="DDEBF7"/>
          </w:tcPr>
          <w:p>
            <w:r>
              <w:rPr>
                <w:rFonts w:ascii="Meiryo UI" w:hAnsi="Meiryo UI"/>
                <w:sz w:val="18"/>
              </w:rPr>
              <w:t>部分的に合理的</w:t>
            </w:r>
          </w:p>
        </w:tc>
      </w:tr>
      <w:tr>
        <w:tc>
          <w:tcPr>
            <w:tcW w:type="dxa" w:w="3135"/>
          </w:tcPr>
          <w:p>
            <w:r>
              <w:rPr>
                <w:rFonts w:ascii="Meiryo UI" w:hAnsi="Meiryo UI"/>
                <w:sz w:val="18"/>
              </w:rPr>
              <w:t>経営者の保守的志向</w:t>
            </w:r>
          </w:p>
        </w:tc>
        <w:tc>
          <w:tcPr>
            <w:tcW w:type="dxa" w:w="3135"/>
          </w:tcPr>
          <w:p>
            <w:r>
              <w:rPr>
                <w:rFonts w:ascii="Meiryo UI" w:hAnsi="Meiryo UI"/>
                <w:sz w:val="18"/>
              </w:rPr>
              <w:t>オーナー系・同族系企業に多い傾向。株主還元より内部留保優先</w:t>
            </w:r>
          </w:p>
        </w:tc>
        <w:tc>
          <w:tcPr>
            <w:tcW w:type="dxa" w:w="3135"/>
          </w:tcPr>
          <w:p>
            <w:r>
              <w:rPr>
                <w:rFonts w:ascii="Meiryo UI" w:hAnsi="Meiryo UI"/>
                <w:sz w:val="18"/>
              </w:rPr>
              <w:t>改善余地あり</w:t>
            </w:r>
          </w:p>
        </w:tc>
      </w:tr>
      <w:tr>
        <w:tc>
          <w:tcPr>
            <w:tcW w:type="dxa" w:w="3135"/>
            <w:shd w:val="clear" w:color="auto" w:fill="DDEBF7"/>
          </w:tcPr>
          <w:p>
            <w:r>
              <w:rPr>
                <w:rFonts w:ascii="Meiryo UI" w:hAnsi="Meiryo UI"/>
                <w:sz w:val="18"/>
              </w:rPr>
              <w:t>非稼働資産の蓄積</w:t>
            </w:r>
          </w:p>
        </w:tc>
        <w:tc>
          <w:tcPr>
            <w:tcW w:type="dxa" w:w="3135"/>
            <w:shd w:val="clear" w:color="auto" w:fill="DDEBF7"/>
          </w:tcPr>
          <w:p>
            <w:r>
              <w:rPr>
                <w:rFonts w:ascii="Meiryo UI" w:hAnsi="Meiryo UI"/>
                <w:sz w:val="18"/>
              </w:rPr>
              <w:t>創業以来の土地・有価証券・現預金が貸借対照表に滞留</w:t>
            </w:r>
          </w:p>
        </w:tc>
        <w:tc>
          <w:tcPr>
            <w:tcW w:type="dxa" w:w="3135"/>
            <w:shd w:val="clear" w:color="auto" w:fill="DDEBF7"/>
          </w:tcPr>
          <w:p>
            <w:r>
              <w:rPr>
                <w:rFonts w:ascii="Meiryo UI" w:hAnsi="Meiryo UI"/>
                <w:sz w:val="18"/>
              </w:rPr>
              <w:t>株主価値毀損要因</w:t>
            </w:r>
          </w:p>
        </w:tc>
      </w:tr>
    </w:tbl>
    <w:p/>
    <w:p>
      <w:r>
        <w:rPr>
          <w:rFonts w:ascii="Meiryo UI" w:hAnsi="Meiryo UI"/>
          <w:sz w:val="20"/>
        </w:rPr>
        <w:t>問題の本質：</w:t>
      </w:r>
    </w:p>
    <w:p>
      <w:r>
        <w:rPr>
          <w:rFonts w:ascii="Meiryo UI" w:hAnsi="Meiryo UI"/>
          <w:sz w:val="20"/>
        </w:rPr>
        <w:t>大本組の高自己資本比率は「健全な財務体質」と「資本の非効率利用」という二面性を持つ。経審評点維持に必要な最低限を超えた余剰資本が、ROEを構造的に押し下げている可能性が高い。</w:t>
      </w:r>
    </w:p>
    <w:p/>
    <w:p>
      <w:pPr>
        <w:pStyle w:val="Heading3"/>
      </w:pPr>
      <w:r>
        <w:rPr>
          <w:rFonts w:ascii="Meiryo UI" w:hAnsi="Meiryo UI"/>
          <w:color w:val="2E74B5"/>
        </w:rPr>
        <w:t>2-3. ROEとWACCの関係：価値創造か価値破壊か</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判定</w:t>
            </w:r>
          </w:p>
        </w:tc>
      </w:tr>
      <w:tr>
        <w:tc>
          <w:tcPr>
            <w:tcW w:type="dxa" w:w="3135"/>
          </w:tcPr>
          <w:p>
            <w:r>
              <w:rPr>
                <w:rFonts w:ascii="Meiryo UI" w:hAnsi="Meiryo UI"/>
                <w:sz w:val="18"/>
              </w:rPr>
              <w:t>ROE</w:t>
            </w:r>
          </w:p>
        </w:tc>
        <w:tc>
          <w:tcPr>
            <w:tcW w:type="dxa" w:w="3135"/>
          </w:tcPr>
          <w:p>
            <w:r>
              <w:rPr>
                <w:rFonts w:ascii="Meiryo UI" w:hAnsi="Meiryo UI"/>
                <w:sz w:val="18"/>
              </w:rPr>
              <w:t>3.3%</w:t>
            </w:r>
          </w:p>
        </w:tc>
        <w:tc>
          <w:tcPr>
            <w:tcW w:type="dxa" w:w="3135"/>
          </w:tcPr>
          <w:p>
            <w:r>
              <w:rPr>
                <w:rFonts w:ascii="Meiryo UI" w:hAnsi="Meiryo UI"/>
                <w:sz w:val="18"/>
              </w:rPr>
              <w:t>実績値</w:t>
            </w:r>
          </w:p>
        </w:tc>
      </w:tr>
      <w:tr>
        <w:tc>
          <w:tcPr>
            <w:tcW w:type="dxa" w:w="3135"/>
            <w:shd w:val="clear" w:color="auto" w:fill="DDEBF7"/>
          </w:tcPr>
          <w:p>
            <w:r>
              <w:rPr>
                <w:rFonts w:ascii="Meiryo UI" w:hAnsi="Meiryo UI"/>
                <w:sz w:val="18"/>
              </w:rPr>
              <w:t>株主資本コスト（Re）推定</w:t>
            </w:r>
          </w:p>
        </w:tc>
        <w:tc>
          <w:tcPr>
            <w:tcW w:type="dxa" w:w="3135"/>
            <w:shd w:val="clear" w:color="auto" w:fill="DDEBF7"/>
          </w:tcPr>
          <w:p>
            <w:r>
              <w:rPr>
                <w:rFonts w:ascii="Meiryo UI" w:hAnsi="Meiryo UI"/>
                <w:sz w:val="18"/>
              </w:rPr>
              <w:t>7.0〜9.0%（後述WACC参照）</w:t>
            </w:r>
          </w:p>
        </w:tc>
        <w:tc>
          <w:tcPr>
            <w:tcW w:type="dxa" w:w="3135"/>
            <w:shd w:val="clear" w:color="auto" w:fill="DDEBF7"/>
          </w:tcPr>
          <w:p>
            <w:r>
              <w:rPr>
                <w:rFonts w:ascii="Meiryo UI" w:hAnsi="Meiryo UI"/>
                <w:sz w:val="18"/>
              </w:rPr>
              <w:t>要求収益率</w:t>
            </w:r>
          </w:p>
        </w:tc>
      </w:tr>
      <w:tr>
        <w:tc>
          <w:tcPr>
            <w:tcW w:type="dxa" w:w="3135"/>
          </w:tcPr>
          <w:p>
            <w:r>
              <w:rPr>
                <w:rFonts w:ascii="Meiryo UI" w:hAnsi="Meiryo UI"/>
                <w:sz w:val="18"/>
              </w:rPr>
              <w:t>スプレッド（ROE - Re）</w:t>
            </w:r>
          </w:p>
        </w:tc>
        <w:tc>
          <w:tcPr>
            <w:tcW w:type="dxa" w:w="3135"/>
          </w:tcPr>
          <w:p>
            <w:r>
              <w:rPr>
                <w:rFonts w:ascii="Meiryo UI" w:hAnsi="Meiryo UI"/>
                <w:sz w:val="18"/>
              </w:rPr>
              <w:t>▲3.7〜5.7%</w:t>
            </w:r>
          </w:p>
        </w:tc>
        <w:tc>
          <w:tcPr>
            <w:tcW w:type="dxa" w:w="3135"/>
          </w:tcPr>
          <w:p>
            <w:r>
              <w:rPr>
                <w:rFonts w:ascii="Meiryo UI" w:hAnsi="Meiryo UI"/>
                <w:sz w:val="18"/>
              </w:rPr>
              <w:t>⚠️ 価値破壊ゾーン</w:t>
            </w:r>
          </w:p>
        </w:tc>
      </w:tr>
    </w:tbl>
    <w:p/>
    <w:p>
      <w:r>
        <w:rPr>
          <w:rFonts w:ascii="Meiryo UI" w:hAnsi="Meiryo UI"/>
          <w:sz w:val="20"/>
        </w:rPr>
        <w:t>重要結論： ROE（3.3%）&lt; 株主資本コスト（推定7〜9%）であり、現在の大本組は理論上、株主価値を毀損し続けている状態。PBR 1.19倍はこれを一部織り込んでいるが、完全に修正されていない（PBR&lt;1.0倍ではない）のは、純資産の帳簿価値に対する市場の一定の信頼を反映。</w:t>
      </w:r>
    </w:p>
    <w:p/>
    <w:p>
      <w:pPr>
        <w:pStyle w:val="Heading3"/>
      </w:pPr>
      <w:r>
        <w:rPr>
          <w:rFonts w:ascii="Meiryo UI" w:hAnsi="Meiryo UI"/>
          <w:color w:val="2E74B5"/>
        </w:rPr>
        <w:t>2-4. PBR改善シナリオ：経営改革の蓋然性検証</w:t>
      </w:r>
    </w:p>
    <w:p/>
    <w:p>
      <w:r>
        <w:rPr>
          <w:rFonts w:ascii="Meiryo UI" w:hAnsi="Meiryo UI"/>
          <w:sz w:val="20"/>
        </w:rPr>
        <w:t>理論上のPBR改善メカニズム：</w:t>
      </w:r>
    </w:p>
    <w:p/>
    <w:p>
      <w:pPr>
        <w:shd w:val="clear" w:color="auto" w:fill="F2F2F2"/>
      </w:pPr>
      <w:r>
        <w:rPr>
          <w:rFonts w:ascii="Courier New" w:hAnsi="Courier New"/>
          <w:sz w:val="16"/>
        </w:rPr>
        <w:t>PBR = ROE × PER（理論的関係）</w:t>
        <w:br/>
        <w:t xml:space="preserve">    = ROE / (Re - g) × （調整係数）</w:t>
        <w:br/>
        <w:br/>
        <w:t>現在：PBR 1.19 = ROE 3.3% × PER 33.6倍（市場が将来改善を一部期待）</w:t>
      </w:r>
    </w:p>
    <w:p/>
    <w:p>
      <w:r>
        <w:rPr>
          <w:rFonts w:ascii="Meiryo UI" w:hAnsi="Meiryo UI"/>
          <w:sz w:val="20"/>
        </w:rPr>
        <w:t>ROE改善で何が変わるか：</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ROE改善シナリオ</w:t>
            </w:r>
          </w:p>
        </w:tc>
        <w:tc>
          <w:tcPr>
            <w:tcW w:type="dxa" w:w="2351"/>
            <w:shd w:val="clear" w:color="auto" w:fill="2E74B5"/>
          </w:tcPr>
          <w:p>
            <w:r>
              <w:rPr>
                <w:rFonts w:ascii="Meiryo UI" w:hAnsi="Meiryo UI"/>
                <w:b/>
                <w:color w:val="FFFFFF"/>
                <w:sz w:val="18"/>
              </w:rPr>
              <w:t>想定PBR（PER 20倍前提）</w:t>
            </w:r>
          </w:p>
        </w:tc>
        <w:tc>
          <w:tcPr>
            <w:tcW w:type="dxa" w:w="2351"/>
            <w:shd w:val="clear" w:color="auto" w:fill="2E74B5"/>
          </w:tcPr>
          <w:p>
            <w:r>
              <w:rPr>
                <w:rFonts w:ascii="Meiryo UI" w:hAnsi="Meiryo UI"/>
                <w:b/>
                <w:color w:val="FFFFFF"/>
                <w:sz w:val="18"/>
              </w:rPr>
              <w:t>理論株価（BPS×PBR）</w:t>
            </w:r>
          </w:p>
        </w:tc>
        <w:tc>
          <w:tcPr>
            <w:tcW w:type="dxa" w:w="2351"/>
            <w:shd w:val="clear" w:color="auto" w:fill="2E74B5"/>
          </w:tcPr>
          <w:p>
            <w:r>
              <w:rPr>
                <w:rFonts w:ascii="Meiryo UI" w:hAnsi="Meiryo UI"/>
                <w:b/>
                <w:color w:val="FFFFFF"/>
                <w:sz w:val="18"/>
              </w:rPr>
              <w:t>現在値比</w:t>
            </w:r>
          </w:p>
        </w:tc>
      </w:tr>
      <w:tr>
        <w:tc>
          <w:tcPr>
            <w:tcW w:type="dxa" w:w="2351"/>
          </w:tcPr>
          <w:p>
            <w:r>
              <w:rPr>
                <w:rFonts w:ascii="Meiryo UI" w:hAnsi="Meiryo UI"/>
                <w:sz w:val="18"/>
              </w:rPr>
              <w:t>ROE 3.3%（現状）</w:t>
            </w:r>
          </w:p>
        </w:tc>
        <w:tc>
          <w:tcPr>
            <w:tcW w:type="dxa" w:w="2351"/>
          </w:tcPr>
          <w:p>
            <w:r>
              <w:rPr>
                <w:rFonts w:ascii="Meiryo UI" w:hAnsi="Meiryo UI"/>
                <w:sz w:val="18"/>
              </w:rPr>
              <w:t>約0.66倍（理論）→実勢1.19</w:t>
            </w:r>
          </w:p>
        </w:tc>
        <w:tc>
          <w:tcPr>
            <w:tcW w:type="dxa" w:w="2351"/>
          </w:tcPr>
          <w:p>
            <w:r>
              <w:rPr>
                <w:rFonts w:ascii="Meiryo UI" w:hAnsi="Meiryo UI"/>
                <w:sz w:val="18"/>
              </w:rPr>
              <w:t>¥928（理論）</w:t>
            </w:r>
          </w:p>
        </w:tc>
        <w:tc>
          <w:tcPr>
            <w:tcW w:type="dxa" w:w="2351"/>
          </w:tcPr>
          <w:p>
            <w:r>
              <w:rPr>
                <w:rFonts w:ascii="Meiryo UI" w:hAnsi="Meiryo UI"/>
                <w:sz w:val="18"/>
              </w:rPr>
              <w:t>▲44%</w:t>
            </w:r>
          </w:p>
        </w:tc>
      </w:tr>
      <w:tr>
        <w:tc>
          <w:tcPr>
            <w:tcW w:type="dxa" w:w="2351"/>
            <w:shd w:val="clear" w:color="auto" w:fill="DDEBF7"/>
          </w:tcPr>
          <w:p>
            <w:r>
              <w:rPr>
                <w:rFonts w:ascii="Meiryo UI" w:hAnsi="Meiryo UI"/>
                <w:sz w:val="18"/>
              </w:rPr>
              <w:t>ROE 5.0%</w:t>
            </w:r>
          </w:p>
        </w:tc>
        <w:tc>
          <w:tcPr>
            <w:tcW w:type="dxa" w:w="2351"/>
            <w:shd w:val="clear" w:color="auto" w:fill="DDEBF7"/>
          </w:tcPr>
          <w:p>
            <w:r>
              <w:rPr>
                <w:rFonts w:ascii="Meiryo UI" w:hAnsi="Meiryo UI"/>
                <w:sz w:val="18"/>
              </w:rPr>
              <w:t>約1.0倍</w:t>
            </w:r>
          </w:p>
        </w:tc>
        <w:tc>
          <w:tcPr>
            <w:tcW w:type="dxa" w:w="2351"/>
            <w:shd w:val="clear" w:color="auto" w:fill="DDEBF7"/>
          </w:tcPr>
          <w:p>
            <w:r>
              <w:rPr>
                <w:rFonts w:ascii="Meiryo UI" w:hAnsi="Meiryo UI"/>
                <w:sz w:val="18"/>
              </w:rPr>
              <w:t>¥1,405</w:t>
            </w:r>
          </w:p>
        </w:tc>
        <w:tc>
          <w:tcPr>
            <w:tcW w:type="dxa" w:w="2351"/>
            <w:shd w:val="clear" w:color="auto" w:fill="DDEBF7"/>
          </w:tcPr>
          <w:p>
            <w:r>
              <w:rPr>
                <w:rFonts w:ascii="Meiryo UI" w:hAnsi="Meiryo UI"/>
                <w:sz w:val="18"/>
              </w:rPr>
              <w:t>▲16%</w:t>
            </w:r>
          </w:p>
        </w:tc>
      </w:tr>
      <w:tr>
        <w:tc>
          <w:tcPr>
            <w:tcW w:type="dxa" w:w="2351"/>
          </w:tcPr>
          <w:p>
            <w:r>
              <w:rPr>
                <w:rFonts w:ascii="Meiryo UI" w:hAnsi="Meiryo UI"/>
                <w:sz w:val="18"/>
              </w:rPr>
              <w:t>ROE 7.0%</w:t>
            </w:r>
          </w:p>
        </w:tc>
        <w:tc>
          <w:tcPr>
            <w:tcW w:type="dxa" w:w="2351"/>
          </w:tcPr>
          <w:p>
            <w:r>
              <w:rPr>
                <w:rFonts w:ascii="Meiryo UI" w:hAnsi="Meiryo UI"/>
                <w:sz w:val="18"/>
              </w:rPr>
              <w:t>約1.4倍</w:t>
            </w:r>
          </w:p>
        </w:tc>
        <w:tc>
          <w:tcPr>
            <w:tcW w:type="dxa" w:w="2351"/>
          </w:tcPr>
          <w:p>
            <w:r>
              <w:rPr>
                <w:rFonts w:ascii="Meiryo UI" w:hAnsi="Meiryo UI"/>
                <w:sz w:val="18"/>
              </w:rPr>
              <w:t>¥1,967</w:t>
            </w:r>
          </w:p>
        </w:tc>
        <w:tc>
          <w:tcPr>
            <w:tcW w:type="dxa" w:w="2351"/>
          </w:tcPr>
          <w:p>
            <w:r>
              <w:rPr>
                <w:rFonts w:ascii="Meiryo UI" w:hAnsi="Meiryo UI"/>
                <w:sz w:val="18"/>
              </w:rPr>
              <w:t>+18%</w:t>
            </w:r>
          </w:p>
        </w:tc>
      </w:tr>
      <w:tr>
        <w:tc>
          <w:tcPr>
            <w:tcW w:type="dxa" w:w="2351"/>
            <w:shd w:val="clear" w:color="auto" w:fill="DDEBF7"/>
          </w:tcPr>
          <w:p>
            <w:r>
              <w:rPr>
                <w:rFonts w:ascii="Meiryo UI" w:hAnsi="Meiryo UI"/>
                <w:sz w:val="18"/>
              </w:rPr>
              <w:t>ROE 10.0%</w:t>
            </w:r>
          </w:p>
        </w:tc>
        <w:tc>
          <w:tcPr>
            <w:tcW w:type="dxa" w:w="2351"/>
            <w:shd w:val="clear" w:color="auto" w:fill="DDEBF7"/>
          </w:tcPr>
          <w:p>
            <w:r>
              <w:rPr>
                <w:rFonts w:ascii="Meiryo UI" w:hAnsi="Meiryo UI"/>
                <w:sz w:val="18"/>
              </w:rPr>
              <w:t>約2.0倍</w:t>
            </w:r>
          </w:p>
        </w:tc>
        <w:tc>
          <w:tcPr>
            <w:tcW w:type="dxa" w:w="2351"/>
            <w:shd w:val="clear" w:color="auto" w:fill="DDEBF7"/>
          </w:tcPr>
          <w:p>
            <w:r>
              <w:rPr>
                <w:rFonts w:ascii="Meiryo UI" w:hAnsi="Meiryo UI"/>
                <w:sz w:val="18"/>
              </w:rPr>
              <w:t>¥2,810</w:t>
            </w:r>
          </w:p>
        </w:tc>
        <w:tc>
          <w:tcPr>
            <w:tcW w:type="dxa" w:w="2351"/>
            <w:shd w:val="clear" w:color="auto" w:fill="DDEBF7"/>
          </w:tcPr>
          <w:p>
            <w:r>
              <w:rPr>
                <w:rFonts w:ascii="Meiryo UI" w:hAnsi="Meiryo UI"/>
                <w:sz w:val="18"/>
              </w:rPr>
              <w:t>+69%</w:t>
            </w:r>
          </w:p>
        </w:tc>
      </w:tr>
    </w:tbl>
    <w:p/>
    <w:p>
      <w:r>
        <w:rPr>
          <w:rFonts w:ascii="Meiryo UI" w:hAnsi="Meiryo UI"/>
          <w:sz w:val="20"/>
        </w:rPr>
        <w:t>※ PER仮定は建設業界平均参考。現状PER 33.6倍は市場の改善期待を反映した高水準。</w:t>
      </w:r>
    </w:p>
    <w:p/>
    <w:p>
      <w:r>
        <w:rPr>
          <w:rFonts w:ascii="Meiryo UI" w:hAnsi="Meiryo UI"/>
          <w:sz w:val="20"/>
        </w:rPr>
        <w:t>経営改革の具体的手段と蓋然性評価：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改革手段</w:t>
            </w:r>
          </w:p>
        </w:tc>
        <w:tc>
          <w:tcPr>
            <w:tcW w:type="dxa" w:w="2351"/>
            <w:shd w:val="clear" w:color="auto" w:fill="2E74B5"/>
          </w:tcPr>
          <w:p>
            <w:r>
              <w:rPr>
                <w:rFonts w:ascii="Meiryo UI" w:hAnsi="Meiryo UI"/>
                <w:b/>
                <w:color w:val="FFFFFF"/>
                <w:sz w:val="18"/>
              </w:rPr>
              <w:t>効果</w:t>
            </w:r>
          </w:p>
        </w:tc>
        <w:tc>
          <w:tcPr>
            <w:tcW w:type="dxa" w:w="2351"/>
            <w:shd w:val="clear" w:color="auto" w:fill="2E74B5"/>
          </w:tcPr>
          <w:p>
            <w:r>
              <w:rPr>
                <w:rFonts w:ascii="Meiryo UI" w:hAnsi="Meiryo UI"/>
                <w:b/>
                <w:color w:val="FFFFFF"/>
                <w:sz w:val="18"/>
              </w:rPr>
              <w:t>蓋然性</w:t>
            </w:r>
          </w:p>
        </w:tc>
        <w:tc>
          <w:tcPr>
            <w:tcW w:type="dxa" w:w="2351"/>
            <w:shd w:val="clear" w:color="auto" w:fill="2E74B5"/>
          </w:tcPr>
          <w:p>
            <w:r>
              <w:rPr>
                <w:rFonts w:ascii="Meiryo UI" w:hAnsi="Meiryo UI"/>
                <w:b/>
                <w:color w:val="FFFFFF"/>
                <w:sz w:val="18"/>
              </w:rPr>
              <w:t>理由</w:t>
            </w:r>
          </w:p>
        </w:tc>
      </w:tr>
      <w:tr>
        <w:tc>
          <w:tcPr>
            <w:tcW w:type="dxa" w:w="2351"/>
          </w:tcPr>
          <w:p>
            <w:r>
              <w:rPr>
                <w:rFonts w:ascii="Meiryo UI" w:hAnsi="Meiryo UI"/>
                <w:sz w:val="18"/>
              </w:rPr>
              <w:t>自社株買い</w:t>
            </w:r>
          </w:p>
        </w:tc>
        <w:tc>
          <w:tcPr>
            <w:tcW w:type="dxa" w:w="2351"/>
          </w:tcPr>
          <w:p>
            <w:r>
              <w:rPr>
                <w:rFonts w:ascii="Meiryo UI" w:hAnsi="Meiryo UI"/>
                <w:sz w:val="18"/>
              </w:rPr>
              <w:t>自己資本圧縮→ROE上昇 + EPS向上</w:t>
            </w:r>
          </w:p>
        </w:tc>
        <w:tc>
          <w:tcPr>
            <w:tcW w:type="dxa" w:w="2351"/>
          </w:tcPr>
          <w:p>
            <w:r>
              <w:rPr>
                <w:rFonts w:ascii="Meiryo UI" w:hAnsi="Meiryo UI"/>
                <w:sz w:val="18"/>
              </w:rPr>
              <w:t>中〜高</w:t>
            </w:r>
          </w:p>
        </w:tc>
        <w:tc>
          <w:tcPr>
            <w:tcW w:type="dxa" w:w="2351"/>
          </w:tcPr>
          <w:p>
            <w:r>
              <w:rPr>
                <w:rFonts w:ascii="Meiryo UI" w:hAnsi="Meiryo UI"/>
                <w:sz w:val="18"/>
              </w:rPr>
              <w:t>低PBR対策として近年中堅ゼネコンで増加。東証の改善要請も追い風</w:t>
            </w:r>
          </w:p>
        </w:tc>
      </w:tr>
      <w:tr>
        <w:tc>
          <w:tcPr>
            <w:tcW w:type="dxa" w:w="2351"/>
            <w:shd w:val="clear" w:color="auto" w:fill="DDEBF7"/>
          </w:tcPr>
          <w:p>
            <w:r>
              <w:rPr>
                <w:rFonts w:ascii="Meiryo UI" w:hAnsi="Meiryo UI"/>
                <w:sz w:val="18"/>
              </w:rPr>
              <w:t>増配</w:t>
            </w:r>
          </w:p>
        </w:tc>
        <w:tc>
          <w:tcPr>
            <w:tcW w:type="dxa" w:w="2351"/>
            <w:shd w:val="clear" w:color="auto" w:fill="DDEBF7"/>
          </w:tcPr>
          <w:p>
            <w:r>
              <w:rPr>
                <w:rFonts w:ascii="Meiryo UI" w:hAnsi="Meiryo UI"/>
                <w:sz w:val="18"/>
              </w:rPr>
              <w:t>資本効率改善（余剰現金の還元）</w:t>
            </w:r>
          </w:p>
        </w:tc>
        <w:tc>
          <w:tcPr>
            <w:tcW w:type="dxa" w:w="2351"/>
            <w:shd w:val="clear" w:color="auto" w:fill="DDEBF7"/>
          </w:tcPr>
          <w:p>
            <w:r>
              <w:rPr>
                <w:rFonts w:ascii="Meiryo UI" w:hAnsi="Meiryo UI"/>
                <w:sz w:val="18"/>
              </w:rPr>
              <w:t>中</w:t>
            </w:r>
          </w:p>
        </w:tc>
        <w:tc>
          <w:tcPr>
            <w:tcW w:type="dxa" w:w="2351"/>
            <w:shd w:val="clear" w:color="auto" w:fill="DDEBF7"/>
          </w:tcPr>
          <w:p>
            <w:r>
              <w:rPr>
                <w:rFonts w:ascii="Meiryo UI" w:hAnsi="Meiryo UI"/>
                <w:sz w:val="18"/>
              </w:rPr>
              <w:t>配当性向の引き上げ余地あり（EPS¥50 vs 配当水準要確認）</w:t>
            </w:r>
          </w:p>
        </w:tc>
      </w:tr>
      <w:tr>
        <w:tc>
          <w:tcPr>
            <w:tcW w:type="dxa" w:w="2351"/>
          </w:tcPr>
          <w:p>
            <w:r>
              <w:rPr>
                <w:rFonts w:ascii="Meiryo UI" w:hAnsi="Meiryo UI"/>
                <w:sz w:val="18"/>
              </w:rPr>
              <w:t>非稼働資産売却</w:t>
            </w:r>
          </w:p>
        </w:tc>
        <w:tc>
          <w:tcPr>
            <w:tcW w:type="dxa" w:w="2351"/>
          </w:tcPr>
          <w:p>
            <w:r>
              <w:rPr>
                <w:rFonts w:ascii="Meiryo UI" w:hAnsi="Meiryo UI"/>
                <w:sz w:val="18"/>
              </w:rPr>
              <w:t>BS圧縮・ROE改善</w:t>
            </w:r>
          </w:p>
        </w:tc>
        <w:tc>
          <w:tcPr>
            <w:tcW w:type="dxa" w:w="2351"/>
          </w:tcPr>
          <w:p>
            <w:r>
              <w:rPr>
                <w:rFonts w:ascii="Meiryo UI" w:hAnsi="Meiryo UI"/>
                <w:sz w:val="18"/>
              </w:rPr>
              <w:t>低〜中</w:t>
            </w:r>
          </w:p>
        </w:tc>
        <w:tc>
          <w:tcPr>
            <w:tcW w:type="dxa" w:w="2351"/>
          </w:tcPr>
          <w:p>
            <w:r>
              <w:rPr>
                <w:rFonts w:ascii="Meiryo UI" w:hAnsi="Meiryo UI"/>
                <w:sz w:val="18"/>
              </w:rPr>
              <w:t>土地・有価証券の売却は経営判断に委ねられ時間軸不透明</w:t>
            </w:r>
          </w:p>
        </w:tc>
      </w:tr>
      <w:tr>
        <w:tc>
          <w:tcPr>
            <w:tcW w:type="dxa" w:w="2351"/>
            <w:shd w:val="clear" w:color="auto" w:fill="DDEBF7"/>
          </w:tcPr>
          <w:p>
            <w:r>
              <w:rPr>
                <w:rFonts w:ascii="Meiryo UI" w:hAnsi="Meiryo UI"/>
                <w:sz w:val="18"/>
              </w:rPr>
              <w:t>収益性改善（利益率向上）</w:t>
            </w:r>
          </w:p>
        </w:tc>
        <w:tc>
          <w:tcPr>
            <w:tcW w:type="dxa" w:w="2351"/>
            <w:shd w:val="clear" w:color="auto" w:fill="DDEBF7"/>
          </w:tcPr>
          <w:p>
            <w:r>
              <w:rPr>
                <w:rFonts w:ascii="Meiryo UI" w:hAnsi="Meiryo UI"/>
                <w:sz w:val="18"/>
              </w:rPr>
              <w:t>純利益率↑→ROE↑</w:t>
            </w:r>
          </w:p>
        </w:tc>
        <w:tc>
          <w:tcPr>
            <w:tcW w:type="dxa" w:w="2351"/>
            <w:shd w:val="clear" w:color="auto" w:fill="DDEBF7"/>
          </w:tcPr>
          <w:p>
            <w:r>
              <w:rPr>
                <w:rFonts w:ascii="Meiryo UI" w:hAnsi="Meiryo UI"/>
                <w:sz w:val="18"/>
              </w:rPr>
              <w:t>中</w:t>
            </w:r>
          </w:p>
        </w:tc>
        <w:tc>
          <w:tcPr>
            <w:tcW w:type="dxa" w:w="2351"/>
            <w:shd w:val="clear" w:color="auto" w:fill="DDEBF7"/>
          </w:tcPr>
          <w:p>
            <w:r>
              <w:rPr>
                <w:rFonts w:ascii="Meiryo UI" w:hAnsi="Meiryo UI"/>
                <w:sz w:val="18"/>
              </w:rPr>
              <w:t>防衛・インフラ需要増で受注増加・採算改善の余地あり</w:t>
            </w:r>
          </w:p>
        </w:tc>
      </w:tr>
      <w:tr>
        <w:tc>
          <w:tcPr>
            <w:tcW w:type="dxa" w:w="2351"/>
          </w:tcPr>
          <w:p>
            <w:r>
              <w:rPr>
                <w:rFonts w:ascii="Meiryo UI" w:hAnsi="Meiryo UI"/>
                <w:sz w:val="18"/>
              </w:rPr>
              <w:t>M&amp;A・成長投資</w:t>
            </w:r>
          </w:p>
        </w:tc>
        <w:tc>
          <w:tcPr>
            <w:tcW w:type="dxa" w:w="2351"/>
          </w:tcPr>
          <w:p>
            <w:r>
              <w:rPr>
                <w:rFonts w:ascii="Meiryo UI" w:hAnsi="Meiryo UI"/>
                <w:sz w:val="18"/>
              </w:rPr>
              <w:t>売上拡大・規模の経済</w:t>
            </w:r>
          </w:p>
        </w:tc>
        <w:tc>
          <w:tcPr>
            <w:tcW w:type="dxa" w:w="2351"/>
          </w:tcPr>
          <w:p>
            <w:r>
              <w:rPr>
                <w:rFonts w:ascii="Meiryo UI" w:hAnsi="Meiryo UI"/>
                <w:sz w:val="18"/>
              </w:rPr>
              <w:t>低</w:t>
            </w:r>
          </w:p>
        </w:tc>
        <w:tc>
          <w:tcPr>
            <w:tcW w:type="dxa" w:w="2351"/>
          </w:tcPr>
          <w:p>
            <w:r>
              <w:rPr>
                <w:rFonts w:ascii="Meiryo UI" w:hAnsi="Meiryo UI"/>
                <w:sz w:val="18"/>
              </w:rPr>
              <w:t>中堅ゼネコンの積極M&amp;Aは稀</w:t>
            </w:r>
          </w:p>
        </w:tc>
      </w:tr>
    </w:tbl>
    <w:p/>
    <w:p>
      <w:r>
        <w:rPr>
          <w:rFonts w:ascii="Meiryo UI" w:hAnsi="Meiryo UI"/>
          <w:sz w:val="20"/>
        </w:rPr>
        <w:t>蓋然性の総合評価：</w:t>
      </w:r>
    </w:p>
    <w:p>
      <w:r>
        <w:rPr>
          <w:rFonts w:ascii="Meiryo UI" w:hAnsi="Meiryo UI"/>
          <w:sz w:val="20"/>
        </w:rPr>
        <w:t>東証プライム市場のPBR改善要請（2023〜）により、大本組もPBR1.0倍超への取り組みを迫られる立場にある。自社株買い・増配という「低リスク・高効果」な手段の蓋然性は中〜高と判断する。ただし経営陣の株主還元姿勢・具体的な数値目標の公表が確認されるまでは、確信度は中程度に留める。</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直近FY業績サマリー（推定値・公開情報ベース）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推定値</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売上高</w:t>
            </w:r>
          </w:p>
        </w:tc>
        <w:tc>
          <w:tcPr>
            <w:tcW w:type="dxa" w:w="3135"/>
          </w:tcPr>
          <w:p>
            <w:r>
              <w:rPr>
                <w:rFonts w:ascii="Meiryo UI" w:hAnsi="Meiryo UI"/>
                <w:sz w:val="18"/>
              </w:rPr>
              <w:t>推定 ¥650〜700億</w:t>
            </w:r>
          </w:p>
        </w:tc>
        <w:tc>
          <w:tcPr>
            <w:tcW w:type="dxa" w:w="3135"/>
          </w:tcPr>
          <w:p>
            <w:r>
              <w:rPr>
                <w:rFonts w:ascii="Meiryo UI" w:hAnsi="Meiryo UI"/>
                <w:sz w:val="18"/>
              </w:rPr>
              <w:t>中堅ゼネコン規模感</w:t>
            </w:r>
          </w:p>
        </w:tc>
      </w:tr>
      <w:tr>
        <w:tc>
          <w:tcPr>
            <w:tcW w:type="dxa" w:w="3135"/>
            <w:shd w:val="clear" w:color="auto" w:fill="DDEBF7"/>
          </w:tcPr>
          <w:p>
            <w:r>
              <w:rPr>
                <w:rFonts w:ascii="Meiryo UI" w:hAnsi="Meiryo UI"/>
                <w:sz w:val="18"/>
              </w:rPr>
              <w:t>営業利益</w:t>
            </w:r>
          </w:p>
        </w:tc>
        <w:tc>
          <w:tcPr>
            <w:tcW w:type="dxa" w:w="3135"/>
            <w:shd w:val="clear" w:color="auto" w:fill="DDEBF7"/>
          </w:tcPr>
          <w:p>
            <w:r>
              <w:rPr>
                <w:rFonts w:ascii="Meiryo UI" w:hAnsi="Meiryo UI"/>
                <w:sz w:val="18"/>
              </w:rPr>
              <w:t>推定 ¥20〜35億</w:t>
            </w:r>
          </w:p>
        </w:tc>
        <w:tc>
          <w:tcPr>
            <w:tcW w:type="dxa" w:w="3135"/>
            <w:shd w:val="clear" w:color="auto" w:fill="DDEBF7"/>
          </w:tcPr>
          <w:p>
            <w:r>
              <w:rPr>
                <w:rFonts w:ascii="Meiryo UI" w:hAnsi="Meiryo UI"/>
                <w:sz w:val="18"/>
              </w:rPr>
              <w:t>営業利益率3〜5%</w:t>
            </w:r>
          </w:p>
        </w:tc>
      </w:tr>
      <w:tr>
        <w:tc>
          <w:tcPr>
            <w:tcW w:type="dxa" w:w="3135"/>
          </w:tcPr>
          <w:p>
            <w:r>
              <w:rPr>
                <w:rFonts w:ascii="Meiryo UI" w:hAnsi="Meiryo UI"/>
                <w:sz w:val="18"/>
              </w:rPr>
              <w:t>経常利益</w:t>
            </w:r>
          </w:p>
        </w:tc>
        <w:tc>
          <w:tcPr>
            <w:tcW w:type="dxa" w:w="3135"/>
          </w:tcPr>
          <w:p>
            <w:r>
              <w:rPr>
                <w:rFonts w:ascii="Meiryo UI" w:hAnsi="Meiryo UI"/>
                <w:sz w:val="18"/>
              </w:rPr>
              <w:t>推定 ¥25〜40億</w:t>
            </w:r>
          </w:p>
        </w:tc>
        <w:tc>
          <w:tcPr>
            <w:tcW w:type="dxa" w:w="3135"/>
          </w:tcPr>
          <w:p>
            <w:r>
              <w:rPr>
                <w:rFonts w:ascii="Meiryo UI" w:hAnsi="Meiryo UI"/>
                <w:sz w:val="18"/>
              </w:rPr>
              <w:t>金融収益含む</w:t>
            </w:r>
          </w:p>
        </w:tc>
      </w:tr>
      <w:tr>
        <w:tc>
          <w:tcPr>
            <w:tcW w:type="dxa" w:w="3135"/>
            <w:shd w:val="clear" w:color="auto" w:fill="DDEBF7"/>
          </w:tcPr>
          <w:p>
            <w:r>
              <w:rPr>
                <w:rFonts w:ascii="Meiryo UI" w:hAnsi="Meiryo UI"/>
                <w:sz w:val="18"/>
              </w:rPr>
              <w:t>純利益</w:t>
            </w:r>
          </w:p>
        </w:tc>
        <w:tc>
          <w:tcPr>
            <w:tcW w:type="dxa" w:w="3135"/>
            <w:shd w:val="clear" w:color="auto" w:fill="DDEBF7"/>
          </w:tcPr>
          <w:p>
            <w:r>
              <w:rPr>
                <w:rFonts w:ascii="Meiryo UI" w:hAnsi="Meiryo UI"/>
                <w:sz w:val="18"/>
              </w:rPr>
              <w:t>推定 ¥10〜20億</w:t>
            </w:r>
          </w:p>
        </w:tc>
        <w:tc>
          <w:tcPr>
            <w:tcW w:type="dxa" w:w="3135"/>
            <w:shd w:val="clear" w:color="auto" w:fill="DDEBF7"/>
          </w:tcPr>
          <w:p>
            <w:r>
              <w:rPr>
                <w:rFonts w:ascii="Meiryo UI" w:hAnsi="Meiryo UI"/>
                <w:sz w:val="18"/>
              </w:rPr>
              <w:t>EPS¥50から逆算</w:t>
            </w:r>
          </w:p>
        </w:tc>
      </w:tr>
      <w:tr>
        <w:tc>
          <w:tcPr>
            <w:tcW w:type="dxa" w:w="3135"/>
          </w:tcPr>
          <w:p>
            <w:r>
              <w:rPr>
                <w:rFonts w:ascii="Meiryo UI" w:hAnsi="Meiryo UI"/>
                <w:sz w:val="18"/>
              </w:rPr>
              <w:t>自己資本比率</w:t>
            </w:r>
          </w:p>
        </w:tc>
        <w:tc>
          <w:tcPr>
            <w:tcW w:type="dxa" w:w="3135"/>
          </w:tcPr>
          <w:p>
            <w:r>
              <w:rPr>
                <w:rFonts w:ascii="Meiryo UI" w:hAnsi="Meiryo UI"/>
                <w:sz w:val="18"/>
              </w:rPr>
              <w:t>推定 40〜50%超</w:t>
            </w:r>
          </w:p>
        </w:tc>
        <w:tc>
          <w:tcPr>
            <w:tcW w:type="dxa" w:w="3135"/>
          </w:tcPr>
          <w:p>
            <w:r>
              <w:rPr>
                <w:rFonts w:ascii="Meiryo UI" w:hAnsi="Meiryo UI"/>
                <w:sz w:val="18"/>
              </w:rPr>
              <w:t>社長注目点・高水準</w:t>
            </w:r>
          </w:p>
        </w:tc>
      </w:tr>
      <w:tr>
        <w:tc>
          <w:tcPr>
            <w:tcW w:type="dxa" w:w="3135"/>
            <w:shd w:val="clear" w:color="auto" w:fill="DDEBF7"/>
          </w:tcPr>
          <w:p>
            <w:r>
              <w:rPr>
                <w:rFonts w:ascii="Meiryo UI" w:hAnsi="Meiryo UI"/>
                <w:sz w:val="18"/>
              </w:rPr>
              <w:t>有利子負債</w:t>
            </w:r>
          </w:p>
        </w:tc>
        <w:tc>
          <w:tcPr>
            <w:tcW w:type="dxa" w:w="3135"/>
            <w:shd w:val="clear" w:color="auto" w:fill="DDEBF7"/>
          </w:tcPr>
          <w:p>
            <w:r>
              <w:rPr>
                <w:rFonts w:ascii="Meiryo UI" w:hAnsi="Meiryo UI"/>
                <w:sz w:val="18"/>
              </w:rPr>
              <w:t>推定 低水準</w:t>
            </w:r>
          </w:p>
        </w:tc>
        <w:tc>
          <w:tcPr>
            <w:tcW w:type="dxa" w:w="3135"/>
            <w:shd w:val="clear" w:color="auto" w:fill="DDEBF7"/>
          </w:tcPr>
          <w:p>
            <w:r>
              <w:rPr>
                <w:rFonts w:ascii="Meiryo UI" w:hAnsi="Meiryo UI"/>
                <w:sz w:val="18"/>
              </w:rPr>
              <w:t>財務健全性の根拠</w:t>
            </w:r>
          </w:p>
        </w:tc>
      </w:tr>
    </w:tbl>
    <w:p/>
    <w:p>
      <w:r>
        <w:rPr>
          <w:rFonts w:ascii="Meiryo UI" w:hAnsi="Meiryo UI"/>
          <w:sz w:val="20"/>
        </w:rPr>
        <w:t>EPS逆算による純利益・発行株数推計：</w:t>
      </w:r>
    </w:p>
    <w:p/>
    <w:p>
      <w:pPr>
        <w:shd w:val="clear" w:color="auto" w:fill="F2F2F2"/>
      </w:pPr>
      <w:r>
        <w:rPr>
          <w:rFonts w:ascii="Courier New" w:hAnsi="Courier New"/>
          <w:sz w:val="16"/>
        </w:rPr>
        <w:t>EPS = ¥50</w:t>
        <w:br/>
        <w:t>株価 = ¥1,665</w:t>
        <w:br/>
        <w:t>PER = 33.6倍 → EPS = 1,665 / 33.6 ≈ ¥49.6（≒¥50 整合）</w:t>
        <w:br/>
        <w:br/>
        <w:t>BPS = ¥1,405 → 自己資本 = BPS × 発行株数</w:t>
        <w:br/>
        <w:t>PBR = 1.19 → 時価総額 = 1,665 × 発行株数</w:t>
        <w:br/>
        <w:br/>
        <w:t>発行株数推計：自己資本 ÷ BPS = 推定 1,200〜1,400万株前後</w:t>
        <w:br/>
        <w:t>純利益推計：EPS ¥50 × 発行株数 ≈ ¥6〜7億</w:t>
      </w:r>
    </w:p>
    <w:p/>
    <w:p>
      <w:r>
        <w:rPr>
          <w:rFonts w:ascii="Meiryo UI" w:hAnsi="Meiryo UI"/>
          <w:sz w:val="20"/>
        </w:rPr>
        <w:t>&gt; ⚠️ 発行株数・正確な純利益は有価証券報告書要確認。上記はEPS・BPS逆算の概算。</w:t>
      </w:r>
    </w:p>
    <w:p/>
    <w:p>
      <w:pPr>
        <w:pStyle w:val="Heading3"/>
      </w:pPr>
      <w:r>
        <w:rPr>
          <w:rFonts w:ascii="Meiryo UI" w:hAnsi="Meiryo UI"/>
          <w:color w:val="2E74B5"/>
        </w:rPr>
        <w:t>3-2. キャッシュフロー特性（建設業一般）</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CF項目</w:t>
            </w:r>
          </w:p>
        </w:tc>
        <w:tc>
          <w:tcPr>
            <w:tcW w:type="dxa" w:w="3135"/>
            <w:shd w:val="clear" w:color="auto" w:fill="2E74B5"/>
          </w:tcPr>
          <w:p>
            <w:r>
              <w:rPr>
                <w:rFonts w:ascii="Meiryo UI" w:hAnsi="Meiryo UI"/>
                <w:b/>
                <w:color w:val="FFFFFF"/>
                <w:sz w:val="18"/>
              </w:rPr>
              <w:t>特性</w:t>
            </w:r>
          </w:p>
        </w:tc>
        <w:tc>
          <w:tcPr>
            <w:tcW w:type="dxa" w:w="3135"/>
            <w:shd w:val="clear" w:color="auto" w:fill="2E74B5"/>
          </w:tcPr>
          <w:p>
            <w:r>
              <w:rPr>
                <w:rFonts w:ascii="Meiryo UI" w:hAnsi="Meiryo UI"/>
                <w:b/>
                <w:color w:val="FFFFFF"/>
                <w:sz w:val="18"/>
              </w:rPr>
              <w:t>大本組推定</w:t>
            </w:r>
          </w:p>
        </w:tc>
      </w:tr>
      <w:tr>
        <w:tc>
          <w:tcPr>
            <w:tcW w:type="dxa" w:w="3135"/>
          </w:tcPr>
          <w:p>
            <w:r>
              <w:rPr>
                <w:rFonts w:ascii="Meiryo UI" w:hAnsi="Meiryo UI"/>
                <w:sz w:val="18"/>
              </w:rPr>
              <w:t>営業CF</w:t>
            </w:r>
          </w:p>
        </w:tc>
        <w:tc>
          <w:tcPr>
            <w:tcW w:type="dxa" w:w="3135"/>
          </w:tcPr>
          <w:p>
            <w:r>
              <w:rPr>
                <w:rFonts w:ascii="Meiryo UI" w:hAnsi="Meiryo UI"/>
                <w:sz w:val="18"/>
              </w:rPr>
              <w:t>受注・工事進捗に連動。四半期変動大</w:t>
            </w:r>
          </w:p>
        </w:tc>
        <w:tc>
          <w:tcPr>
            <w:tcW w:type="dxa" w:w="3135"/>
          </w:tcPr>
          <w:p>
            <w:r>
              <w:rPr>
                <w:rFonts w:ascii="Meiryo UI" w:hAnsi="Meiryo UI"/>
                <w:sz w:val="18"/>
              </w:rPr>
              <w:t>推定プラス基調</w:t>
            </w:r>
          </w:p>
        </w:tc>
      </w:tr>
      <w:tr>
        <w:tc>
          <w:tcPr>
            <w:tcW w:type="dxa" w:w="3135"/>
            <w:shd w:val="clear" w:color="auto" w:fill="DDEBF7"/>
          </w:tcPr>
          <w:p>
            <w:r>
              <w:rPr>
                <w:rFonts w:ascii="Meiryo UI" w:hAnsi="Meiryo UI"/>
                <w:sz w:val="18"/>
              </w:rPr>
              <w:t>投資CF</w:t>
            </w:r>
          </w:p>
        </w:tc>
        <w:tc>
          <w:tcPr>
            <w:tcW w:type="dxa" w:w="3135"/>
            <w:shd w:val="clear" w:color="auto" w:fill="DDEBF7"/>
          </w:tcPr>
          <w:p>
            <w:r>
              <w:rPr>
                <w:rFonts w:ascii="Meiryo UI" w:hAnsi="Meiryo UI"/>
                <w:sz w:val="18"/>
              </w:rPr>
              <w:t>設備投資は軽微（ゼネコンはアセットライト）</w:t>
            </w:r>
          </w:p>
        </w:tc>
        <w:tc>
          <w:tcPr>
            <w:tcW w:type="dxa" w:w="3135"/>
            <w:shd w:val="clear" w:color="auto" w:fill="DDEBF7"/>
          </w:tcPr>
          <w:p>
            <w:r>
              <w:rPr>
                <w:rFonts w:ascii="Meiryo UI" w:hAnsi="Meiryo UI"/>
                <w:sz w:val="18"/>
              </w:rPr>
              <w:t>推定▲数億〜十数億</w:t>
            </w:r>
          </w:p>
        </w:tc>
      </w:tr>
      <w:tr>
        <w:tc>
          <w:tcPr>
            <w:tcW w:type="dxa" w:w="3135"/>
          </w:tcPr>
          <w:p>
            <w:r>
              <w:rPr>
                <w:rFonts w:ascii="Meiryo UI" w:hAnsi="Meiryo UI"/>
                <w:sz w:val="18"/>
              </w:rPr>
              <w:t>FCF</w:t>
            </w:r>
          </w:p>
        </w:tc>
        <w:tc>
          <w:tcPr>
            <w:tcW w:type="dxa" w:w="3135"/>
          </w:tcPr>
          <w:p>
            <w:r>
              <w:rPr>
                <w:rFonts w:ascii="Meiryo UI" w:hAnsi="Meiryo UI"/>
                <w:sz w:val="18"/>
              </w:rPr>
              <w:t>営業CF - 投資CF</w:t>
            </w:r>
          </w:p>
        </w:tc>
        <w:tc>
          <w:tcPr>
            <w:tcW w:type="dxa" w:w="3135"/>
          </w:tcPr>
          <w:p>
            <w:r>
              <w:rPr>
                <w:rFonts w:ascii="Meiryo UI" w:hAnsi="Meiryo UI"/>
                <w:sz w:val="18"/>
              </w:rPr>
              <w:t>推定プラス基調</w:t>
            </w:r>
          </w:p>
        </w:tc>
      </w:tr>
      <w:tr>
        <w:tc>
          <w:tcPr>
            <w:tcW w:type="dxa" w:w="3135"/>
            <w:shd w:val="clear" w:color="auto" w:fill="DDEBF7"/>
          </w:tcPr>
          <w:p>
            <w:r>
              <w:rPr>
                <w:rFonts w:ascii="Meiryo UI" w:hAnsi="Meiryo UI"/>
                <w:sz w:val="18"/>
              </w:rPr>
              <w:t>財務CF</w:t>
            </w:r>
          </w:p>
        </w:tc>
        <w:tc>
          <w:tcPr>
            <w:tcW w:type="dxa" w:w="3135"/>
            <w:shd w:val="clear" w:color="auto" w:fill="DDEBF7"/>
          </w:tcPr>
          <w:p>
            <w:r>
              <w:rPr>
                <w:rFonts w:ascii="Meiryo UI" w:hAnsi="Meiryo UI"/>
                <w:sz w:val="18"/>
              </w:rPr>
              <w:t>借入返済・配当支払い中心</w:t>
            </w:r>
          </w:p>
        </w:tc>
        <w:tc>
          <w:tcPr>
            <w:tcW w:type="dxa" w:w="3135"/>
            <w:shd w:val="clear" w:color="auto" w:fill="DDEBF7"/>
          </w:tcPr>
          <w:p>
            <w:r>
              <w:rPr>
                <w:rFonts w:ascii="Meiryo UI" w:hAnsi="Meiryo UI"/>
                <w:sz w:val="18"/>
              </w:rPr>
              <w:t>推定マイナス（健全）</w:t>
            </w:r>
          </w:p>
        </w:tc>
      </w:tr>
    </w:tbl>
    <w:p/>
    <w:p>
      <w:r>
        <w:rPr>
          <w:rFonts w:ascii="Meiryo UI" w:hAnsi="Meiryo UI"/>
          <w:sz w:val="20"/>
        </w:rPr>
        <w:t>FCFマージン推定： 売上高の2〜4%（建設業標準レンジ）</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WACC計算</w:t>
      </w:r>
    </w:p>
    <w:p/>
    <w:p>
      <w:r>
        <w:rPr>
          <w:rFonts w:ascii="Meiryo UI" w:hAnsi="Meiryo UI"/>
          <w:sz w:val="20"/>
        </w:rPr>
        <w:t>ステップ1：株主資本コスト（Re）</w:t>
      </w:r>
    </w:p>
    <w:p/>
    <w:p>
      <w:pPr>
        <w:shd w:val="clear" w:color="auto" w:fill="F2F2F2"/>
      </w:pPr>
      <w:r>
        <w:rPr>
          <w:rFonts w:ascii="Courier New" w:hAnsi="Courier New"/>
          <w:sz w:val="16"/>
        </w:rPr>
        <w:t>Re = Rf + β × ERP</w:t>
        <w:br/>
        <w:br/>
        <w:t>Rf = 2.380%（JGB10Y・社長確認値）</w:t>
        <w:br/>
        <w:t>β  = 0.70（建設業中堅・推定。インフラ受注依存で景気感応度はやや低め）</w:t>
        <w:br/>
        <w:t>ERP = 6.0%（日本市場標準・Damodaran参考）</w:t>
        <w:br/>
        <w:br/>
        <w:t>Re = 2.380% + 0.70 × 6.0%</w:t>
        <w:br/>
        <w:t xml:space="preserve">   = 2.380% + 4.200%</w:t>
        <w:br/>
        <w:t xml:space="preserve">   = 6.58%</w:t>
      </w:r>
    </w:p>
    <w:p/>
    <w:p>
      <w:r>
        <w:rPr>
          <w:rFonts w:ascii="Meiryo UI" w:hAnsi="Meiryo UI"/>
          <w:sz w:val="20"/>
        </w:rPr>
        <w:t>ステップ2：負債コスト（Rd）</w:t>
      </w:r>
    </w:p>
    <w:p/>
    <w:p>
      <w:pPr>
        <w:shd w:val="clear" w:color="auto" w:fill="F2F2F2"/>
      </w:pPr>
      <w:r>
        <w:rPr>
          <w:rFonts w:ascii="Courier New" w:hAnsi="Courier New"/>
          <w:sz w:val="16"/>
        </w:rPr>
        <w:t>Rd（税引後） = 推定1.5% × (1 - 30%) = 1.05%</w:t>
        <w:br/>
        <w:t>※ 高自己資本比率・低借入体質のため負債コストは低水準</w:t>
        <w:br/>
        <w:t>税率 Tc = 30%（実効税率）</w:t>
      </w:r>
    </w:p>
    <w:p/>
    <w:p>
      <w:r>
        <w:rPr>
          <w:rFonts w:ascii="Meiryo UI" w:hAnsi="Meiryo UI"/>
          <w:sz w:val="20"/>
        </w:rPr>
        <w:t>ステップ3：資本構成</w:t>
      </w:r>
    </w:p>
    <w:p/>
    <w:p>
      <w:pPr>
        <w:shd w:val="clear" w:color="auto" w:fill="F2F2F2"/>
      </w:pPr>
      <w:r>
        <w:rPr>
          <w:rFonts w:ascii="Courier New" w:hAnsi="Courier New"/>
          <w:sz w:val="16"/>
        </w:rPr>
        <w:t>自己資本比率（E/V）= 70%（高自己資本比率を反映）</w:t>
        <w:br/>
        <w:t>負債比率（D/V）  = 30%</w:t>
      </w:r>
    </w:p>
    <w:p/>
    <w:p>
      <w:r>
        <w:rPr>
          <w:rFonts w:ascii="Meiryo UI" w:hAnsi="Meiryo UI"/>
          <w:sz w:val="20"/>
        </w:rPr>
        <w:t>ステップ4：WACC算出</w:t>
      </w:r>
    </w:p>
    <w:p/>
    <w:p>
      <w:pPr>
        <w:shd w:val="clear" w:color="auto" w:fill="F2F2F2"/>
      </w:pPr>
      <w:r>
        <w:rPr>
          <w:rFonts w:ascii="Courier New" w:hAnsi="Courier New"/>
          <w:sz w:val="16"/>
        </w:rPr>
        <w:t>WACC = E/V × Re + D/V × Rd × (1-Tc)</w:t>
        <w:br/>
        <w:t xml:space="preserve">     = 0.70 × 6.58% + 0.30 × 1.05%</w:t>
        <w:br/>
        <w:t xml:space="preserve">     = 4.606% + 0.315%</w:t>
        <w:br/>
        <w:t xml:space="preserve">     = 4.92%（≈ 4.9%）</w:t>
      </w:r>
    </w:p>
    <w:p/>
    <w:p>
      <w:pPr>
        <w:pStyle w:val="Heading3"/>
      </w:pPr>
      <w:r>
        <w:rPr>
          <w:rFonts w:ascii="Meiryo UI" w:hAnsi="Meiryo UI"/>
          <w:color w:val="2E74B5"/>
        </w:rPr>
        <w:t>4-2. DCFモデル前提条件</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前提項目</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w:t>
            </w:r>
          </w:p>
        </w:tc>
        <w:tc>
          <w:tcPr>
            <w:tcW w:type="dxa" w:w="3135"/>
          </w:tcPr>
          <w:p>
            <w:r>
              <w:rPr>
                <w:rFonts w:ascii="Meiryo UI" w:hAnsi="Meiryo UI"/>
                <w:sz w:val="18"/>
              </w:rPr>
              <w:t>2.380%</w:t>
            </w:r>
          </w:p>
        </w:tc>
        <w:tc>
          <w:tcPr>
            <w:tcW w:type="dxa" w:w="3135"/>
          </w:tcPr>
          <w:p>
            <w:r>
              <w:rPr>
                <w:rFonts w:ascii="Meiryo UI" w:hAnsi="Meiryo UI"/>
                <w:sz w:val="18"/>
              </w:rPr>
              <w:t>JGB10Y（社長確認値）</w:t>
            </w:r>
          </w:p>
        </w:tc>
      </w:tr>
      <w:tr>
        <w:tc>
          <w:tcPr>
            <w:tcW w:type="dxa" w:w="3135"/>
            <w:shd w:val="clear" w:color="auto" w:fill="DDEBF7"/>
          </w:tcPr>
          <w:p>
            <w:r>
              <w:rPr>
                <w:rFonts w:ascii="Meiryo UI" w:hAnsi="Meiryo UI"/>
                <w:sz w:val="18"/>
              </w:rPr>
              <w:t>ERP</w:t>
            </w:r>
          </w:p>
        </w:tc>
        <w:tc>
          <w:tcPr>
            <w:tcW w:type="dxa" w:w="3135"/>
            <w:shd w:val="clear" w:color="auto" w:fill="DDEBF7"/>
          </w:tcPr>
          <w:p>
            <w:r>
              <w:rPr>
                <w:rFonts w:ascii="Meiryo UI" w:hAnsi="Meiryo UI"/>
                <w:sz w:val="18"/>
              </w:rPr>
              <w:t>6.0%</w:t>
            </w:r>
          </w:p>
        </w:tc>
        <w:tc>
          <w:tcPr>
            <w:tcW w:type="dxa" w:w="3135"/>
            <w:shd w:val="clear" w:color="auto" w:fill="DDEBF7"/>
          </w:tcPr>
          <w:p>
            <w:r>
              <w:rPr>
                <w:rFonts w:ascii="Meiryo UI" w:hAnsi="Meiryo UI"/>
                <w:sz w:val="18"/>
              </w:rPr>
              <w:t>日本市場標準</w:t>
            </w:r>
          </w:p>
        </w:tc>
      </w:tr>
      <w:tr>
        <w:tc>
          <w:tcPr>
            <w:tcW w:type="dxa" w:w="3135"/>
          </w:tcPr>
          <w:p>
            <w:r>
              <w:rPr>
                <w:rFonts w:ascii="Meiryo UI" w:hAnsi="Meiryo UI"/>
                <w:sz w:val="18"/>
              </w:rPr>
              <w:t>β</w:t>
            </w:r>
          </w:p>
        </w:tc>
        <w:tc>
          <w:tcPr>
            <w:tcW w:type="dxa" w:w="3135"/>
          </w:tcPr>
          <w:p>
            <w:r>
              <w:rPr>
                <w:rFonts w:ascii="Meiryo UI" w:hAnsi="Meiryo UI"/>
                <w:sz w:val="18"/>
              </w:rPr>
              <w:t>0.70</w:t>
            </w:r>
          </w:p>
        </w:tc>
        <w:tc>
          <w:tcPr>
            <w:tcW w:type="dxa" w:w="3135"/>
          </w:tcPr>
          <w:p>
            <w:r>
              <w:rPr>
                <w:rFonts w:ascii="Meiryo UI" w:hAnsi="Meiryo UI"/>
                <w:sz w:val="18"/>
              </w:rPr>
              <w:t>中堅ゼネコン推定</w:t>
            </w:r>
          </w:p>
        </w:tc>
      </w:tr>
      <w:tr>
        <w:tc>
          <w:tcPr>
            <w:tcW w:type="dxa" w:w="3135"/>
            <w:shd w:val="clear" w:color="auto" w:fill="DDEBF7"/>
          </w:tcPr>
          <w:p>
            <w:r>
              <w:rPr>
                <w:rFonts w:ascii="Meiryo UI" w:hAnsi="Meiryo UI"/>
                <w:sz w:val="18"/>
              </w:rPr>
              <w:t>Re</w:t>
            </w:r>
          </w:p>
        </w:tc>
        <w:tc>
          <w:tcPr>
            <w:tcW w:type="dxa" w:w="3135"/>
            <w:shd w:val="clear" w:color="auto" w:fill="DDEBF7"/>
          </w:tcPr>
          <w:p>
            <w:r>
              <w:rPr>
                <w:rFonts w:ascii="Meiryo UI" w:hAnsi="Meiryo UI"/>
                <w:sz w:val="18"/>
              </w:rPr>
              <w:t>6.58%</w:t>
            </w:r>
          </w:p>
        </w:tc>
        <w:tc>
          <w:tcPr>
            <w:tcW w:type="dxa" w:w="3135"/>
            <w:shd w:val="clear" w:color="auto" w:fill="DDEBF7"/>
          </w:tcPr>
          <w:p>
            <w:r>
              <w:rPr>
                <w:rFonts w:ascii="Meiryo UI" w:hAnsi="Meiryo UI"/>
                <w:sz w:val="18"/>
              </w:rPr>
              <w:t>上記計算</w:t>
            </w:r>
          </w:p>
        </w:tc>
      </w:tr>
      <w:tr>
        <w:tc>
          <w:tcPr>
            <w:tcW w:type="dxa" w:w="3135"/>
          </w:tcPr>
          <w:p>
            <w:r>
              <w:rPr>
                <w:rFonts w:ascii="Meiryo UI" w:hAnsi="Meiryo UI"/>
                <w:sz w:val="18"/>
              </w:rPr>
              <w:t>WACC</w:t>
            </w:r>
          </w:p>
        </w:tc>
        <w:tc>
          <w:tcPr>
            <w:tcW w:type="dxa" w:w="3135"/>
          </w:tcPr>
          <w:p>
            <w:r>
              <w:rPr>
                <w:rFonts w:ascii="Meiryo UI" w:hAnsi="Meiryo UI"/>
                <w:sz w:val="18"/>
              </w:rPr>
              <w:t>4.92%</w:t>
            </w:r>
          </w:p>
        </w:tc>
        <w:tc>
          <w:tcPr>
            <w:tcW w:type="dxa" w:w="3135"/>
          </w:tcPr>
          <w:p>
            <w:r>
              <w:rPr>
                <w:rFonts w:ascii="Meiryo UI" w:hAnsi="Meiryo UI"/>
                <w:sz w:val="18"/>
              </w:rPr>
              <w:t>上記計算</w:t>
            </w:r>
          </w:p>
        </w:tc>
      </w:tr>
      <w:tr>
        <w:tc>
          <w:tcPr>
            <w:tcW w:type="dxa" w:w="3135"/>
            <w:shd w:val="clear" w:color="auto" w:fill="DDEBF7"/>
          </w:tcPr>
          <w:p>
            <w:r>
              <w:rPr>
                <w:rFonts w:ascii="Meiryo UI" w:hAnsi="Meiryo UI"/>
                <w:sz w:val="18"/>
              </w:rPr>
              <w:t>ターミナル成長率（g）</w:t>
            </w:r>
          </w:p>
        </w:tc>
        <w:tc>
          <w:tcPr>
            <w:tcW w:type="dxa" w:w="3135"/>
            <w:shd w:val="clear" w:color="auto" w:fill="DDEBF7"/>
          </w:tcPr>
          <w:p>
            <w:r>
              <w:rPr>
                <w:rFonts w:ascii="Meiryo UI" w:hAnsi="Meiryo UI"/>
                <w:sz w:val="18"/>
              </w:rPr>
              <w:t>0.5%</w:t>
            </w:r>
          </w:p>
        </w:tc>
        <w:tc>
          <w:tcPr>
            <w:tcW w:type="dxa" w:w="3135"/>
            <w:shd w:val="clear" w:color="auto" w:fill="DDEBF7"/>
          </w:tcPr>
          <w:p>
            <w:r>
              <w:rPr>
                <w:rFonts w:ascii="Meiryo UI" w:hAnsi="Meiryo UI"/>
                <w:sz w:val="18"/>
              </w:rPr>
              <w:t>中堅建設・低成長前提</w:t>
            </w:r>
          </w:p>
        </w:tc>
      </w:tr>
      <w:tr>
        <w:tc>
          <w:tcPr>
            <w:tcW w:type="dxa" w:w="3135"/>
          </w:tcPr>
          <w:p>
            <w:r>
              <w:rPr>
                <w:rFonts w:ascii="Meiryo UI" w:hAnsi="Meiryo UI"/>
                <w:sz w:val="18"/>
              </w:rPr>
              <w:t>予測期間</w:t>
            </w:r>
          </w:p>
        </w:tc>
        <w:tc>
          <w:tcPr>
            <w:tcW w:type="dxa" w:w="3135"/>
          </w:tcPr>
          <w:p>
            <w:r>
              <w:rPr>
                <w:rFonts w:ascii="Meiryo UI" w:hAnsi="Meiryo UI"/>
                <w:sz w:val="18"/>
              </w:rPr>
              <w:t>5年</w:t>
            </w:r>
          </w:p>
        </w:tc>
        <w:tc>
          <w:tcPr>
            <w:tcW w:type="dxa" w:w="3135"/>
          </w:tcPr>
          <w:p>
            <w:r>
              <w:rPr>
                <w:rFonts w:ascii="Meiryo UI" w:hAnsi="Meiryo UI"/>
                <w:sz w:val="18"/>
              </w:rPr>
              <w:t>標準DCF</w:t>
            </w:r>
          </w:p>
        </w:tc>
      </w:tr>
      <w:tr>
        <w:tc>
          <w:tcPr>
            <w:tcW w:type="dxa" w:w="3135"/>
            <w:shd w:val="clear" w:color="auto" w:fill="DDEBF7"/>
          </w:tcPr>
          <w:p>
            <w:r>
              <w:rPr>
                <w:rFonts w:ascii="Meiryo UI" w:hAnsi="Meiryo UI"/>
                <w:sz w:val="18"/>
              </w:rPr>
              <w:t>基準EPS</w:t>
            </w:r>
          </w:p>
        </w:tc>
        <w:tc>
          <w:tcPr>
            <w:tcW w:type="dxa" w:w="3135"/>
            <w:shd w:val="clear" w:color="auto" w:fill="DDEBF7"/>
          </w:tcPr>
          <w:p>
            <w:r>
              <w:rPr>
                <w:rFonts w:ascii="Meiryo UI" w:hAnsi="Meiryo UI"/>
                <w:sz w:val="18"/>
              </w:rPr>
              <w:t>¥50</w:t>
            </w:r>
          </w:p>
        </w:tc>
        <w:tc>
          <w:tcPr>
            <w:tcW w:type="dxa" w:w="3135"/>
            <w:shd w:val="clear" w:color="auto" w:fill="DDEBF7"/>
          </w:tcPr>
          <w:p>
            <w:r>
              <w:rPr>
                <w:rFonts w:ascii="Meiryo UI" w:hAnsi="Meiryo UI"/>
                <w:sz w:val="18"/>
              </w:rPr>
              <w:t>Yahoo Finance取得値</w:t>
            </w:r>
          </w:p>
        </w:tc>
      </w:tr>
    </w:tbl>
    <w:p/>
    <w:p>
      <w:pPr>
        <w:pStyle w:val="Heading3"/>
      </w:pPr>
      <w:r>
        <w:rPr>
          <w:rFonts w:ascii="Meiryo UI" w:hAnsi="Meiryo UI"/>
          <w:color w:val="2E74B5"/>
        </w:rPr>
        <w:t>4-3. 3シナリオDCF</w:t>
      </w:r>
    </w:p>
    <w:p/>
    <w:p>
      <w:r>
        <w:rPr>
          <w:rFonts w:ascii="Meiryo UI" w:hAnsi="Meiryo UI"/>
          <w:sz w:val="20"/>
        </w:rPr>
        <w:t>【ベースケース】（ROE緩やかな改善なし・現状維持）</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年度</w:t>
            </w:r>
          </w:p>
        </w:tc>
        <w:tc>
          <w:tcPr>
            <w:tcW w:type="dxa" w:w="3135"/>
            <w:shd w:val="clear" w:color="auto" w:fill="2E74B5"/>
          </w:tcPr>
          <w:p>
            <w:r>
              <w:rPr>
                <w:rFonts w:ascii="Meiryo UI" w:hAnsi="Meiryo UI"/>
                <w:b/>
                <w:color w:val="FFFFFF"/>
                <w:sz w:val="18"/>
              </w:rPr>
              <w:t>EPS推計</w:t>
            </w:r>
          </w:p>
        </w:tc>
        <w:tc>
          <w:tcPr>
            <w:tcW w:type="dxa" w:w="3135"/>
            <w:shd w:val="clear" w:color="auto" w:fill="2E74B5"/>
          </w:tcPr>
          <w:p>
            <w:r>
              <w:rPr>
                <w:rFonts w:ascii="Meiryo UI" w:hAnsi="Meiryo UI"/>
                <w:b/>
                <w:color w:val="FFFFFF"/>
                <w:sz w:val="18"/>
              </w:rPr>
              <w:t>成長率</w:t>
            </w:r>
          </w:p>
        </w:tc>
      </w:tr>
      <w:tr>
        <w:tc>
          <w:tcPr>
            <w:tcW w:type="dxa" w:w="3135"/>
          </w:tcPr>
          <w:p>
            <w:r>
              <w:rPr>
                <w:rFonts w:ascii="Meiryo UI" w:hAnsi="Meiryo UI"/>
                <w:sz w:val="18"/>
              </w:rPr>
              <w:t>FY1</w:t>
            </w:r>
          </w:p>
        </w:tc>
        <w:tc>
          <w:tcPr>
            <w:tcW w:type="dxa" w:w="3135"/>
          </w:tcPr>
          <w:p>
            <w:r>
              <w:rPr>
                <w:rFonts w:ascii="Meiryo UI" w:hAnsi="Meiryo UI"/>
                <w:sz w:val="18"/>
              </w:rPr>
              <w:t>¥52</w:t>
            </w:r>
          </w:p>
        </w:tc>
        <w:tc>
          <w:tcPr>
            <w:tcW w:type="dxa" w:w="3135"/>
          </w:tcPr>
          <w:p>
            <w:r>
              <w:rPr>
                <w:rFonts w:ascii="Meiryo UI" w:hAnsi="Meiryo UI"/>
                <w:sz w:val="18"/>
              </w:rPr>
              <w:t>+4%</w:t>
            </w:r>
          </w:p>
        </w:tc>
      </w:tr>
      <w:tr>
        <w:tc>
          <w:tcPr>
            <w:tcW w:type="dxa" w:w="3135"/>
            <w:shd w:val="clear" w:color="auto" w:fill="DDEBF7"/>
          </w:tcPr>
          <w:p>
            <w:r>
              <w:rPr>
                <w:rFonts w:ascii="Meiryo UI" w:hAnsi="Meiryo UI"/>
                <w:sz w:val="18"/>
              </w:rPr>
              <w:t>FY2</w:t>
            </w:r>
          </w:p>
        </w:tc>
        <w:tc>
          <w:tcPr>
            <w:tcW w:type="dxa" w:w="3135"/>
            <w:shd w:val="clear" w:color="auto" w:fill="DDEBF7"/>
          </w:tcPr>
          <w:p>
            <w:r>
              <w:rPr>
                <w:rFonts w:ascii="Meiryo UI" w:hAnsi="Meiryo UI"/>
                <w:sz w:val="18"/>
              </w:rPr>
              <w:t>¥54</w:t>
            </w:r>
          </w:p>
        </w:tc>
        <w:tc>
          <w:tcPr>
            <w:tcW w:type="dxa" w:w="3135"/>
            <w:shd w:val="clear" w:color="auto" w:fill="DDEBF7"/>
          </w:tcPr>
          <w:p>
            <w:r>
              <w:rPr>
                <w:rFonts w:ascii="Meiryo UI" w:hAnsi="Meiryo UI"/>
                <w:sz w:val="18"/>
              </w:rPr>
              <w:t>+4%</w:t>
            </w:r>
          </w:p>
        </w:tc>
      </w:tr>
      <w:tr>
        <w:tc>
          <w:tcPr>
            <w:tcW w:type="dxa" w:w="3135"/>
          </w:tcPr>
          <w:p>
            <w:r>
              <w:rPr>
                <w:rFonts w:ascii="Meiryo UI" w:hAnsi="Meiryo UI"/>
                <w:sz w:val="18"/>
              </w:rPr>
              <w:t>FY3</w:t>
            </w:r>
          </w:p>
        </w:tc>
        <w:tc>
          <w:tcPr>
            <w:tcW w:type="dxa" w:w="3135"/>
          </w:tcPr>
          <w:p>
            <w:r>
              <w:rPr>
                <w:rFonts w:ascii="Meiryo UI" w:hAnsi="Meiryo UI"/>
                <w:sz w:val="18"/>
              </w:rPr>
              <w:t>¥56</w:t>
            </w:r>
          </w:p>
        </w:tc>
        <w:tc>
          <w:tcPr>
            <w:tcW w:type="dxa" w:w="3135"/>
          </w:tcPr>
          <w:p>
            <w:r>
              <w:rPr>
                <w:rFonts w:ascii="Meiryo UI" w:hAnsi="Meiryo UI"/>
                <w:sz w:val="18"/>
              </w:rPr>
              <w:t>+4%</w:t>
            </w:r>
          </w:p>
        </w:tc>
      </w:tr>
      <w:tr>
        <w:tc>
          <w:tcPr>
            <w:tcW w:type="dxa" w:w="3135"/>
            <w:shd w:val="clear" w:color="auto" w:fill="DDEBF7"/>
          </w:tcPr>
          <w:p>
            <w:r>
              <w:rPr>
                <w:rFonts w:ascii="Meiryo UI" w:hAnsi="Meiryo UI"/>
                <w:sz w:val="18"/>
              </w:rPr>
              <w:t>FY4</w:t>
            </w:r>
          </w:p>
        </w:tc>
        <w:tc>
          <w:tcPr>
            <w:tcW w:type="dxa" w:w="3135"/>
            <w:shd w:val="clear" w:color="auto" w:fill="DDEBF7"/>
          </w:tcPr>
          <w:p>
            <w:r>
              <w:rPr>
                <w:rFonts w:ascii="Meiryo UI" w:hAnsi="Meiryo UI"/>
                <w:sz w:val="18"/>
              </w:rPr>
              <w:t>¥57</w:t>
            </w:r>
          </w:p>
        </w:tc>
        <w:tc>
          <w:tcPr>
            <w:tcW w:type="dxa" w:w="3135"/>
            <w:shd w:val="clear" w:color="auto" w:fill="DDEBF7"/>
          </w:tcPr>
          <w:p>
            <w:r>
              <w:rPr>
                <w:rFonts w:ascii="Meiryo UI" w:hAnsi="Meiryo UI"/>
                <w:sz w:val="18"/>
              </w:rPr>
              <w:t>+2%</w:t>
            </w:r>
          </w:p>
        </w:tc>
      </w:tr>
      <w:tr>
        <w:tc>
          <w:tcPr>
            <w:tcW w:type="dxa" w:w="3135"/>
          </w:tcPr>
          <w:p>
            <w:r>
              <w:rPr>
                <w:rFonts w:ascii="Meiryo UI" w:hAnsi="Meiryo UI"/>
                <w:sz w:val="18"/>
              </w:rPr>
              <w:t>FY5</w:t>
            </w:r>
          </w:p>
        </w:tc>
        <w:tc>
          <w:tcPr>
            <w:tcW w:type="dxa" w:w="3135"/>
          </w:tcPr>
          <w:p>
            <w:r>
              <w:rPr>
                <w:rFonts w:ascii="Meiryo UI" w:hAnsi="Meiryo UI"/>
                <w:sz w:val="18"/>
              </w:rPr>
              <w:t>¥58</w:t>
            </w:r>
          </w:p>
        </w:tc>
        <w:tc>
          <w:tcPr>
            <w:tcW w:type="dxa" w:w="3135"/>
          </w:tcPr>
          <w:p>
            <w:r>
              <w:rPr>
                <w:rFonts w:ascii="Meiryo UI" w:hAnsi="Meiryo UI"/>
                <w:sz w:val="18"/>
              </w:rPr>
              <w:t>+2%</w:t>
            </w:r>
          </w:p>
        </w:tc>
      </w:tr>
      <w:tr>
        <w:tc>
          <w:tcPr>
            <w:tcW w:type="dxa" w:w="3135"/>
            <w:shd w:val="clear" w:color="auto" w:fill="DDEBF7"/>
          </w:tcPr>
          <w:p>
            <w:r>
              <w:rPr>
                <w:rFonts w:ascii="Meiryo UI" w:hAnsi="Meiryo UI"/>
                <w:sz w:val="18"/>
              </w:rPr>
              <w:t>TV（ターミナル）</w:t>
            </w:r>
          </w:p>
        </w:tc>
        <w:tc>
          <w:tcPr>
            <w:tcW w:type="dxa" w:w="3135"/>
            <w:shd w:val="clear" w:color="auto" w:fill="DDEBF7"/>
          </w:tcPr>
          <w:p>
            <w:r>
              <w:rPr>
                <w:rFonts w:ascii="Meiryo UI" w:hAnsi="Meiryo UI"/>
                <w:sz w:val="18"/>
              </w:rPr>
              <w:t>g=0.5%</w:t>
            </w:r>
          </w:p>
        </w:tc>
        <w:tc>
          <w:tcPr>
            <w:tcW w:type="dxa" w:w="3135"/>
            <w:shd w:val="clear" w:color="auto" w:fill="DDEBF7"/>
          </w:tcPr>
          <w:p>
            <w:r>
              <w:rPr>
                <w:rFonts w:ascii="Meiryo UI" w:hAnsi="Meiryo UI"/>
                <w:sz w:val="18"/>
              </w:rPr>
              <w:t>—</w:t>
            </w:r>
          </w:p>
        </w:tc>
      </w:tr>
    </w:tbl>
    <w:p/>
    <w:p>
      <w:pPr>
        <w:shd w:val="clear" w:color="auto" w:fill="F2F2F2"/>
      </w:pPr>
      <w:r>
        <w:rPr>
          <w:rFonts w:ascii="Courier New" w:hAnsi="Courier New"/>
          <w:sz w:val="16"/>
        </w:rPr>
        <w:t>ターミナルバリュー（TV）= FY5 EPS × (1+g) / (Re - g)</w:t>
        <w:br/>
        <w:t>= ¥58 × 1.005 / (6.58% - 0.5%)</w:t>
        <w:br/>
        <w:t>= ¥58.29 / 6.08%</w:t>
        <w:br/>
        <w:t>= ¥958</w:t>
        <w:br/>
        <w:br/>
        <w:t>現在価値合計（5年DCF + TV PV）：</w:t>
        <w:br/>
        <w:t>PV(EPS合計) ≈ ¥52/1.066 + ¥54/1.066² + ... ≈ ¥230（概算）</w:t>
        <w:br/>
        <w:t>PV(TV) = ¥958 / (1.066)^5 ≈ ¥958 / 1.374 ≈ ¥697</w:t>
        <w:br/>
        <w:br/>
        <w:t>理論株価（ベースケース）= ¥230 + ¥697 ≈ ¥927〜1,050</w:t>
        <w:br/>
        <w:t>（PBR1.0倍 ¥1,405との乖離は市場のプレミアム分）</w:t>
      </w:r>
    </w:p>
    <w:p/>
    <w:p>
      <w:r>
        <w:rPr>
          <w:rFonts w:ascii="Meiryo UI" w:hAnsi="Meiryo UI"/>
          <w:sz w:val="20"/>
        </w:rPr>
        <w:t>&gt; ⚠️ 注記： 純粋DCF（EPS割引）では理論株価はPBR×BPS（¥1,405）を下回る水準となる。市場が現在株価¥1,665をつけているのは、純資産価値（清算価値）＋改善期待プレミアムを折り込んでいるため。以下では純資産ベース（PBR・BPS）とDCFのハイブリッドで理論株価を算出する。</w:t>
      </w:r>
    </w:p>
    <w:p/>
    <w:p>
      <w:pPr>
        <w:pStyle w:val="Heading3"/>
      </w:pPr>
      <w:r>
        <w:rPr>
          <w:rFonts w:ascii="Meiryo UI" w:hAnsi="Meiryo UI"/>
          <w:color w:val="2E74B5"/>
        </w:rPr>
        <w:t>4-4. ハイブリッド理論株価（DCF×PBR複合）</w:t>
      </w:r>
    </w:p>
    <w:p/>
    <w:p>
      <w:r>
        <w:rPr>
          <w:rFonts w:ascii="Meiryo UI" w:hAnsi="Meiryo UI"/>
          <w:sz w:val="20"/>
        </w:rPr>
        <w:t>理論株価算出フレームワーク：</w:t>
      </w:r>
    </w:p>
    <w:p/>
    <w:p>
      <w:pPr>
        <w:shd w:val="clear" w:color="auto" w:fill="F2F2F2"/>
      </w:pPr>
      <w:r>
        <w:rPr>
          <w:rFonts w:ascii="Courier New" w:hAnsi="Courier New"/>
          <w:sz w:val="16"/>
        </w:rPr>
        <w:t>理論株価 = α × DCF理論価値 + (1-α) × 純資産ベース価値</w:t>
        <w:br/>
        <w:br/>
        <w:t>建設業（資産保有型）はPBRアプローチのウエイトを高める</w:t>
        <w:br/>
        <w:t>α = 0.40（DCF） / (1-α) = 0.60（純資産）</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アプローチ</w:t>
            </w:r>
          </w:p>
        </w:tc>
        <w:tc>
          <w:tcPr>
            <w:tcW w:type="dxa" w:w="3135"/>
            <w:shd w:val="clear" w:color="auto" w:fill="2E74B5"/>
          </w:tcPr>
          <w:p>
            <w:r>
              <w:rPr>
                <w:rFonts w:ascii="Meiryo UI" w:hAnsi="Meiryo UI"/>
                <w:b/>
                <w:color w:val="FFFFFF"/>
                <w:sz w:val="18"/>
              </w:rPr>
              <w:t>計算</w:t>
            </w:r>
          </w:p>
        </w:tc>
        <w:tc>
          <w:tcPr>
            <w:tcW w:type="dxa" w:w="3135"/>
            <w:shd w:val="clear" w:color="auto" w:fill="2E74B5"/>
          </w:tcPr>
          <w:p>
            <w:r>
              <w:rPr>
                <w:rFonts w:ascii="Meiryo UI" w:hAnsi="Meiryo UI"/>
                <w:b/>
                <w:color w:val="FFFFFF"/>
                <w:sz w:val="18"/>
              </w:rPr>
              <w:t>価値</w:t>
            </w:r>
          </w:p>
        </w:tc>
      </w:tr>
      <w:tr>
        <w:tc>
          <w:tcPr>
            <w:tcW w:type="dxa" w:w="3135"/>
          </w:tcPr>
          <w:p>
            <w:r>
              <w:rPr>
                <w:rFonts w:ascii="Meiryo UI" w:hAnsi="Meiryo UI"/>
                <w:sz w:val="18"/>
              </w:rPr>
              <w:t>DCF（収益）アプローチ</w:t>
            </w:r>
          </w:p>
        </w:tc>
        <w:tc>
          <w:tcPr>
            <w:tcW w:type="dxa" w:w="3135"/>
          </w:tcPr>
          <w:p>
            <w:r>
              <w:rPr>
                <w:rFonts w:ascii="Meiryo UI" w:hAnsi="Meiryo UI"/>
                <w:sz w:val="18"/>
              </w:rPr>
              <w:t>EPS/Re-g = ¥50/(6.08%)</w:t>
            </w:r>
          </w:p>
        </w:tc>
        <w:tc>
          <w:tcPr>
            <w:tcW w:type="dxa" w:w="3135"/>
          </w:tcPr>
          <w:p>
            <w:r>
              <w:rPr>
                <w:rFonts w:ascii="Meiryo UI" w:hAnsi="Meiryo UI"/>
                <w:sz w:val="18"/>
              </w:rPr>
              <w:t>¥823</w:t>
            </w:r>
          </w:p>
        </w:tc>
      </w:tr>
      <w:tr>
        <w:tc>
          <w:tcPr>
            <w:tcW w:type="dxa" w:w="3135"/>
            <w:shd w:val="clear" w:color="auto" w:fill="DDEBF7"/>
          </w:tcPr>
          <w:p>
            <w:r>
              <w:rPr>
                <w:rFonts w:ascii="Meiryo UI" w:hAnsi="Meiryo UI"/>
                <w:sz w:val="18"/>
              </w:rPr>
              <w:t>純資産アプローチ（BPS）</w:t>
            </w:r>
          </w:p>
        </w:tc>
        <w:tc>
          <w:tcPr>
            <w:tcW w:type="dxa" w:w="3135"/>
            <w:shd w:val="clear" w:color="auto" w:fill="DDEBF7"/>
          </w:tcPr>
          <w:p>
            <w:r>
              <w:rPr>
                <w:rFonts w:ascii="Meiryo UI" w:hAnsi="Meiryo UI"/>
                <w:sz w:val="18"/>
              </w:rPr>
              <w:t>BPS × 適正PBR</w:t>
            </w:r>
          </w:p>
        </w:tc>
        <w:tc>
          <w:tcPr>
            <w:tcW w:type="dxa" w:w="3135"/>
            <w:shd w:val="clear" w:color="auto" w:fill="DDEBF7"/>
          </w:tcPr>
          <w:p>
            <w:r>
              <w:rPr>
                <w:rFonts w:ascii="Meiryo UI" w:hAnsi="Meiryo UI"/>
                <w:sz w:val="18"/>
              </w:rPr>
              <w:t>¥1,405 × 1.0 = ¥1,405</w:t>
            </w:r>
          </w:p>
        </w:tc>
      </w:tr>
      <w:tr>
        <w:tc>
          <w:tcPr>
            <w:tcW w:type="dxa" w:w="3135"/>
          </w:tcPr>
          <w:p>
            <w:r>
              <w:rPr>
                <w:rFonts w:ascii="Meiryo UI" w:hAnsi="Meiryo UI"/>
                <w:sz w:val="18"/>
              </w:rPr>
              <w:t>ハイブリッド（4:6）</w:t>
            </w:r>
          </w:p>
        </w:tc>
        <w:tc>
          <w:tcPr>
            <w:tcW w:type="dxa" w:w="3135"/>
          </w:tcPr>
          <w:p>
            <w:r>
              <w:rPr>
                <w:rFonts w:ascii="Meiryo UI" w:hAnsi="Meiryo UI"/>
                <w:sz w:val="18"/>
              </w:rPr>
              <w:t>0.40×¥823 + 0.60×¥1,405</w:t>
            </w:r>
          </w:p>
        </w:tc>
        <w:tc>
          <w:tcPr>
            <w:tcW w:type="dxa" w:w="3135"/>
          </w:tcPr>
          <w:p>
            <w:r>
              <w:rPr>
                <w:rFonts w:ascii="Meiryo UI" w:hAnsi="Meiryo UI"/>
                <w:sz w:val="18"/>
              </w:rPr>
              <w:t>¥329 + ¥843 = ¥1,172</w:t>
            </w:r>
          </w:p>
        </w:tc>
      </w:tr>
    </w:tbl>
    <w:p/>
    <w:p>
      <w:r>
        <w:rPr>
          <w:rFonts w:ascii="Meiryo UI" w:hAnsi="Meiryo UI"/>
          <w:sz w:val="20"/>
        </w:rPr>
        <w:t>安全域（Margin of Safety）考慮：</w:t>
      </w:r>
    </w:p>
    <w:p/>
    <w:p>
      <w:pPr>
        <w:shd w:val="clear" w:color="auto" w:fill="F2F2F2"/>
      </w:pPr>
      <w:r>
        <w:rPr>
          <w:rFonts w:ascii="Courier New" w:hAnsi="Courier New"/>
          <w:sz w:val="16"/>
        </w:rPr>
        <w:t>理論株価レンジ：¥1,100〜¥1,650</w:t>
        <w:br/>
        <w:t>中央値：¥1,375</w:t>
        <w:br/>
        <w:br/>
        <w:t>安全域（15%バッファ）：¥1,375 × 0.85 = ¥1,169（買い推奨水準）</w:t>
        <w:br/>
        <w:t>現在株価 ¥1,665 は理論株価レンジの上限付近</w:t>
        <w:br/>
        <w:t>→ 現在株価に安全域はほぼ存在しない</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投資判断サマリー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判断</w:t>
            </w:r>
          </w:p>
        </w:tc>
        <w:tc>
          <w:tcPr>
            <w:tcW w:type="dxa" w:w="4703"/>
            <w:shd w:val="clear" w:color="auto" w:fill="2E74B5"/>
          </w:tcPr>
          <w:p>
            <w:r>
              <w:rPr>
                <w:rFonts w:ascii="Meiryo UI" w:hAnsi="Meiryo UI"/>
                <w:b/>
                <w:color w:val="FFFFFF"/>
                <w:sz w:val="18"/>
              </w:rPr>
              <w:t>中立（NEUTRAL / HOLD）</w:t>
            </w:r>
          </w:p>
        </w:tc>
      </w:tr>
      <w:tr>
        <w:tc>
          <w:tcPr>
            <w:tcW w:type="dxa" w:w="4703"/>
          </w:tcPr>
          <w:p>
            <w:r>
              <w:rPr>
                <w:rFonts w:ascii="Meiryo UI" w:hAnsi="Meiryo UI"/>
                <w:sz w:val="18"/>
              </w:rPr>
              <w:t>現在株価</w:t>
            </w:r>
          </w:p>
        </w:tc>
        <w:tc>
          <w:tcPr>
            <w:tcW w:type="dxa" w:w="4703"/>
          </w:tcPr>
          <w:p>
            <w:r>
              <w:rPr>
                <w:rFonts w:ascii="Meiryo UI" w:hAnsi="Meiryo UI"/>
                <w:sz w:val="18"/>
              </w:rPr>
              <w:t>¥1,665</w:t>
            </w:r>
          </w:p>
        </w:tc>
      </w:tr>
      <w:tr>
        <w:tc>
          <w:tcPr>
            <w:tcW w:type="dxa" w:w="4703"/>
            <w:shd w:val="clear" w:color="auto" w:fill="DDEBF7"/>
          </w:tcPr>
          <w:p>
            <w:r>
              <w:rPr>
                <w:rFonts w:ascii="Meiryo UI" w:hAnsi="Meiryo UI"/>
                <w:sz w:val="18"/>
              </w:rPr>
              <w:t>理論株価レンジ</w:t>
            </w:r>
          </w:p>
        </w:tc>
        <w:tc>
          <w:tcPr>
            <w:tcW w:type="dxa" w:w="4703"/>
            <w:shd w:val="clear" w:color="auto" w:fill="DDEBF7"/>
          </w:tcPr>
          <w:p>
            <w:r>
              <w:rPr>
                <w:rFonts w:ascii="Meiryo UI" w:hAnsi="Meiryo UI"/>
                <w:sz w:val="18"/>
              </w:rPr>
              <w:t>¥1,100〜¥1,650（ベース〜改善期待）</w:t>
            </w:r>
          </w:p>
        </w:tc>
      </w:tr>
      <w:tr>
        <w:tc>
          <w:tcPr>
            <w:tcW w:type="dxa" w:w="4703"/>
          </w:tcPr>
          <w:p>
            <w:r>
              <w:rPr>
                <w:rFonts w:ascii="Meiryo UI" w:hAnsi="Meiryo UI"/>
                <w:sz w:val="18"/>
              </w:rPr>
              <w:t>上値余地</w:t>
            </w:r>
          </w:p>
        </w:tc>
        <w:tc>
          <w:tcPr>
            <w:tcW w:type="dxa" w:w="4703"/>
          </w:tcPr>
          <w:p>
            <w:r>
              <w:rPr>
                <w:rFonts w:ascii="Meiryo UI" w:hAnsi="Meiryo UI"/>
                <w:sz w:val="18"/>
              </w:rPr>
              <w:t>ROE改善実現時：¥1,900〜¥2,100</w:t>
            </w:r>
          </w:p>
        </w:tc>
      </w:tr>
      <w:tr>
        <w:tc>
          <w:tcPr>
            <w:tcW w:type="dxa" w:w="4703"/>
            <w:shd w:val="clear" w:color="auto" w:fill="DDEBF7"/>
          </w:tcPr>
          <w:p>
            <w:r>
              <w:rPr>
                <w:rFonts w:ascii="Meiryo UI" w:hAnsi="Meiryo UI"/>
                <w:sz w:val="18"/>
              </w:rPr>
              <w:t>下値リスク</w:t>
            </w:r>
          </w:p>
        </w:tc>
        <w:tc>
          <w:tcPr>
            <w:tcW w:type="dxa" w:w="4703"/>
            <w:shd w:val="clear" w:color="auto" w:fill="DDEBF7"/>
          </w:tcPr>
          <w:p>
            <w:r>
              <w:rPr>
                <w:rFonts w:ascii="Meiryo UI" w:hAnsi="Meiryo UI"/>
                <w:sz w:val="18"/>
              </w:rPr>
              <w:t>ROE悪化・受注減少時：¥1,100〜¥1,200</w:t>
            </w:r>
          </w:p>
        </w:tc>
      </w:tr>
      <w:tr>
        <w:tc>
          <w:tcPr>
            <w:tcW w:type="dxa" w:w="4703"/>
          </w:tcPr>
          <w:p>
            <w:r>
              <w:rPr>
                <w:rFonts w:ascii="Meiryo UI" w:hAnsi="Meiryo UI"/>
                <w:sz w:val="18"/>
              </w:rPr>
              <w:t>安全域</w:t>
            </w:r>
          </w:p>
        </w:tc>
        <w:tc>
          <w:tcPr>
            <w:tcW w:type="dxa" w:w="4703"/>
          </w:tcPr>
          <w:p>
            <w:r>
              <w:rPr>
                <w:rFonts w:ascii="Meiryo UI" w:hAnsi="Meiryo UI"/>
                <w:sz w:val="18"/>
              </w:rPr>
              <w:t>ほぼゼロ（買いゾーンは¥1,400以下）</w:t>
            </w:r>
          </w:p>
        </w:tc>
      </w:tr>
    </w:tbl>
    <w:p/>
    <w:p>
      <w:pPr>
        <w:pStyle w:val="Heading3"/>
      </w:pPr>
      <w:r>
        <w:rPr>
          <w:rFonts w:ascii="Meiryo UI" w:hAnsi="Meiryo UI"/>
          <w:color w:val="2E74B5"/>
        </w:rPr>
        <w:t>5-2. 投資判断根拠</w:t>
      </w:r>
    </w:p>
    <w:p/>
    <w:p>
      <w:r>
        <w:rPr>
          <w:rFonts w:ascii="Meiryo UI" w:hAnsi="Meiryo UI"/>
          <w:sz w:val="20"/>
        </w:rPr>
        <w:t>中立とする理由：</w:t>
      </w:r>
    </w:p>
    <w:p>
      <w:pPr>
        <w:pStyle w:val="ListNumber"/>
      </w:pPr>
      <w:r>
        <w:rPr>
          <w:rFonts w:ascii="Meiryo UI" w:hAnsi="Meiryo UI"/>
          <w:sz w:val="20"/>
        </w:rPr>
        <w:t>現在株価¥1,665はすでに純資産価値（BPS¥1,405）に約19%プレミアムが乗っている</w:t>
      </w:r>
    </w:p>
    <w:p>
      <w:pPr>
        <w:pStyle w:val="ListNumber"/>
      </w:pPr>
      <w:r>
        <w:rPr>
          <w:rFonts w:ascii="Meiryo UI" w:hAnsi="Meiryo UI"/>
          <w:sz w:val="20"/>
        </w:rPr>
        <w:t>ROE 3.3%は株主資本コスト（推定6.58%）を大幅に下回り、価値破壊状態</w:t>
      </w:r>
    </w:p>
    <w:p>
      <w:pPr>
        <w:pStyle w:val="ListNumber"/>
      </w:pPr>
      <w:r>
        <w:rPr>
          <w:rFonts w:ascii="Meiryo UI" w:hAnsi="Meiryo UI"/>
          <w:sz w:val="20"/>
        </w:rPr>
        <w:t>DCFベースでは収益力ベースの理論株価は¥800〜¥1,200レンジ</w:t>
      </w:r>
    </w:p>
    <w:p>
      <w:pPr>
        <w:pStyle w:val="ListNumber"/>
      </w:pPr>
      <w:r>
        <w:rPr>
          <w:rFonts w:ascii="Meiryo UI" w:hAnsi="Meiryo UI"/>
          <w:sz w:val="20"/>
        </w:rPr>
        <w:t>純資産価値（BPS）ベースでのPBR1.0倍は¥1,405であり、現在値¥1,665は既にプレミアム</w:t>
      </w:r>
    </w:p>
    <w:p>
      <w:pPr>
        <w:pStyle w:val="ListNumber"/>
      </w:pPr>
      <w:r>
        <w:rPr>
          <w:rFonts w:ascii="Meiryo UI" w:hAnsi="Meiryo UI"/>
          <w:sz w:val="20"/>
        </w:rPr>
        <w:t>買いの条件： ROE改善（5%超）の具体策発表、自社株買い・大幅増配等の還元強化</w:t>
      </w:r>
    </w:p>
    <w:p/>
    <w:p>
      <w:r>
        <w:t>──────────────────────────────────────────────────</w:t>
      </w:r>
    </w:p>
    <w:p/>
    <w:p>
      <w:pPr>
        <w:pStyle w:val="Heading2"/>
      </w:pPr>
      <w:r>
        <w:rPr>
          <w:rFonts w:ascii="Meiryo UI" w:hAnsi="Meiryo UI"/>
          <w:color w:val="2E74B5"/>
        </w:rPr>
        <w:t>6. メインシナリオ vs リスクシナリオ</w:t>
      </w:r>
    </w:p>
    <w:p/>
    <w:p>
      <w:pPr>
        <w:pStyle w:val="Heading3"/>
      </w:pPr>
      <w:r>
        <w:rPr>
          <w:rFonts w:ascii="Meiryo UI" w:hAnsi="Meiryo UI"/>
          <w:color w:val="2E74B5"/>
        </w:rPr>
        <w:t>6-1. 強気シナリオ（確率：25%）</w:t>
      </w:r>
    </w:p>
    <w:p/>
    <w:p>
      <w:r>
        <w:rPr>
          <w:rFonts w:ascii="Meiryo UI" w:hAnsi="Meiryo UI"/>
          <w:sz w:val="20"/>
        </w:rPr>
        <w:t>前提： ROE 6〜7%への改善達成。自社株買い・増配の積極実施。防衛インフラ特需の業績寄与。</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EPS成長率（5年）</w:t>
            </w:r>
          </w:p>
        </w:tc>
        <w:tc>
          <w:tcPr>
            <w:tcW w:type="dxa" w:w="4703"/>
          </w:tcPr>
          <w:p>
            <w:r>
              <w:rPr>
                <w:rFonts w:ascii="Meiryo UI" w:hAnsi="Meiryo UI"/>
                <w:sz w:val="18"/>
              </w:rPr>
              <w:t>+8〜10%/年</w:t>
            </w:r>
          </w:p>
        </w:tc>
      </w:tr>
      <w:tr>
        <w:tc>
          <w:tcPr>
            <w:tcW w:type="dxa" w:w="4703"/>
            <w:shd w:val="clear" w:color="auto" w:fill="DDEBF7"/>
          </w:tcPr>
          <w:p>
            <w:r>
              <w:rPr>
                <w:rFonts w:ascii="Meiryo UI" w:hAnsi="Meiryo UI"/>
                <w:sz w:val="18"/>
              </w:rPr>
              <w:t>目標ROE</w:t>
            </w:r>
          </w:p>
        </w:tc>
        <w:tc>
          <w:tcPr>
            <w:tcW w:type="dxa" w:w="4703"/>
            <w:shd w:val="clear" w:color="auto" w:fill="DDEBF7"/>
          </w:tcPr>
          <w:p>
            <w:r>
              <w:rPr>
                <w:rFonts w:ascii="Meiryo UI" w:hAnsi="Meiryo UI"/>
                <w:sz w:val="18"/>
              </w:rPr>
              <w:t>6〜7%</w:t>
            </w:r>
          </w:p>
        </w:tc>
      </w:tr>
      <w:tr>
        <w:tc>
          <w:tcPr>
            <w:tcW w:type="dxa" w:w="4703"/>
          </w:tcPr>
          <w:p>
            <w:r>
              <w:rPr>
                <w:rFonts w:ascii="Meiryo UI" w:hAnsi="Meiryo UI"/>
                <w:sz w:val="18"/>
              </w:rPr>
              <w:t>適正PBR</w:t>
            </w:r>
          </w:p>
        </w:tc>
        <w:tc>
          <w:tcPr>
            <w:tcW w:type="dxa" w:w="4703"/>
          </w:tcPr>
          <w:p>
            <w:r>
              <w:rPr>
                <w:rFonts w:ascii="Meiryo UI" w:hAnsi="Meiryo UI"/>
                <w:sz w:val="18"/>
              </w:rPr>
              <w:t>1.4〜1.6倍</w:t>
            </w:r>
          </w:p>
        </w:tc>
      </w:tr>
      <w:tr>
        <w:tc>
          <w:tcPr>
            <w:tcW w:type="dxa" w:w="4703"/>
            <w:shd w:val="clear" w:color="auto" w:fill="DDEBF7"/>
          </w:tcPr>
          <w:p>
            <w:r>
              <w:rPr>
                <w:rFonts w:ascii="Meiryo UI" w:hAnsi="Meiryo UI"/>
                <w:sz w:val="18"/>
              </w:rPr>
              <w:t>理論株価</w:t>
            </w:r>
          </w:p>
        </w:tc>
        <w:tc>
          <w:tcPr>
            <w:tcW w:type="dxa" w:w="4703"/>
            <w:shd w:val="clear" w:color="auto" w:fill="DDEBF7"/>
          </w:tcPr>
          <w:p>
            <w:r>
              <w:rPr>
                <w:rFonts w:ascii="Meiryo UI" w:hAnsi="Meiryo UI"/>
                <w:sz w:val="18"/>
              </w:rPr>
              <w:t>¥1,900〜¥2,200</w:t>
            </w:r>
          </w:p>
        </w:tc>
      </w:tr>
      <w:tr>
        <w:tc>
          <w:tcPr>
            <w:tcW w:type="dxa" w:w="4703"/>
          </w:tcPr>
          <w:p>
            <w:r>
              <w:rPr>
                <w:rFonts w:ascii="Meiryo UI" w:hAnsi="Meiryo UI"/>
                <w:sz w:val="18"/>
              </w:rPr>
              <w:t>現在値比</w:t>
            </w:r>
          </w:p>
        </w:tc>
        <w:tc>
          <w:tcPr>
            <w:tcW w:type="dxa" w:w="4703"/>
          </w:tcPr>
          <w:p>
            <w:r>
              <w:rPr>
                <w:rFonts w:ascii="Meiryo UI" w:hAnsi="Meiryo UI"/>
                <w:sz w:val="18"/>
              </w:rPr>
              <w:t>+14〜+32%</w:t>
            </w:r>
          </w:p>
        </w:tc>
      </w:tr>
    </w:tbl>
    <w:p/>
    <w:p>
      <w:r>
        <w:rPr>
          <w:rFonts w:ascii="Meiryo UI" w:hAnsi="Meiryo UI"/>
          <w:sz w:val="20"/>
        </w:rPr>
        <w:t>カタリスト： 東証PBR改善要請への具体的回答（IR・投資家向け数値目標）、防衛施設・インフラ大型受注、M&amp;A等の成長戦略発表</w:t>
      </w:r>
    </w:p>
    <w:p/>
    <w:p>
      <w:pPr>
        <w:pStyle w:val="Heading3"/>
      </w:pPr>
      <w:r>
        <w:rPr>
          <w:rFonts w:ascii="Meiryo UI" w:hAnsi="Meiryo UI"/>
          <w:color w:val="2E74B5"/>
        </w:rPr>
        <w:t>6-2. ベースシナリオ（確率：50%）</w:t>
      </w:r>
    </w:p>
    <w:p/>
    <w:p>
      <w:r>
        <w:rPr>
          <w:rFonts w:ascii="Meiryo UI" w:hAnsi="Meiryo UI"/>
          <w:sz w:val="20"/>
        </w:rPr>
        <w:t>前提： 現状のROE 3〜4%水準が継続。受注は安定推移。インフラ需要の緩やかな恩恵。</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EPS成長率（5年）</w:t>
            </w:r>
          </w:p>
        </w:tc>
        <w:tc>
          <w:tcPr>
            <w:tcW w:type="dxa" w:w="4703"/>
          </w:tcPr>
          <w:p>
            <w:r>
              <w:rPr>
                <w:rFonts w:ascii="Meiryo UI" w:hAnsi="Meiryo UI"/>
                <w:sz w:val="18"/>
              </w:rPr>
              <w:t>+2〜4%/年</w:t>
            </w:r>
          </w:p>
        </w:tc>
      </w:tr>
      <w:tr>
        <w:tc>
          <w:tcPr>
            <w:tcW w:type="dxa" w:w="4703"/>
            <w:shd w:val="clear" w:color="auto" w:fill="DDEBF7"/>
          </w:tcPr>
          <w:p>
            <w:r>
              <w:rPr>
                <w:rFonts w:ascii="Meiryo UI" w:hAnsi="Meiryo UI"/>
                <w:sz w:val="18"/>
              </w:rPr>
              <w:t>目標ROE</w:t>
            </w:r>
          </w:p>
        </w:tc>
        <w:tc>
          <w:tcPr>
            <w:tcW w:type="dxa" w:w="4703"/>
            <w:shd w:val="clear" w:color="auto" w:fill="DDEBF7"/>
          </w:tcPr>
          <w:p>
            <w:r>
              <w:rPr>
                <w:rFonts w:ascii="Meiryo UI" w:hAnsi="Meiryo UI"/>
                <w:sz w:val="18"/>
              </w:rPr>
              <w:t>3〜4%</w:t>
            </w:r>
          </w:p>
        </w:tc>
      </w:tr>
      <w:tr>
        <w:tc>
          <w:tcPr>
            <w:tcW w:type="dxa" w:w="4703"/>
          </w:tcPr>
          <w:p>
            <w:r>
              <w:rPr>
                <w:rFonts w:ascii="Meiryo UI" w:hAnsi="Meiryo UI"/>
                <w:sz w:val="18"/>
              </w:rPr>
              <w:t>適正PBR</w:t>
            </w:r>
          </w:p>
        </w:tc>
        <w:tc>
          <w:tcPr>
            <w:tcW w:type="dxa" w:w="4703"/>
          </w:tcPr>
          <w:p>
            <w:r>
              <w:rPr>
                <w:rFonts w:ascii="Meiryo UI" w:hAnsi="Meiryo UI"/>
                <w:sz w:val="18"/>
              </w:rPr>
              <w:t>1.0〜1.2倍</w:t>
            </w:r>
          </w:p>
        </w:tc>
      </w:tr>
      <w:tr>
        <w:tc>
          <w:tcPr>
            <w:tcW w:type="dxa" w:w="4703"/>
            <w:shd w:val="clear" w:color="auto" w:fill="DDEBF7"/>
          </w:tcPr>
          <w:p>
            <w:r>
              <w:rPr>
                <w:rFonts w:ascii="Meiryo UI" w:hAnsi="Meiryo UI"/>
                <w:sz w:val="18"/>
              </w:rPr>
              <w:t>理論株価</w:t>
            </w:r>
          </w:p>
        </w:tc>
        <w:tc>
          <w:tcPr>
            <w:tcW w:type="dxa" w:w="4703"/>
            <w:shd w:val="clear" w:color="auto" w:fill="DDEBF7"/>
          </w:tcPr>
          <w:p>
            <w:r>
              <w:rPr>
                <w:rFonts w:ascii="Meiryo UI" w:hAnsi="Meiryo UI"/>
                <w:sz w:val="18"/>
              </w:rPr>
              <w:t>¥1,400〜¥1,650</w:t>
            </w:r>
          </w:p>
        </w:tc>
      </w:tr>
      <w:tr>
        <w:tc>
          <w:tcPr>
            <w:tcW w:type="dxa" w:w="4703"/>
          </w:tcPr>
          <w:p>
            <w:r>
              <w:rPr>
                <w:rFonts w:ascii="Meiryo UI" w:hAnsi="Meiryo UI"/>
                <w:sz w:val="18"/>
              </w:rPr>
              <w:t>現在値比</w:t>
            </w:r>
          </w:p>
        </w:tc>
        <w:tc>
          <w:tcPr>
            <w:tcW w:type="dxa" w:w="4703"/>
          </w:tcPr>
          <w:p>
            <w:r>
              <w:rPr>
                <w:rFonts w:ascii="Meiryo UI" w:hAnsi="Meiryo UI"/>
                <w:sz w:val="18"/>
              </w:rPr>
              <w:t>▲1〜▲16%</w:t>
            </w:r>
          </w:p>
        </w:tc>
      </w:tr>
    </w:tbl>
    <w:p/>
    <w:p>
      <w:r>
        <w:rPr>
          <w:rFonts w:ascii="Meiryo UI" w:hAnsi="Meiryo UI"/>
          <w:sz w:val="20"/>
        </w:rPr>
        <w:t>カタリスト： 国土強靱化継続、建設コスト正常化（資材・労務費安定）、小幅増配</w:t>
      </w:r>
    </w:p>
    <w:p/>
    <w:p>
      <w:pPr>
        <w:pStyle w:val="Heading3"/>
      </w:pPr>
      <w:r>
        <w:rPr>
          <w:rFonts w:ascii="Meiryo UI" w:hAnsi="Meiryo UI"/>
          <w:color w:val="2E74B5"/>
        </w:rPr>
        <w:t>6-3. 弱気シナリオ（確率：25%）</w:t>
      </w:r>
    </w:p>
    <w:p/>
    <w:p>
      <w:r>
        <w:rPr>
          <w:rFonts w:ascii="Meiryo UI" w:hAnsi="Meiryo UI"/>
          <w:sz w:val="20"/>
        </w:rPr>
        <w:t>前提： 受注競争激化・利益率悪化。公共工事予算削減。建設コスト高止まりによる採算悪化。</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EPS成長率（5年）</w:t>
            </w:r>
          </w:p>
        </w:tc>
        <w:tc>
          <w:tcPr>
            <w:tcW w:type="dxa" w:w="4703"/>
          </w:tcPr>
          <w:p>
            <w:r>
              <w:rPr>
                <w:rFonts w:ascii="Meiryo UI" w:hAnsi="Meiryo UI"/>
                <w:sz w:val="18"/>
              </w:rPr>
              <w:t>▲3〜5%/年</w:t>
            </w:r>
          </w:p>
        </w:tc>
      </w:tr>
      <w:tr>
        <w:tc>
          <w:tcPr>
            <w:tcW w:type="dxa" w:w="4703"/>
            <w:shd w:val="clear" w:color="auto" w:fill="DDEBF7"/>
          </w:tcPr>
          <w:p>
            <w:r>
              <w:rPr>
                <w:rFonts w:ascii="Meiryo UI" w:hAnsi="Meiryo UI"/>
                <w:sz w:val="18"/>
              </w:rPr>
              <w:t>目標ROE</w:t>
            </w:r>
          </w:p>
        </w:tc>
        <w:tc>
          <w:tcPr>
            <w:tcW w:type="dxa" w:w="4703"/>
            <w:shd w:val="clear" w:color="auto" w:fill="DDEBF7"/>
          </w:tcPr>
          <w:p>
            <w:r>
              <w:rPr>
                <w:rFonts w:ascii="Meiryo UI" w:hAnsi="Meiryo UI"/>
                <w:sz w:val="18"/>
              </w:rPr>
              <w:t>1〜2%</w:t>
            </w:r>
          </w:p>
        </w:tc>
      </w:tr>
      <w:tr>
        <w:tc>
          <w:tcPr>
            <w:tcW w:type="dxa" w:w="4703"/>
          </w:tcPr>
          <w:p>
            <w:r>
              <w:rPr>
                <w:rFonts w:ascii="Meiryo UI" w:hAnsi="Meiryo UI"/>
                <w:sz w:val="18"/>
              </w:rPr>
              <w:t>適正PBR</w:t>
            </w:r>
          </w:p>
        </w:tc>
        <w:tc>
          <w:tcPr>
            <w:tcW w:type="dxa" w:w="4703"/>
          </w:tcPr>
          <w:p>
            <w:r>
              <w:rPr>
                <w:rFonts w:ascii="Meiryo UI" w:hAnsi="Meiryo UI"/>
                <w:sz w:val="18"/>
              </w:rPr>
              <w:t>0.7〜0.9倍</w:t>
            </w:r>
          </w:p>
        </w:tc>
      </w:tr>
      <w:tr>
        <w:tc>
          <w:tcPr>
            <w:tcW w:type="dxa" w:w="4703"/>
            <w:shd w:val="clear" w:color="auto" w:fill="DDEBF7"/>
          </w:tcPr>
          <w:p>
            <w:r>
              <w:rPr>
                <w:rFonts w:ascii="Meiryo UI" w:hAnsi="Meiryo UI"/>
                <w:sz w:val="18"/>
              </w:rPr>
              <w:t>理論株価</w:t>
            </w:r>
          </w:p>
        </w:tc>
        <w:tc>
          <w:tcPr>
            <w:tcW w:type="dxa" w:w="4703"/>
            <w:shd w:val="clear" w:color="auto" w:fill="DDEBF7"/>
          </w:tcPr>
          <w:p>
            <w:r>
              <w:rPr>
                <w:rFonts w:ascii="Meiryo UI" w:hAnsi="Meiryo UI"/>
                <w:sz w:val="18"/>
              </w:rPr>
              <w:t>¥980〜¥1,250</w:t>
            </w:r>
          </w:p>
        </w:tc>
      </w:tr>
      <w:tr>
        <w:tc>
          <w:tcPr>
            <w:tcW w:type="dxa" w:w="4703"/>
          </w:tcPr>
          <w:p>
            <w:r>
              <w:rPr>
                <w:rFonts w:ascii="Meiryo UI" w:hAnsi="Meiryo UI"/>
                <w:sz w:val="18"/>
              </w:rPr>
              <w:t>現在値比</w:t>
            </w:r>
          </w:p>
        </w:tc>
        <w:tc>
          <w:tcPr>
            <w:tcW w:type="dxa" w:w="4703"/>
          </w:tcPr>
          <w:p>
            <w:r>
              <w:rPr>
                <w:rFonts w:ascii="Meiryo UI" w:hAnsi="Meiryo UI"/>
                <w:sz w:val="18"/>
              </w:rPr>
              <w:t>▲25〜▲41%</w:t>
            </w:r>
          </w:p>
        </w:tc>
      </w:tr>
    </w:tbl>
    <w:p/>
    <w:p>
      <w:r>
        <w:rPr>
          <w:rFonts w:ascii="Meiryo UI" w:hAnsi="Meiryo UI"/>
          <w:sz w:val="20"/>
        </w:rPr>
        <w:t>リスク要因： 建設資材・労務費の更なる高騰、公共工事予算の政策変更、大型工事での損失計上、金利急騰による建設需要蒸発</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浅井速報レビュー</w:t>
      </w:r>
    </w:p>
    <w:p/>
    <w:p>
      <w:r>
        <w:rPr>
          <w:rFonts w:ascii="Meiryo UI" w:hAnsi="Meiryo UI"/>
          <w:sz w:val="20"/>
        </w:rPr>
        <w:t>&gt; 浅井コメント：「中堅建設の低PBR株。PBR=1.19でほぼ適正水準だがROE3.3%と低い。収益改善余地と株主還元姿勢を精査せよ」</w:t>
      </w:r>
    </w:p>
    <w:p>
      <w:r>
        <w:rPr>
          <w:rFonts w:ascii="Meiryo UI" w:hAnsi="Meiryo UI"/>
          <w:sz w:val="20"/>
        </w:rPr>
        <w:t>&gt; 浅井速報スコア：+0（BUY）</w:t>
      </w:r>
    </w:p>
    <w:p/>
    <w:p>
      <w:r>
        <w:rPr>
          <w:rFonts w:ascii="Meiryo UI" w:hAnsi="Meiryo UI"/>
          <w:sz w:val="20"/>
        </w:rPr>
        <w:t>深井評価： 浅井コメントの分析は概ね正確。ただし「BUY」スコアには留保が必要。</w:t>
      </w:r>
    </w:p>
    <w:p/>
    <w:p>
      <w:pPr>
        <w:pStyle w:val="Heading3"/>
      </w:pPr>
      <w:r>
        <w:rPr>
          <w:rFonts w:ascii="Meiryo UI" w:hAnsi="Meiryo UI"/>
          <w:color w:val="2E74B5"/>
        </w:rPr>
        <w:t>7-2. センチメント vs 本源的価値のギャップ分析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視点</w:t>
            </w:r>
          </w:p>
        </w:tc>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詳細</w:t>
            </w:r>
          </w:p>
        </w:tc>
      </w:tr>
      <w:tr>
        <w:tc>
          <w:tcPr>
            <w:tcW w:type="dxa" w:w="3135"/>
          </w:tcPr>
          <w:p>
            <w:r>
              <w:rPr>
                <w:rFonts w:ascii="Meiryo UI" w:hAnsi="Meiryo UI"/>
                <w:sz w:val="18"/>
              </w:rPr>
              <w:t>マーケットセンチメント</w:t>
            </w:r>
          </w:p>
        </w:tc>
        <w:tc>
          <w:tcPr>
            <w:tcW w:type="dxa" w:w="3135"/>
          </w:tcPr>
          <w:p>
            <w:r>
              <w:rPr>
                <w:rFonts w:ascii="Meiryo UI" w:hAnsi="Meiryo UI"/>
                <w:sz w:val="18"/>
              </w:rPr>
              <w:t>やや楽観</w:t>
            </w:r>
          </w:p>
        </w:tc>
        <w:tc>
          <w:tcPr>
            <w:tcW w:type="dxa" w:w="3135"/>
          </w:tcPr>
          <w:p>
            <w:r>
              <w:rPr>
                <w:rFonts w:ascii="Meiryo UI" w:hAnsi="Meiryo UI"/>
                <w:sz w:val="18"/>
              </w:rPr>
              <w:t>PBR1.19倍・PER33.6倍は「改善期待先取り」の水準</w:t>
            </w:r>
          </w:p>
        </w:tc>
      </w:tr>
      <w:tr>
        <w:tc>
          <w:tcPr>
            <w:tcW w:type="dxa" w:w="3135"/>
            <w:shd w:val="clear" w:color="auto" w:fill="DDEBF7"/>
          </w:tcPr>
          <w:p>
            <w:r>
              <w:rPr>
                <w:rFonts w:ascii="Meiryo UI" w:hAnsi="Meiryo UI"/>
                <w:sz w:val="18"/>
              </w:rPr>
              <w:t>本源的価値（DCF）</w:t>
            </w:r>
          </w:p>
        </w:tc>
        <w:tc>
          <w:tcPr>
            <w:tcW w:type="dxa" w:w="3135"/>
            <w:shd w:val="clear" w:color="auto" w:fill="DDEBF7"/>
          </w:tcPr>
          <w:p>
            <w:r>
              <w:rPr>
                <w:rFonts w:ascii="Meiryo UI" w:hAnsi="Meiryo UI"/>
                <w:sz w:val="18"/>
              </w:rPr>
              <w:t>やや割高</w:t>
            </w:r>
          </w:p>
        </w:tc>
        <w:tc>
          <w:tcPr>
            <w:tcW w:type="dxa" w:w="3135"/>
            <w:shd w:val="clear" w:color="auto" w:fill="DDEBF7"/>
          </w:tcPr>
          <w:p>
            <w:r>
              <w:rPr>
                <w:rFonts w:ascii="Meiryo UI" w:hAnsi="Meiryo UI"/>
                <w:sz w:val="18"/>
              </w:rPr>
              <w:t>収益力ベースでは¥800〜1,200が適正レンジ</w:t>
            </w:r>
          </w:p>
        </w:tc>
      </w:tr>
      <w:tr>
        <w:tc>
          <w:tcPr>
            <w:tcW w:type="dxa" w:w="3135"/>
          </w:tcPr>
          <w:p>
            <w:r>
              <w:rPr>
                <w:rFonts w:ascii="Meiryo UI" w:hAnsi="Meiryo UI"/>
                <w:sz w:val="18"/>
              </w:rPr>
              <w:t>純資産価値（清算）</w:t>
            </w:r>
          </w:p>
        </w:tc>
        <w:tc>
          <w:tcPr>
            <w:tcW w:type="dxa" w:w="3135"/>
          </w:tcPr>
          <w:p>
            <w:r>
              <w:rPr>
                <w:rFonts w:ascii="Meiryo UI" w:hAnsi="Meiryo UI"/>
                <w:sz w:val="18"/>
              </w:rPr>
              <w:t>やや割高</w:t>
            </w:r>
          </w:p>
        </w:tc>
        <w:tc>
          <w:tcPr>
            <w:tcW w:type="dxa" w:w="3135"/>
          </w:tcPr>
          <w:p>
            <w:r>
              <w:rPr>
                <w:rFonts w:ascii="Meiryo UI" w:hAnsi="Meiryo UI"/>
                <w:sz w:val="18"/>
              </w:rPr>
              <w:t>BPS¥1,405に対し株価¥1,665（19%プレミアム）</w:t>
            </w:r>
          </w:p>
        </w:tc>
      </w:tr>
      <w:tr>
        <w:tc>
          <w:tcPr>
            <w:tcW w:type="dxa" w:w="3135"/>
            <w:shd w:val="clear" w:color="auto" w:fill="DDEBF7"/>
          </w:tcPr>
          <w:p>
            <w:r>
              <w:rPr>
                <w:rFonts w:ascii="Meiryo UI" w:hAnsi="Meiryo UI"/>
                <w:sz w:val="18"/>
              </w:rPr>
              <w:t>改善期待プレミアム</w:t>
            </w:r>
          </w:p>
        </w:tc>
        <w:tc>
          <w:tcPr>
            <w:tcW w:type="dxa" w:w="3135"/>
            <w:shd w:val="clear" w:color="auto" w:fill="DDEBF7"/>
          </w:tcPr>
          <w:p>
            <w:r>
              <w:rPr>
                <w:rFonts w:ascii="Meiryo UI" w:hAnsi="Meiryo UI"/>
                <w:sz w:val="18"/>
              </w:rPr>
              <w:t>織込み済み</w:t>
            </w:r>
          </w:p>
        </w:tc>
        <w:tc>
          <w:tcPr>
            <w:tcW w:type="dxa" w:w="3135"/>
            <w:shd w:val="clear" w:color="auto" w:fill="DDEBF7"/>
          </w:tcPr>
          <w:p>
            <w:r>
              <w:rPr>
                <w:rFonts w:ascii="Meiryo UI" w:hAnsi="Meiryo UI"/>
                <w:sz w:val="18"/>
              </w:rPr>
              <w:t>ROE改善・株主還元の期待が現在株価に反映</w:t>
            </w:r>
          </w:p>
        </w:tc>
      </w:tr>
    </w:tbl>
    <w:p/>
    <w:p>
      <w:r>
        <w:rPr>
          <w:rFonts w:ascii="Meiryo UI" w:hAnsi="Meiryo UI"/>
          <w:sz w:val="20"/>
        </w:rPr>
        <w:t>ギャップ分析結論：</w:t>
      </w:r>
    </w:p>
    <w:p>
      <w:r>
        <w:rPr>
          <w:rFonts w:ascii="Meiryo UI" w:hAnsi="Meiryo UI"/>
          <w:sz w:val="20"/>
        </w:rPr>
        <w:t>市場は既に「改善期待」を株価に織り込んでいる。その期待が実現すれば上昇余地（強気¥1,900超）があるが、期待未達の場合は下振れリスクが顕在化する非対称な状況にある。</w:t>
      </w:r>
    </w:p>
    <w:p/>
    <w:p>
      <w:r>
        <w:rPr>
          <w:rFonts w:ascii="Meiryo UI" w:hAnsi="Meiryo UI"/>
          <w:sz w:val="20"/>
        </w:rPr>
        <w:t>浅井速報「BUY」への深井修正：</w:t>
      </w:r>
    </w:p>
    <w:p>
      <w:r>
        <w:rPr>
          <w:rFonts w:ascii="Meiryo UI" w:hAnsi="Meiryo UI"/>
          <w:sz w:val="20"/>
        </w:rPr>
        <w:t>現時点での新規BUYは見送りが賢明。¥1,400前後への調整を待ってからの打診買いが本源的価値との整合性が高い。</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エントリー戦略</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フェーズ</w:t>
            </w:r>
          </w:p>
        </w:tc>
        <w:tc>
          <w:tcPr>
            <w:tcW w:type="dxa" w:w="2351"/>
            <w:shd w:val="clear" w:color="auto" w:fill="2E74B5"/>
          </w:tcPr>
          <w:p>
            <w:r>
              <w:rPr>
                <w:rFonts w:ascii="Meiryo UI" w:hAnsi="Meiryo UI"/>
                <w:b/>
                <w:color w:val="FFFFFF"/>
                <w:sz w:val="18"/>
              </w:rPr>
              <w:t>株価水準</w:t>
            </w:r>
          </w:p>
        </w:tc>
        <w:tc>
          <w:tcPr>
            <w:tcW w:type="dxa" w:w="2351"/>
            <w:shd w:val="clear" w:color="auto" w:fill="2E74B5"/>
          </w:tcPr>
          <w:p>
            <w:r>
              <w:rPr>
                <w:rFonts w:ascii="Meiryo UI" w:hAnsi="Meiryo UI"/>
                <w:b/>
                <w:color w:val="FFFFFF"/>
                <w:sz w:val="18"/>
              </w:rPr>
              <w:t>アクション</w:t>
            </w:r>
          </w:p>
        </w:tc>
        <w:tc>
          <w:tcPr>
            <w:tcW w:type="dxa" w:w="2351"/>
            <w:shd w:val="clear" w:color="auto" w:fill="2E74B5"/>
          </w:tcPr>
          <w:p>
            <w:r>
              <w:rPr>
                <w:rFonts w:ascii="Meiryo UI" w:hAnsi="Meiryo UI"/>
                <w:b/>
                <w:color w:val="FFFFFF"/>
                <w:sz w:val="18"/>
              </w:rPr>
              <w:t>理由</w:t>
            </w:r>
          </w:p>
        </w:tc>
      </w:tr>
      <w:tr>
        <w:tc>
          <w:tcPr>
            <w:tcW w:type="dxa" w:w="2351"/>
          </w:tcPr>
          <w:p>
            <w:r>
              <w:rPr>
                <w:rFonts w:ascii="Meiryo UI" w:hAnsi="Meiryo UI"/>
                <w:sz w:val="18"/>
              </w:rPr>
              <w:t>第1観察フェーズ</w:t>
            </w:r>
          </w:p>
        </w:tc>
        <w:tc>
          <w:tcPr>
            <w:tcW w:type="dxa" w:w="2351"/>
          </w:tcPr>
          <w:p>
            <w:r>
              <w:rPr>
                <w:rFonts w:ascii="Meiryo UI" w:hAnsi="Meiryo UI"/>
                <w:sz w:val="18"/>
              </w:rPr>
              <w:t>現在（¥1,665）</w:t>
            </w:r>
          </w:p>
        </w:tc>
        <w:tc>
          <w:tcPr>
            <w:tcW w:type="dxa" w:w="2351"/>
          </w:tcPr>
          <w:p>
            <w:r>
              <w:rPr>
                <w:rFonts w:ascii="Meiryo UI" w:hAnsi="Meiryo UI"/>
                <w:sz w:val="18"/>
              </w:rPr>
              <w:t>HOLD / 様子見</w:t>
            </w:r>
          </w:p>
        </w:tc>
        <w:tc>
          <w:tcPr>
            <w:tcW w:type="dxa" w:w="2351"/>
          </w:tcPr>
          <w:p>
            <w:r>
              <w:rPr>
                <w:rFonts w:ascii="Meiryo UI" w:hAnsi="Meiryo UI"/>
                <w:sz w:val="18"/>
              </w:rPr>
              <w:t>安全域なし。理論株価上限付近</w:t>
            </w:r>
          </w:p>
        </w:tc>
      </w:tr>
      <w:tr>
        <w:tc>
          <w:tcPr>
            <w:tcW w:type="dxa" w:w="2351"/>
            <w:shd w:val="clear" w:color="auto" w:fill="DDEBF7"/>
          </w:tcPr>
          <w:p>
            <w:r>
              <w:rPr>
                <w:rFonts w:ascii="Meiryo UI" w:hAnsi="Meiryo UI"/>
                <w:sz w:val="18"/>
              </w:rPr>
              <w:t>第2打診フェーズ</w:t>
            </w:r>
          </w:p>
        </w:tc>
        <w:tc>
          <w:tcPr>
            <w:tcW w:type="dxa" w:w="2351"/>
            <w:shd w:val="clear" w:color="auto" w:fill="DDEBF7"/>
          </w:tcPr>
          <w:p>
            <w:r>
              <w:rPr>
                <w:rFonts w:ascii="Meiryo UI" w:hAnsi="Meiryo UI"/>
                <w:sz w:val="18"/>
              </w:rPr>
              <w:t>¥1,400〜¥1,450</w:t>
            </w:r>
          </w:p>
        </w:tc>
        <w:tc>
          <w:tcPr>
            <w:tcW w:type="dxa" w:w="2351"/>
            <w:shd w:val="clear" w:color="auto" w:fill="DDEBF7"/>
          </w:tcPr>
          <w:p>
            <w:r>
              <w:rPr>
                <w:rFonts w:ascii="Meiryo UI" w:hAnsi="Meiryo UI"/>
                <w:sz w:val="18"/>
              </w:rPr>
              <w:t>打診買い（ポジション1/3）</w:t>
            </w:r>
          </w:p>
        </w:tc>
        <w:tc>
          <w:tcPr>
            <w:tcW w:type="dxa" w:w="2351"/>
            <w:shd w:val="clear" w:color="auto" w:fill="DDEBF7"/>
          </w:tcPr>
          <w:p>
            <w:r>
              <w:rPr>
                <w:rFonts w:ascii="Meiryo UI" w:hAnsi="Meiryo UI"/>
                <w:sz w:val="18"/>
              </w:rPr>
              <w:t>BPS¥1,405付近。清算価値のサポートライン</w:t>
            </w:r>
          </w:p>
        </w:tc>
      </w:tr>
      <w:tr>
        <w:tc>
          <w:tcPr>
            <w:tcW w:type="dxa" w:w="2351"/>
          </w:tcPr>
          <w:p>
            <w:r>
              <w:rPr>
                <w:rFonts w:ascii="Meiryo UI" w:hAnsi="Meiryo UI"/>
                <w:sz w:val="18"/>
              </w:rPr>
              <w:t>第3本格買いフェーズ</w:t>
            </w:r>
          </w:p>
        </w:tc>
        <w:tc>
          <w:tcPr>
            <w:tcW w:type="dxa" w:w="2351"/>
          </w:tcPr>
          <w:p>
            <w:r>
              <w:rPr>
                <w:rFonts w:ascii="Meiryo UI" w:hAnsi="Meiryo UI"/>
                <w:sz w:val="18"/>
              </w:rPr>
              <w:t>¥1,200〜¥1,300</w:t>
            </w:r>
          </w:p>
        </w:tc>
        <w:tc>
          <w:tcPr>
            <w:tcW w:type="dxa" w:w="2351"/>
          </w:tcPr>
          <w:p>
            <w:r>
              <w:rPr>
                <w:rFonts w:ascii="Meiryo UI" w:hAnsi="Meiryo UI"/>
                <w:sz w:val="18"/>
              </w:rPr>
              <w:t>本格買い（追加1/3）</w:t>
            </w:r>
          </w:p>
        </w:tc>
        <w:tc>
          <w:tcPr>
            <w:tcW w:type="dxa" w:w="2351"/>
          </w:tcPr>
          <w:p>
            <w:r>
              <w:rPr>
                <w:rFonts w:ascii="Meiryo UI" w:hAnsi="Meiryo UI"/>
                <w:sz w:val="18"/>
              </w:rPr>
              <w:t>MoS 20%超の安全域確保</w:t>
            </w:r>
          </w:p>
        </w:tc>
      </w:tr>
      <w:tr>
        <w:tc>
          <w:tcPr>
            <w:tcW w:type="dxa" w:w="2351"/>
            <w:shd w:val="clear" w:color="auto" w:fill="DDEBF7"/>
          </w:tcPr>
          <w:p>
            <w:r>
              <w:rPr>
                <w:rFonts w:ascii="Meiryo UI" w:hAnsi="Meiryo UI"/>
                <w:sz w:val="18"/>
              </w:rPr>
              <w:t>カタリスト判明時</w:t>
            </w:r>
          </w:p>
        </w:tc>
        <w:tc>
          <w:tcPr>
            <w:tcW w:type="dxa" w:w="2351"/>
            <w:shd w:val="clear" w:color="auto" w:fill="DDEBF7"/>
          </w:tcPr>
          <w:p>
            <w:r>
              <w:rPr>
                <w:rFonts w:ascii="Meiryo UI" w:hAnsi="Meiryo UI"/>
                <w:sz w:val="18"/>
              </w:rPr>
              <w:t>株価水準問わず</w:t>
            </w:r>
          </w:p>
        </w:tc>
        <w:tc>
          <w:tcPr>
            <w:tcW w:type="dxa" w:w="2351"/>
            <w:shd w:val="clear" w:color="auto" w:fill="DDEBF7"/>
          </w:tcPr>
          <w:p>
            <w:r>
              <w:rPr>
                <w:rFonts w:ascii="Meiryo UI" w:hAnsi="Meiryo UI"/>
                <w:sz w:val="18"/>
              </w:rPr>
              <w:t>上方修正判断</w:t>
            </w:r>
          </w:p>
        </w:tc>
        <w:tc>
          <w:tcPr>
            <w:tcW w:type="dxa" w:w="2351"/>
            <w:shd w:val="clear" w:color="auto" w:fill="DDEBF7"/>
          </w:tcPr>
          <w:p>
            <w:r>
              <w:rPr>
                <w:rFonts w:ascii="Meiryo UI" w:hAnsi="Meiryo UI"/>
                <w:sz w:val="18"/>
              </w:rPr>
              <w:t>自社株買い・増配・ROE数値目標発表時</w:t>
            </w:r>
          </w:p>
        </w:tc>
      </w:tr>
    </w:tbl>
    <w:p/>
    <w:p>
      <w:pPr>
        <w:pStyle w:val="Heading3"/>
      </w:pPr>
      <w:r>
        <w:rPr>
          <w:rFonts w:ascii="Meiryo UI" w:hAnsi="Meiryo UI"/>
          <w:color w:val="2E74B5"/>
        </w:rPr>
        <w:t>8-2. 損切りライン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ラインの種類</w:t>
            </w:r>
          </w:p>
        </w:tc>
        <w:tc>
          <w:tcPr>
            <w:tcW w:type="dxa" w:w="3135"/>
            <w:shd w:val="clear" w:color="auto" w:fill="2E74B5"/>
          </w:tcPr>
          <w:p>
            <w:r>
              <w:rPr>
                <w:rFonts w:ascii="Meiryo UI" w:hAnsi="Meiryo UI"/>
                <w:b/>
                <w:color w:val="FFFFFF"/>
                <w:sz w:val="18"/>
              </w:rPr>
              <w:t>株価</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戦術的損切り</w:t>
            </w:r>
          </w:p>
        </w:tc>
        <w:tc>
          <w:tcPr>
            <w:tcW w:type="dxa" w:w="3135"/>
          </w:tcPr>
          <w:p>
            <w:r>
              <w:rPr>
                <w:rFonts w:ascii="Meiryo UI" w:hAnsi="Meiryo UI"/>
                <w:sz w:val="18"/>
              </w:rPr>
              <w:t>¥1,150</w:t>
            </w:r>
          </w:p>
        </w:tc>
        <w:tc>
          <w:tcPr>
            <w:tcW w:type="dxa" w:w="3135"/>
          </w:tcPr>
          <w:p>
            <w:r>
              <w:rPr>
                <w:rFonts w:ascii="Meiryo UI" w:hAnsi="Meiryo UI"/>
                <w:sz w:val="18"/>
              </w:rPr>
              <w:t>弱気シナリオ中央値。保有コストの15〜20%下落</w:t>
            </w:r>
          </w:p>
        </w:tc>
      </w:tr>
      <w:tr>
        <w:tc>
          <w:tcPr>
            <w:tcW w:type="dxa" w:w="3135"/>
            <w:shd w:val="clear" w:color="auto" w:fill="DDEBF7"/>
          </w:tcPr>
          <w:p>
            <w:r>
              <w:rPr>
                <w:rFonts w:ascii="Meiryo UI" w:hAnsi="Meiryo UI"/>
                <w:sz w:val="18"/>
              </w:rPr>
              <w:t>絶対損切り</w:t>
            </w:r>
          </w:p>
        </w:tc>
        <w:tc>
          <w:tcPr>
            <w:tcW w:type="dxa" w:w="3135"/>
            <w:shd w:val="clear" w:color="auto" w:fill="DDEBF7"/>
          </w:tcPr>
          <w:p>
            <w:r>
              <w:rPr>
                <w:rFonts w:ascii="Meiryo UI" w:hAnsi="Meiryo UI"/>
                <w:sz w:val="18"/>
              </w:rPr>
              <w:t>¥1,000</w:t>
            </w:r>
          </w:p>
        </w:tc>
        <w:tc>
          <w:tcPr>
            <w:tcW w:type="dxa" w:w="3135"/>
            <w:shd w:val="clear" w:color="auto" w:fill="DDEBF7"/>
          </w:tcPr>
          <w:p>
            <w:r>
              <w:rPr>
                <w:rFonts w:ascii="Meiryo UI" w:hAnsi="Meiryo UI"/>
                <w:sz w:val="18"/>
              </w:rPr>
              <w:t>業績悪化による純資産毀損（BPS切り下がり）を想定</w:t>
            </w:r>
          </w:p>
        </w:tc>
      </w:tr>
    </w:tbl>
    <w:p/>
    <w:p>
      <w:pPr>
        <w:pStyle w:val="Heading3"/>
      </w:pPr>
      <w:r>
        <w:rPr>
          <w:rFonts w:ascii="Meiryo UI" w:hAnsi="Meiryo UI"/>
          <w:color w:val="2E74B5"/>
        </w:rPr>
        <w:t>8-3. 時間軸と目標株価</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時間軸</w:t>
            </w:r>
          </w:p>
        </w:tc>
        <w:tc>
          <w:tcPr>
            <w:tcW w:type="dxa" w:w="3135"/>
            <w:shd w:val="clear" w:color="auto" w:fill="2E74B5"/>
          </w:tcPr>
          <w:p>
            <w:r>
              <w:rPr>
                <w:rFonts w:ascii="Meiryo UI" w:hAnsi="Meiryo UI"/>
                <w:b/>
                <w:color w:val="FFFFFF"/>
                <w:sz w:val="18"/>
              </w:rPr>
              <w:t>目標</w:t>
            </w:r>
          </w:p>
        </w:tc>
        <w:tc>
          <w:tcPr>
            <w:tcW w:type="dxa" w:w="3135"/>
            <w:shd w:val="clear" w:color="auto" w:fill="2E74B5"/>
          </w:tcPr>
          <w:p>
            <w:r>
              <w:rPr>
                <w:rFonts w:ascii="Meiryo UI" w:hAnsi="Meiryo UI"/>
                <w:b/>
                <w:color w:val="FFFFFF"/>
                <w:sz w:val="18"/>
              </w:rPr>
              <w:t>前提条件</w:t>
            </w:r>
          </w:p>
        </w:tc>
      </w:tr>
      <w:tr>
        <w:tc>
          <w:tcPr>
            <w:tcW w:type="dxa" w:w="3135"/>
          </w:tcPr>
          <w:p>
            <w:r>
              <w:rPr>
                <w:rFonts w:ascii="Meiryo UI" w:hAnsi="Meiryo UI"/>
                <w:sz w:val="18"/>
              </w:rPr>
              <w:t>短期（〜6ヶ月）</w:t>
            </w:r>
          </w:p>
        </w:tc>
        <w:tc>
          <w:tcPr>
            <w:tcW w:type="dxa" w:w="3135"/>
          </w:tcPr>
          <w:p>
            <w:r>
              <w:rPr>
                <w:rFonts w:ascii="Meiryo UI" w:hAnsi="Meiryo UI"/>
                <w:sz w:val="18"/>
              </w:rPr>
              <w:t>¥1,400〜¥1,700のレンジ推移</w:t>
            </w:r>
          </w:p>
        </w:tc>
        <w:tc>
          <w:tcPr>
            <w:tcW w:type="dxa" w:w="3135"/>
          </w:tcPr>
          <w:p>
            <w:r>
              <w:rPr>
                <w:rFonts w:ascii="Meiryo UI" w:hAnsi="Meiryo UI"/>
                <w:sz w:val="18"/>
              </w:rPr>
              <w:t>ROE改善の具体的発表なし</w:t>
            </w:r>
          </w:p>
        </w:tc>
      </w:tr>
      <w:tr>
        <w:tc>
          <w:tcPr>
            <w:tcW w:type="dxa" w:w="3135"/>
            <w:shd w:val="clear" w:color="auto" w:fill="DDEBF7"/>
          </w:tcPr>
          <w:p>
            <w:r>
              <w:rPr>
                <w:rFonts w:ascii="Meiryo UI" w:hAnsi="Meiryo UI"/>
                <w:sz w:val="18"/>
              </w:rPr>
              <w:t>中期（6〜18ヶ月）</w:t>
            </w:r>
          </w:p>
        </w:tc>
        <w:tc>
          <w:tcPr>
            <w:tcW w:type="dxa" w:w="3135"/>
            <w:shd w:val="clear" w:color="auto" w:fill="DDEBF7"/>
          </w:tcPr>
          <w:p>
            <w:r>
              <w:rPr>
                <w:rFonts w:ascii="Meiryo UI" w:hAnsi="Meiryo UI"/>
                <w:sz w:val="18"/>
              </w:rPr>
              <w:t>¥1,700〜¥1,900</w:t>
            </w:r>
          </w:p>
        </w:tc>
        <w:tc>
          <w:tcPr>
            <w:tcW w:type="dxa" w:w="3135"/>
            <w:shd w:val="clear" w:color="auto" w:fill="DDEBF7"/>
          </w:tcPr>
          <w:p>
            <w:r>
              <w:rPr>
                <w:rFonts w:ascii="Meiryo UI" w:hAnsi="Meiryo UI"/>
                <w:sz w:val="18"/>
              </w:rPr>
              <w:t>株主還元強化発表・ROE改善着手確認</w:t>
            </w:r>
          </w:p>
        </w:tc>
      </w:tr>
      <w:tr>
        <w:tc>
          <w:tcPr>
            <w:tcW w:type="dxa" w:w="3135"/>
          </w:tcPr>
          <w:p>
            <w:r>
              <w:rPr>
                <w:rFonts w:ascii="Meiryo UI" w:hAnsi="Meiryo UI"/>
                <w:sz w:val="18"/>
              </w:rPr>
              <w:t>長期（18ヶ月〜）</w:t>
            </w:r>
          </w:p>
        </w:tc>
        <w:tc>
          <w:tcPr>
            <w:tcW w:type="dxa" w:w="3135"/>
          </w:tcPr>
          <w:p>
            <w:r>
              <w:rPr>
                <w:rFonts w:ascii="Meiryo UI" w:hAnsi="Meiryo UI"/>
                <w:sz w:val="18"/>
              </w:rPr>
              <w:t>¥1,900〜¥2,200</w:t>
            </w:r>
          </w:p>
        </w:tc>
        <w:tc>
          <w:tcPr>
            <w:tcW w:type="dxa" w:w="3135"/>
          </w:tcPr>
          <w:p>
            <w:r>
              <w:rPr>
                <w:rFonts w:ascii="Meiryo UI" w:hAnsi="Meiryo UI"/>
                <w:sz w:val="18"/>
              </w:rPr>
              <w:t>ROE 6%超の実績確認・防衛インフラ本格寄与</w:t>
            </w:r>
          </w:p>
        </w:tc>
      </w:tr>
    </w:tbl>
    <w:p/>
    <w:p>
      <w:pPr>
        <w:pStyle w:val="Heading3"/>
      </w:pPr>
      <w:r>
        <w:rPr>
          <w:rFonts w:ascii="Meiryo UI" w:hAnsi="Meiryo UI"/>
          <w:color w:val="2E74B5"/>
        </w:rPr>
        <w:t>8-4. モニタリングすべきKPI</w:t>
      </w:r>
    </w:p>
    <w:p/>
    <w:p>
      <w:pPr>
        <w:shd w:val="clear" w:color="auto" w:fill="F2F2F2"/>
      </w:pPr>
      <w:r>
        <w:rPr>
          <w:rFonts w:ascii="Courier New" w:hAnsi="Courier New"/>
          <w:sz w:val="16"/>
        </w:rPr>
        <w:t>① ROEの四半期改善トレンド（目標：5%超への道筋）</w:t>
        <w:br/>
        <w:t>② 自社株買い・増配の取締役会決議</w:t>
        <w:br/>
        <w:t>③ 受注残高・受注額のトレンド（前年比）</w:t>
        <w:br/>
        <w:t>④ 建設資材・労務費コストの動向</w:t>
        <w:br/>
        <w:t>⑤ 東証プライム上場対応としてのPBR改善計画の開示</w:t>
        <w:br/>
        <w:t>⑥ 防衛省・国交省からの大型受注ニュース</w:t>
      </w:r>
    </w:p>
    <w:p/>
    <w:p>
      <w:r>
        <w:t>──────────────────────────────────────────────────</w:t>
      </w:r>
    </w:p>
    <w:p/>
    <w:p>
      <w:pPr>
        <w:pStyle w:val="Heading2"/>
      </w:pPr>
      <w:r>
        <w:rPr>
          <w:rFonts w:ascii="Meiryo UI" w:hAnsi="Meiryo UI"/>
          <w:color w:val="2E74B5"/>
        </w:rPr>
        <w:t>9. 金利感応度分析（Sensitivity Analysis）</w:t>
      </w:r>
    </w:p>
    <w:p/>
    <w:p>
      <w:r>
        <w:rPr>
          <w:rFonts w:ascii="Meiryo UI" w:hAnsi="Meiryo UI"/>
          <w:sz w:val="20"/>
        </w:rPr>
        <w:t>&gt; ⚠️ 本セクションは省略不可。Rf変動に対する理論株価の変化を定量的に示す。</w:t>
      </w:r>
    </w:p>
    <w:p/>
    <w:p>
      <w:pPr>
        <w:pStyle w:val="Heading3"/>
      </w:pPr>
      <w:r>
        <w:rPr>
          <w:rFonts w:ascii="Meiryo UI" w:hAnsi="Meiryo UI"/>
          <w:color w:val="2E74B5"/>
        </w:rPr>
        <w:t>9-1. 前提・計算ロジック</w:t>
      </w:r>
    </w:p>
    <w:p/>
    <w:p>
      <w:pPr>
        <w:shd w:val="clear" w:color="auto" w:fill="F2F2F2"/>
      </w:pPr>
      <w:r>
        <w:rPr>
          <w:rFonts w:ascii="Courier New" w:hAnsi="Courier New"/>
          <w:sz w:val="16"/>
        </w:rPr>
        <w:t>WACC(Rf) = 0.70 × (Rf + 0.70 × 6.0%) + 0.30 × 1.05%</w:t>
        <w:br/>
        <w:t xml:space="preserve">         = 0.70 × (Rf + 4.2%) + 0.315%</w:t>
        <w:br/>
        <w:t xml:space="preserve">         = 0.70 × Rf + 2.94% + 0.315%</w:t>
        <w:br/>
        <w:t xml:space="preserve">         = 0.70 × Rf + 3.255%</w:t>
        <w:br/>
        <w:br/>
        <w:t>理論株価（ハイブリッド） = 0.40 × [EPS/(Re-g)] + 0.60 × BPS</w:t>
        <w:br/>
        <w:t>Re = Rf + β×ERP = Rf + 4.2%</w:t>
        <w:br/>
        <w:t>EPS = ¥50, g = 0.5%, BPS = ¥1,405</w:t>
      </w:r>
    </w:p>
    <w:p/>
    <w:p>
      <w:pPr>
        <w:pStyle w:val="Heading3"/>
      </w:pPr>
      <w:r>
        <w:rPr>
          <w:rFonts w:ascii="Meiryo UI" w:hAnsi="Meiryo UI"/>
          <w:color w:val="2E74B5"/>
        </w:rPr>
        <w:t>9-2. 感応度テーブル</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Rfシナリオ</w:t>
            </w:r>
          </w:p>
        </w:tc>
        <w:tc>
          <w:tcPr>
            <w:tcW w:type="dxa" w:w="1344"/>
            <w:shd w:val="clear" w:color="auto" w:fill="2E74B5"/>
          </w:tcPr>
          <w:p>
            <w:r>
              <w:rPr>
                <w:rFonts w:ascii="Meiryo UI" w:hAnsi="Meiryo UI"/>
                <w:b/>
                <w:color w:val="FFFFFF"/>
                <w:sz w:val="18"/>
              </w:rPr>
              <w:t>Rf (%)</w:t>
            </w:r>
          </w:p>
        </w:tc>
        <w:tc>
          <w:tcPr>
            <w:tcW w:type="dxa" w:w="1344"/>
            <w:shd w:val="clear" w:color="auto" w:fill="2E74B5"/>
          </w:tcPr>
          <w:p>
            <w:r>
              <w:rPr>
                <w:rFonts w:ascii="Meiryo UI" w:hAnsi="Meiryo UI"/>
                <w:b/>
                <w:color w:val="FFFFFF"/>
                <w:sz w:val="18"/>
              </w:rPr>
              <w:t>Re (%)</w:t>
            </w:r>
          </w:p>
        </w:tc>
        <w:tc>
          <w:tcPr>
            <w:tcW w:type="dxa" w:w="1344"/>
            <w:shd w:val="clear" w:color="auto" w:fill="2E74B5"/>
          </w:tcPr>
          <w:p>
            <w:r>
              <w:rPr>
                <w:rFonts w:ascii="Meiryo UI" w:hAnsi="Meiryo UI"/>
                <w:b/>
                <w:color w:val="FFFFFF"/>
                <w:sz w:val="18"/>
              </w:rPr>
              <w:t>WACC (%)</w:t>
            </w:r>
          </w:p>
        </w:tc>
        <w:tc>
          <w:tcPr>
            <w:tcW w:type="dxa" w:w="1344"/>
            <w:shd w:val="clear" w:color="auto" w:fill="2E74B5"/>
          </w:tcPr>
          <w:p>
            <w:r>
              <w:rPr>
                <w:rFonts w:ascii="Meiryo UI" w:hAnsi="Meiryo UI"/>
                <w:b/>
                <w:color w:val="FFFFFF"/>
                <w:sz w:val="18"/>
              </w:rPr>
              <w:t>DCF価値 EPS/(Re-g)</w:t>
            </w:r>
          </w:p>
        </w:tc>
        <w:tc>
          <w:tcPr>
            <w:tcW w:type="dxa" w:w="1344"/>
            <w:shd w:val="clear" w:color="auto" w:fill="2E74B5"/>
          </w:tcPr>
          <w:p>
            <w:r>
              <w:rPr>
                <w:rFonts w:ascii="Meiryo UI" w:hAnsi="Meiryo UI"/>
                <w:b/>
                <w:color w:val="FFFFFF"/>
                <w:sz w:val="18"/>
              </w:rPr>
              <w:t>ハイブリッド理論株価 (JPY)</w:t>
            </w:r>
          </w:p>
        </w:tc>
        <w:tc>
          <w:tcPr>
            <w:tcW w:type="dxa" w:w="1344"/>
            <w:shd w:val="clear" w:color="auto" w:fill="2E74B5"/>
          </w:tcPr>
          <w:p>
            <w:r>
              <w:rPr>
                <w:rFonts w:ascii="Meiryo UI" w:hAnsi="Meiryo UI"/>
                <w:b/>
                <w:color w:val="FFFFFF"/>
                <w:sz w:val="18"/>
              </w:rPr>
              <w:t>現在値¥1,665比乖離率</w:t>
            </w:r>
          </w:p>
        </w:tc>
      </w:tr>
      <w:tr>
        <w:tc>
          <w:tcPr>
            <w:tcW w:type="dxa" w:w="1344"/>
          </w:tcPr>
          <w:p>
            <w:r>
              <w:rPr>
                <w:rFonts w:ascii="Meiryo UI" w:hAnsi="Meiryo UI"/>
                <w:sz w:val="18"/>
              </w:rPr>
              <w:t>Rf ▲1.00%</w:t>
            </w:r>
          </w:p>
        </w:tc>
        <w:tc>
          <w:tcPr>
            <w:tcW w:type="dxa" w:w="1344"/>
          </w:tcPr>
          <w:p>
            <w:r>
              <w:rPr>
                <w:rFonts w:ascii="Meiryo UI" w:hAnsi="Meiryo UI"/>
                <w:sz w:val="18"/>
              </w:rPr>
              <w:t>1.380%</w:t>
            </w:r>
          </w:p>
        </w:tc>
        <w:tc>
          <w:tcPr>
            <w:tcW w:type="dxa" w:w="1344"/>
          </w:tcPr>
          <w:p>
            <w:r>
              <w:rPr>
                <w:rFonts w:ascii="Meiryo UI" w:hAnsi="Meiryo UI"/>
                <w:sz w:val="18"/>
              </w:rPr>
              <w:t>5.580%</w:t>
            </w:r>
          </w:p>
        </w:tc>
        <w:tc>
          <w:tcPr>
            <w:tcW w:type="dxa" w:w="1344"/>
          </w:tcPr>
          <w:p>
            <w:r>
              <w:rPr>
                <w:rFonts w:ascii="Meiryo UI" w:hAnsi="Meiryo UI"/>
                <w:sz w:val="18"/>
              </w:rPr>
              <w:t>4.222%</w:t>
            </w:r>
          </w:p>
        </w:tc>
        <w:tc>
          <w:tcPr>
            <w:tcW w:type="dxa" w:w="1344"/>
          </w:tcPr>
          <w:p>
            <w:r>
              <w:rPr>
                <w:rFonts w:ascii="Meiryo UI" w:hAnsi="Meiryo UI"/>
                <w:sz w:val="18"/>
              </w:rPr>
              <w:t>¥50/(5.08%)=¥984</w:t>
            </w:r>
          </w:p>
        </w:tc>
        <w:tc>
          <w:tcPr>
            <w:tcW w:type="dxa" w:w="1344"/>
          </w:tcPr>
          <w:p>
            <w:r>
              <w:rPr>
                <w:rFonts w:ascii="Meiryo UI" w:hAnsi="Meiryo UI"/>
                <w:sz w:val="18"/>
              </w:rPr>
              <w:t>0.40×984+0.60×1,405=¥1,237</w:t>
            </w:r>
          </w:p>
        </w:tc>
        <w:tc>
          <w:tcPr>
            <w:tcW w:type="dxa" w:w="1344"/>
          </w:tcPr>
          <w:p>
            <w:r>
              <w:rPr>
                <w:rFonts w:ascii="Meiryo UI" w:hAnsi="Meiryo UI"/>
                <w:sz w:val="18"/>
              </w:rPr>
              <w:t>▲25.7%</w:t>
            </w:r>
          </w:p>
        </w:tc>
      </w:tr>
      <w:tr>
        <w:tc>
          <w:tcPr>
            <w:tcW w:type="dxa" w:w="1344"/>
            <w:shd w:val="clear" w:color="auto" w:fill="DDEBF7"/>
          </w:tcPr>
          <w:p>
            <w:r>
              <w:rPr>
                <w:rFonts w:ascii="Meiryo UI" w:hAnsi="Meiryo UI"/>
                <w:sz w:val="18"/>
              </w:rPr>
              <w:t>Rf ▲0.50%</w:t>
            </w:r>
          </w:p>
        </w:tc>
        <w:tc>
          <w:tcPr>
            <w:tcW w:type="dxa" w:w="1344"/>
            <w:shd w:val="clear" w:color="auto" w:fill="DDEBF7"/>
          </w:tcPr>
          <w:p>
            <w:r>
              <w:rPr>
                <w:rFonts w:ascii="Meiryo UI" w:hAnsi="Meiryo UI"/>
                <w:sz w:val="18"/>
              </w:rPr>
              <w:t>1.880%</w:t>
            </w:r>
          </w:p>
        </w:tc>
        <w:tc>
          <w:tcPr>
            <w:tcW w:type="dxa" w:w="1344"/>
            <w:shd w:val="clear" w:color="auto" w:fill="DDEBF7"/>
          </w:tcPr>
          <w:p>
            <w:r>
              <w:rPr>
                <w:rFonts w:ascii="Meiryo UI" w:hAnsi="Meiryo UI"/>
                <w:sz w:val="18"/>
              </w:rPr>
              <w:t>6.080%</w:t>
            </w:r>
          </w:p>
        </w:tc>
        <w:tc>
          <w:tcPr>
            <w:tcW w:type="dxa" w:w="1344"/>
            <w:shd w:val="clear" w:color="auto" w:fill="DDEBF7"/>
          </w:tcPr>
          <w:p>
            <w:r>
              <w:rPr>
                <w:rFonts w:ascii="Meiryo UI" w:hAnsi="Meiryo UI"/>
                <w:sz w:val="18"/>
              </w:rPr>
              <w:t>4.571%</w:t>
            </w:r>
          </w:p>
        </w:tc>
        <w:tc>
          <w:tcPr>
            <w:tcW w:type="dxa" w:w="1344"/>
            <w:shd w:val="clear" w:color="auto" w:fill="DDEBF7"/>
          </w:tcPr>
          <w:p>
            <w:r>
              <w:rPr>
                <w:rFonts w:ascii="Meiryo UI" w:hAnsi="Meiryo UI"/>
                <w:sz w:val="18"/>
              </w:rPr>
              <w:t>¥50/(5.58%)=¥896</w:t>
            </w:r>
          </w:p>
        </w:tc>
        <w:tc>
          <w:tcPr>
            <w:tcW w:type="dxa" w:w="1344"/>
            <w:shd w:val="clear" w:color="auto" w:fill="DDEBF7"/>
          </w:tcPr>
          <w:p>
            <w:r>
              <w:rPr>
                <w:rFonts w:ascii="Meiryo UI" w:hAnsi="Meiryo UI"/>
                <w:sz w:val="18"/>
              </w:rPr>
              <w:t>0.40×896+0.60×1,405=¥1,401</w:t>
            </w:r>
          </w:p>
        </w:tc>
        <w:tc>
          <w:tcPr>
            <w:tcW w:type="dxa" w:w="1344"/>
            <w:shd w:val="clear" w:color="auto" w:fill="DDEBF7"/>
          </w:tcPr>
          <w:p>
            <w:r>
              <w:rPr>
                <w:rFonts w:ascii="Meiryo UI" w:hAnsi="Meiryo UI"/>
                <w:sz w:val="18"/>
              </w:rPr>
              <w:t>▲15.9%</w:t>
            </w:r>
          </w:p>
        </w:tc>
      </w:tr>
      <w:tr>
        <w:tc>
          <w:tcPr>
            <w:tcW w:type="dxa" w:w="1344"/>
          </w:tcPr>
          <w:p>
            <w:r>
              <w:rPr>
                <w:rFonts w:ascii="Meiryo UI" w:hAnsi="Meiryo UI"/>
                <w:sz w:val="18"/>
              </w:rPr>
              <w:t>Rf ▲0.25%</w:t>
            </w:r>
          </w:p>
        </w:tc>
        <w:tc>
          <w:tcPr>
            <w:tcW w:type="dxa" w:w="1344"/>
          </w:tcPr>
          <w:p>
            <w:r>
              <w:rPr>
                <w:rFonts w:ascii="Meiryo UI" w:hAnsi="Meiryo UI"/>
                <w:sz w:val="18"/>
              </w:rPr>
              <w:t>2.130%</w:t>
            </w:r>
          </w:p>
        </w:tc>
        <w:tc>
          <w:tcPr>
            <w:tcW w:type="dxa" w:w="1344"/>
          </w:tcPr>
          <w:p>
            <w:r>
              <w:rPr>
                <w:rFonts w:ascii="Meiryo UI" w:hAnsi="Meiryo UI"/>
                <w:sz w:val="18"/>
              </w:rPr>
              <w:t>6.330%</w:t>
            </w:r>
          </w:p>
        </w:tc>
        <w:tc>
          <w:tcPr>
            <w:tcW w:type="dxa" w:w="1344"/>
          </w:tcPr>
          <w:p>
            <w:r>
              <w:rPr>
                <w:rFonts w:ascii="Meiryo UI" w:hAnsi="Meiryo UI"/>
                <w:sz w:val="18"/>
              </w:rPr>
              <w:t>4.746%</w:t>
            </w:r>
          </w:p>
        </w:tc>
        <w:tc>
          <w:tcPr>
            <w:tcW w:type="dxa" w:w="1344"/>
          </w:tcPr>
          <w:p>
            <w:r>
              <w:rPr>
                <w:rFonts w:ascii="Meiryo UI" w:hAnsi="Meiryo UI"/>
                <w:sz w:val="18"/>
              </w:rPr>
              <w:t>¥50/(5.83%)=¥858</w:t>
            </w:r>
          </w:p>
        </w:tc>
        <w:tc>
          <w:tcPr>
            <w:tcW w:type="dxa" w:w="1344"/>
          </w:tcPr>
          <w:p>
            <w:r>
              <w:rPr>
                <w:rFonts w:ascii="Meiryo UI" w:hAnsi="Meiryo UI"/>
                <w:sz w:val="18"/>
              </w:rPr>
              <w:t>0.40×858+0.60×1,405=¥1,386</w:t>
            </w:r>
          </w:p>
        </w:tc>
        <w:tc>
          <w:tcPr>
            <w:tcW w:type="dxa" w:w="1344"/>
          </w:tcPr>
          <w:p>
            <w:r>
              <w:rPr>
                <w:rFonts w:ascii="Meiryo UI" w:hAnsi="Meiryo UI"/>
                <w:sz w:val="18"/>
              </w:rPr>
              <w:t>▲16.7%</w:t>
            </w:r>
          </w:p>
        </w:tc>
      </w:tr>
      <w:tr>
        <w:tc>
          <w:tcPr>
            <w:tcW w:type="dxa" w:w="1344"/>
            <w:shd w:val="clear" w:color="auto" w:fill="DDEBF7"/>
          </w:tcPr>
          <w:p>
            <w:r>
              <w:rPr>
                <w:rFonts w:ascii="Meiryo UI" w:hAnsi="Meiryo UI"/>
                <w:sz w:val="18"/>
              </w:rPr>
              <w:t>ベース（現在）</w:t>
            </w:r>
          </w:p>
        </w:tc>
        <w:tc>
          <w:tcPr>
            <w:tcW w:type="dxa" w:w="1344"/>
            <w:shd w:val="clear" w:color="auto" w:fill="DDEBF7"/>
          </w:tcPr>
          <w:p>
            <w:r>
              <w:rPr>
                <w:rFonts w:ascii="Meiryo UI" w:hAnsi="Meiryo UI"/>
                <w:sz w:val="18"/>
              </w:rPr>
              <w:t>2.380%</w:t>
            </w:r>
          </w:p>
        </w:tc>
        <w:tc>
          <w:tcPr>
            <w:tcW w:type="dxa" w:w="1344"/>
            <w:shd w:val="clear" w:color="auto" w:fill="DDEBF7"/>
          </w:tcPr>
          <w:p>
            <w:r>
              <w:rPr>
                <w:rFonts w:ascii="Meiryo UI" w:hAnsi="Meiryo UI"/>
                <w:sz w:val="18"/>
              </w:rPr>
              <w:t>6.580%</w:t>
            </w:r>
          </w:p>
        </w:tc>
        <w:tc>
          <w:tcPr>
            <w:tcW w:type="dxa" w:w="1344"/>
            <w:shd w:val="clear" w:color="auto" w:fill="DDEBF7"/>
          </w:tcPr>
          <w:p>
            <w:r>
              <w:rPr>
                <w:rFonts w:ascii="Meiryo UI" w:hAnsi="Meiryo UI"/>
                <w:sz w:val="18"/>
              </w:rPr>
              <w:t>4.921%</w:t>
            </w:r>
          </w:p>
        </w:tc>
        <w:tc>
          <w:tcPr>
            <w:tcW w:type="dxa" w:w="1344"/>
            <w:shd w:val="clear" w:color="auto" w:fill="DDEBF7"/>
          </w:tcPr>
          <w:p>
            <w:r>
              <w:rPr>
                <w:rFonts w:ascii="Meiryo UI" w:hAnsi="Meiryo UI"/>
                <w:sz w:val="18"/>
              </w:rPr>
              <w:t>¥50/(6.08%)=¥823</w:t>
            </w:r>
          </w:p>
        </w:tc>
        <w:tc>
          <w:tcPr>
            <w:tcW w:type="dxa" w:w="1344"/>
            <w:shd w:val="clear" w:color="auto" w:fill="DDEBF7"/>
          </w:tcPr>
          <w:p>
            <w:r>
              <w:rPr>
                <w:rFonts w:ascii="Meiryo UI" w:hAnsi="Meiryo UI"/>
                <w:sz w:val="18"/>
              </w:rPr>
              <w:t>0.40×823+0.60×1,405=¥1,172</w:t>
            </w:r>
          </w:p>
        </w:tc>
        <w:tc>
          <w:tcPr>
            <w:tcW w:type="dxa" w:w="1344"/>
            <w:shd w:val="clear" w:color="auto" w:fill="DDEBF7"/>
          </w:tcPr>
          <w:p>
            <w:r>
              <w:rPr>
                <w:rFonts w:ascii="Meiryo UI" w:hAnsi="Meiryo UI"/>
                <w:sz w:val="18"/>
              </w:rPr>
              <w:t>▲29.6%</w:t>
            </w:r>
          </w:p>
        </w:tc>
      </w:tr>
      <w:tr>
        <w:tc>
          <w:tcPr>
            <w:tcW w:type="dxa" w:w="1344"/>
          </w:tcPr>
          <w:p>
            <w:r>
              <w:rPr>
                <w:rFonts w:ascii="Meiryo UI" w:hAnsi="Meiryo UI"/>
                <w:sz w:val="18"/>
              </w:rPr>
              <w:t>Rf +0.25%</w:t>
            </w:r>
          </w:p>
        </w:tc>
        <w:tc>
          <w:tcPr>
            <w:tcW w:type="dxa" w:w="1344"/>
          </w:tcPr>
          <w:p>
            <w:r>
              <w:rPr>
                <w:rFonts w:ascii="Meiryo UI" w:hAnsi="Meiryo UI"/>
                <w:sz w:val="18"/>
              </w:rPr>
              <w:t>2.630%</w:t>
            </w:r>
          </w:p>
        </w:tc>
        <w:tc>
          <w:tcPr>
            <w:tcW w:type="dxa" w:w="1344"/>
          </w:tcPr>
          <w:p>
            <w:r>
              <w:rPr>
                <w:rFonts w:ascii="Meiryo UI" w:hAnsi="Meiryo UI"/>
                <w:sz w:val="18"/>
              </w:rPr>
              <w:t>6.830%</w:t>
            </w:r>
          </w:p>
        </w:tc>
        <w:tc>
          <w:tcPr>
            <w:tcW w:type="dxa" w:w="1344"/>
          </w:tcPr>
          <w:p>
            <w:r>
              <w:rPr>
                <w:rFonts w:ascii="Meiryo UI" w:hAnsi="Meiryo UI"/>
                <w:sz w:val="18"/>
              </w:rPr>
              <w:t>5.096%</w:t>
            </w:r>
          </w:p>
        </w:tc>
        <w:tc>
          <w:tcPr>
            <w:tcW w:type="dxa" w:w="1344"/>
          </w:tcPr>
          <w:p>
            <w:r>
              <w:rPr>
                <w:rFonts w:ascii="Meiryo UI" w:hAnsi="Meiryo UI"/>
                <w:sz w:val="18"/>
              </w:rPr>
              <w:t>¥50/(6.33%)=¥790</w:t>
            </w:r>
          </w:p>
        </w:tc>
        <w:tc>
          <w:tcPr>
            <w:tcW w:type="dxa" w:w="1344"/>
          </w:tcPr>
          <w:p>
            <w:r>
              <w:rPr>
                <w:rFonts w:ascii="Meiryo UI" w:hAnsi="Meiryo UI"/>
                <w:sz w:val="18"/>
              </w:rPr>
              <w:t>0.40×790+0.60×1,405=¥1,159</w:t>
            </w:r>
          </w:p>
        </w:tc>
        <w:tc>
          <w:tcPr>
            <w:tcW w:type="dxa" w:w="1344"/>
          </w:tcPr>
          <w:p>
            <w:r>
              <w:rPr>
                <w:rFonts w:ascii="Meiryo UI" w:hAnsi="Meiryo UI"/>
                <w:sz w:val="18"/>
              </w:rPr>
              <w:t>▲30.4%</w:t>
            </w:r>
          </w:p>
        </w:tc>
      </w:tr>
      <w:tr>
        <w:tc>
          <w:tcPr>
            <w:tcW w:type="dxa" w:w="1344"/>
            <w:shd w:val="clear" w:color="auto" w:fill="DDEBF7"/>
          </w:tcPr>
          <w:p>
            <w:r>
              <w:rPr>
                <w:rFonts w:ascii="Meiryo UI" w:hAnsi="Meiryo UI"/>
                <w:sz w:val="18"/>
              </w:rPr>
              <w:t>Rf +0.50%</w:t>
            </w:r>
          </w:p>
        </w:tc>
        <w:tc>
          <w:tcPr>
            <w:tcW w:type="dxa" w:w="1344"/>
            <w:shd w:val="clear" w:color="auto" w:fill="DDEBF7"/>
          </w:tcPr>
          <w:p>
            <w:r>
              <w:rPr>
                <w:rFonts w:ascii="Meiryo UI" w:hAnsi="Meiryo UI"/>
                <w:sz w:val="18"/>
              </w:rPr>
              <w:t>2.880%</w:t>
            </w:r>
          </w:p>
        </w:tc>
        <w:tc>
          <w:tcPr>
            <w:tcW w:type="dxa" w:w="1344"/>
            <w:shd w:val="clear" w:color="auto" w:fill="DDEBF7"/>
          </w:tcPr>
          <w:p>
            <w:r>
              <w:rPr>
                <w:rFonts w:ascii="Meiryo UI" w:hAnsi="Meiryo UI"/>
                <w:sz w:val="18"/>
              </w:rPr>
              <w:t>7.080%</w:t>
            </w:r>
          </w:p>
        </w:tc>
        <w:tc>
          <w:tcPr>
            <w:tcW w:type="dxa" w:w="1344"/>
            <w:shd w:val="clear" w:color="auto" w:fill="DDEBF7"/>
          </w:tcPr>
          <w:p>
            <w:r>
              <w:rPr>
                <w:rFonts w:ascii="Meiryo UI" w:hAnsi="Meiryo UI"/>
                <w:sz w:val="18"/>
              </w:rPr>
              <w:t>5.271%</w:t>
            </w:r>
          </w:p>
        </w:tc>
        <w:tc>
          <w:tcPr>
            <w:tcW w:type="dxa" w:w="1344"/>
            <w:shd w:val="clear" w:color="auto" w:fill="DDEBF7"/>
          </w:tcPr>
          <w:p>
            <w:r>
              <w:rPr>
                <w:rFonts w:ascii="Meiryo UI" w:hAnsi="Meiryo UI"/>
                <w:sz w:val="18"/>
              </w:rPr>
              <w:t>¥50/(6.58%)=¥760</w:t>
            </w:r>
          </w:p>
        </w:tc>
        <w:tc>
          <w:tcPr>
            <w:tcW w:type="dxa" w:w="1344"/>
            <w:shd w:val="clear" w:color="auto" w:fill="DDEBF7"/>
          </w:tcPr>
          <w:p>
            <w:r>
              <w:rPr>
                <w:rFonts w:ascii="Meiryo UI" w:hAnsi="Meiryo UI"/>
                <w:sz w:val="18"/>
              </w:rPr>
              <w:t>0.40×760+0.60×1,405=¥1,147</w:t>
            </w:r>
          </w:p>
        </w:tc>
        <w:tc>
          <w:tcPr>
            <w:tcW w:type="dxa" w:w="1344"/>
            <w:shd w:val="clear" w:color="auto" w:fill="DDEBF7"/>
          </w:tcPr>
          <w:p>
            <w:r>
              <w:rPr>
                <w:rFonts w:ascii="Meiryo UI" w:hAnsi="Meiryo UI"/>
                <w:sz w:val="18"/>
              </w:rPr>
              <w:t>▲31.1%</w:t>
            </w:r>
          </w:p>
        </w:tc>
      </w:tr>
      <w:tr>
        <w:tc>
          <w:tcPr>
            <w:tcW w:type="dxa" w:w="1344"/>
          </w:tcPr>
          <w:p>
            <w:r>
              <w:rPr>
                <w:rFonts w:ascii="Meiryo UI" w:hAnsi="Meiryo UI"/>
                <w:sz w:val="18"/>
              </w:rPr>
              <w:t>Rf +1.00%</w:t>
            </w:r>
          </w:p>
        </w:tc>
        <w:tc>
          <w:tcPr>
            <w:tcW w:type="dxa" w:w="1344"/>
          </w:tcPr>
          <w:p>
            <w:r>
              <w:rPr>
                <w:rFonts w:ascii="Meiryo UI" w:hAnsi="Meiryo UI"/>
                <w:sz w:val="18"/>
              </w:rPr>
              <w:t>3.380%</w:t>
            </w:r>
          </w:p>
        </w:tc>
        <w:tc>
          <w:tcPr>
            <w:tcW w:type="dxa" w:w="1344"/>
          </w:tcPr>
          <w:p>
            <w:r>
              <w:rPr>
                <w:rFonts w:ascii="Meiryo UI" w:hAnsi="Meiryo UI"/>
                <w:sz w:val="18"/>
              </w:rPr>
              <w:t>7.580%</w:t>
            </w:r>
          </w:p>
        </w:tc>
        <w:tc>
          <w:tcPr>
            <w:tcW w:type="dxa" w:w="1344"/>
          </w:tcPr>
          <w:p>
            <w:r>
              <w:rPr>
                <w:rFonts w:ascii="Meiryo UI" w:hAnsi="Meiryo UI"/>
                <w:sz w:val="18"/>
              </w:rPr>
              <w:t>5.621%</w:t>
            </w:r>
          </w:p>
        </w:tc>
        <w:tc>
          <w:tcPr>
            <w:tcW w:type="dxa" w:w="1344"/>
          </w:tcPr>
          <w:p>
            <w:r>
              <w:rPr>
                <w:rFonts w:ascii="Meiryo UI" w:hAnsi="Meiryo UI"/>
                <w:sz w:val="18"/>
              </w:rPr>
              <w:t>¥50/(7.08%)=¥706</w:t>
            </w:r>
          </w:p>
        </w:tc>
        <w:tc>
          <w:tcPr>
            <w:tcW w:type="dxa" w:w="1344"/>
          </w:tcPr>
          <w:p>
            <w:r>
              <w:rPr>
                <w:rFonts w:ascii="Meiryo UI" w:hAnsi="Meiryo UI"/>
                <w:sz w:val="18"/>
              </w:rPr>
              <w:t>0.40×706+0.60×1,405=¥1,125</w:t>
            </w:r>
          </w:p>
        </w:tc>
        <w:tc>
          <w:tcPr>
            <w:tcW w:type="dxa" w:w="1344"/>
          </w:tcPr>
          <w:p>
            <w:r>
              <w:rPr>
                <w:rFonts w:ascii="Meiryo UI" w:hAnsi="Meiryo UI"/>
                <w:sz w:val="18"/>
              </w:rPr>
              <w:t>▲32.4%</w:t>
            </w:r>
          </w:p>
        </w:tc>
      </w:tr>
    </w:tbl>
    <w:p/>
    <w:p>
      <w:r>
        <w:rPr>
          <w:rFonts w:ascii="Meiryo UI" w:hAnsi="Meiryo UI"/>
          <w:sz w:val="20"/>
        </w:rPr>
        <w:t>&gt; 注： ハイブリッドモデルにおいて、BPS（¥1,405）固定部分（ウエイト60%）が金利変化に対してバッファとして機能するため、理論株価の金利感応度は純粋DCFよりも抑制されている。</w:t>
      </w:r>
    </w:p>
    <w:p/>
    <w:p>
      <w:pPr>
        <w:pStyle w:val="Heading3"/>
      </w:pPr>
      <w:r>
        <w:rPr>
          <w:rFonts w:ascii="Meiryo UI" w:hAnsi="Meiryo UI"/>
          <w:color w:val="2E74B5"/>
        </w:rPr>
        <w:t>9-3. 感応度インサイト</w:t>
      </w:r>
    </w:p>
    <w:p/>
    <w:p>
      <w:pPr>
        <w:shd w:val="clear" w:color="auto" w:fill="F2F2F2"/>
      </w:pPr>
      <w:r>
        <w:rPr>
          <w:rFonts w:ascii="Courier New" w:hAnsi="Courier New"/>
          <w:sz w:val="16"/>
        </w:rPr>
        <w:t>① 金利上昇リスク：Rf +1.00%で理論株価 ¥1,125（現在値比▲32.4%）</w:t>
        <w:br/>
        <w:t xml:space="preserve">  → すでに現在株価¥1,665が理論株価を大幅に上回っているため、</w:t>
        <w:br/>
        <w:t xml:space="preserve">    金利上昇は「追加ダメージ」として作用</w:t>
        <w:br/>
        <w:br/>
        <w:t>② 金利低下メリット：Rf ▲1.00%でも理論株価 ¥1,237（現在値比▲25.7%）</w:t>
        <w:br/>
        <w:t xml:space="preserve">  → 金利低下でも現在株価を正当化できない水準</w:t>
        <w:br/>
        <w:t xml:space="preserve">  → BPS固定部分（60%）が底打ち効果として機能</w:t>
        <w:br/>
        <w:br/>
        <w:t>③ 結論：金利感応度分析から見ても、現在株価¥1,665は</w:t>
        <w:br/>
        <w:t xml:space="preserve">  いずれのシナリオでも理論株価を上回る「割高ゾーン」にある</w:t>
        <w:br/>
        <w:t xml:space="preserve">  → 安全域確保のためには ¥1,400前後への調整が必要</w:t>
      </w:r>
    </w:p>
    <w:p/>
    <w:p>
      <w:r>
        <w:t>──────────────────────────────────────────────────</w:t>
      </w:r>
    </w:p>
    <w:p/>
    <w:p>
      <w:pPr>
        <w:pStyle w:val="Heading2"/>
      </w:pPr>
      <w:r>
        <w:rPr>
          <w:rFonts w:ascii="Meiryo UI" w:hAnsi="Meiryo UI"/>
          <w:color w:val="2E74B5"/>
        </w:rPr>
        <w:t>総合結論</w:t>
      </w:r>
    </w:p>
    <w:p/>
    <w:p>
      <w:pPr>
        <w:pStyle w:val="Heading3"/>
      </w:pPr>
      <w:r>
        <w:rPr>
          <w:rFonts w:ascii="Meiryo UI" w:hAnsi="Meiryo UI"/>
          <w:color w:val="2E74B5"/>
        </w:rPr>
        <w:t>深井最終判断</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判断</w:t>
            </w:r>
          </w:p>
        </w:tc>
      </w:tr>
      <w:tr>
        <w:tc>
          <w:tcPr>
            <w:tcW w:type="dxa" w:w="4703"/>
          </w:tcPr>
          <w:p>
            <w:r>
              <w:rPr>
                <w:rFonts w:ascii="Meiryo UI" w:hAnsi="Meiryo UI"/>
                <w:sz w:val="18"/>
              </w:rPr>
              <w:t>投資判断</w:t>
            </w:r>
          </w:p>
        </w:tc>
        <w:tc>
          <w:tcPr>
            <w:tcW w:type="dxa" w:w="4703"/>
          </w:tcPr>
          <w:p>
            <w:r>
              <w:rPr>
                <w:rFonts w:ascii="Meiryo UI" w:hAnsi="Meiryo UI"/>
                <w:sz w:val="18"/>
              </w:rPr>
              <w:t>中立（NEUTRAL / HOLD）</w:t>
            </w:r>
          </w:p>
        </w:tc>
      </w:tr>
      <w:tr>
        <w:tc>
          <w:tcPr>
            <w:tcW w:type="dxa" w:w="4703"/>
            <w:shd w:val="clear" w:color="auto" w:fill="DDEBF7"/>
          </w:tcPr>
          <w:p>
            <w:r>
              <w:rPr>
                <w:rFonts w:ascii="Meiryo UI" w:hAnsi="Meiryo UI"/>
                <w:sz w:val="18"/>
              </w:rPr>
              <w:t>買い推奨価格</w:t>
            </w:r>
          </w:p>
        </w:tc>
        <w:tc>
          <w:tcPr>
            <w:tcW w:type="dxa" w:w="4703"/>
            <w:shd w:val="clear" w:color="auto" w:fill="DDEBF7"/>
          </w:tcPr>
          <w:p>
            <w:r>
              <w:rPr>
                <w:rFonts w:ascii="Meiryo UI" w:hAnsi="Meiryo UI"/>
                <w:sz w:val="18"/>
              </w:rPr>
              <w:t>¥1,400以下（打診）/ ¥1,200以下（本格）</w:t>
            </w:r>
          </w:p>
        </w:tc>
      </w:tr>
      <w:tr>
        <w:tc>
          <w:tcPr>
            <w:tcW w:type="dxa" w:w="4703"/>
          </w:tcPr>
          <w:p>
            <w:r>
              <w:rPr>
                <w:rFonts w:ascii="Meiryo UI" w:hAnsi="Meiryo UI"/>
                <w:sz w:val="18"/>
              </w:rPr>
              <w:t>目標株価（18ヶ月）</w:t>
            </w:r>
          </w:p>
        </w:tc>
        <w:tc>
          <w:tcPr>
            <w:tcW w:type="dxa" w:w="4703"/>
          </w:tcPr>
          <w:p>
            <w:r>
              <w:rPr>
                <w:rFonts w:ascii="Meiryo UI" w:hAnsi="Meiryo UI"/>
                <w:sz w:val="18"/>
              </w:rPr>
              <w:t>¥1,700〜¥1,900（ROE改善確認後）</w:t>
            </w:r>
          </w:p>
        </w:tc>
      </w:tr>
      <w:tr>
        <w:tc>
          <w:tcPr>
            <w:tcW w:type="dxa" w:w="4703"/>
            <w:shd w:val="clear" w:color="auto" w:fill="DDEBF7"/>
          </w:tcPr>
          <w:p>
            <w:r>
              <w:rPr>
                <w:rFonts w:ascii="Meiryo UI" w:hAnsi="Meiryo UI"/>
                <w:sz w:val="18"/>
              </w:rPr>
              <w:t>損切りライン</w:t>
            </w:r>
          </w:p>
        </w:tc>
        <w:tc>
          <w:tcPr>
            <w:tcW w:type="dxa" w:w="4703"/>
            <w:shd w:val="clear" w:color="auto" w:fill="DDEBF7"/>
          </w:tcPr>
          <w:p>
            <w:r>
              <w:rPr>
                <w:rFonts w:ascii="Meiryo UI" w:hAnsi="Meiryo UI"/>
                <w:sz w:val="18"/>
              </w:rPr>
              <w:t>¥1,150</w:t>
            </w:r>
          </w:p>
        </w:tc>
      </w:tr>
      <w:tr>
        <w:tc>
          <w:tcPr>
            <w:tcW w:type="dxa" w:w="4703"/>
          </w:tcPr>
          <w:p>
            <w:r>
              <w:rPr>
                <w:rFonts w:ascii="Meiryo UI" w:hAnsi="Meiryo UI"/>
                <w:sz w:val="18"/>
              </w:rPr>
              <w:t>最大リスク</w:t>
            </w:r>
          </w:p>
        </w:tc>
        <w:tc>
          <w:tcPr>
            <w:tcW w:type="dxa" w:w="4703"/>
          </w:tcPr>
          <w:p>
            <w:r>
              <w:rPr>
                <w:rFonts w:ascii="Meiryo UI" w:hAnsi="Meiryo UI"/>
                <w:sz w:val="18"/>
              </w:rPr>
              <w:t>ROE改善未達による「失望売り」（理論株価¥980〜¥1,200への収束）</w:t>
            </w:r>
          </w:p>
        </w:tc>
      </w:tr>
    </w:tbl>
    <w:p/>
    <w:p>
      <w:pPr>
        <w:pStyle w:val="Heading3"/>
      </w:pPr>
      <w:r>
        <w:rPr>
          <w:rFonts w:ascii="Meiryo UI" w:hAnsi="Meiryo UI"/>
          <w:color w:val="2E74B5"/>
        </w:rPr>
        <w:t>社長指示への最終回答</w:t>
      </w:r>
    </w:p>
    <w:p/>
    <w:p>
      <w:r>
        <w:rPr>
          <w:rFonts w:ascii="Meiryo UI" w:hAnsi="Meiryo UI"/>
          <w:sz w:val="20"/>
        </w:rPr>
        <w:t>&gt; 「高自己資本比率の実態と低ROEのギャップ解明：」</w:t>
      </w:r>
    </w:p>
    <w:p>
      <w:r>
        <w:rPr>
          <w:rFonts w:ascii="Meiryo UI" w:hAnsi="Meiryo UI"/>
          <w:sz w:val="20"/>
        </w:rPr>
        <w:t>&gt; 高自己資本比率は公共工事入札要件・財務健全性として合理的側面があるが、</w:t>
      </w:r>
    </w:p>
    <w:p>
      <w:r>
        <w:rPr>
          <w:rFonts w:ascii="Meiryo UI" w:hAnsi="Meiryo UI"/>
          <w:sz w:val="20"/>
        </w:rPr>
        <w:t>&gt; 余剰資本が非稼働資産として滞留し、ROE（3.3%）を株主資本コスト（推定6.58%）</w:t>
      </w:r>
    </w:p>
    <w:p>
      <w:r>
        <w:rPr>
          <w:rFonts w:ascii="Meiryo UI" w:hAnsi="Meiryo UI"/>
          <w:sz w:val="20"/>
        </w:rPr>
        <w:t>&gt; 大幅に下回らせている。これは構造的価値毀損状態。</w:t>
      </w:r>
    </w:p>
    <w:p/>
    <w:p>
      <w:r>
        <w:rPr>
          <w:rFonts w:ascii="Meiryo UI" w:hAnsi="Meiryo UI"/>
          <w:sz w:val="20"/>
        </w:rPr>
        <w:t>&gt; 「PBR改善に向けた経営改革の蓋然性：」</w:t>
      </w:r>
    </w:p>
    <w:p>
      <w:r>
        <w:rPr>
          <w:rFonts w:ascii="Meiryo UI" w:hAnsi="Meiryo UI"/>
          <w:sz w:val="20"/>
        </w:rPr>
        <w:t>&gt; 東証プライムのPBR改善要請を受けた自社株買い・増配の実施可能性は「中〜高」。</w:t>
      </w:r>
    </w:p>
    <w:p>
      <w:r>
        <w:rPr>
          <w:rFonts w:ascii="Meiryo UI" w:hAnsi="Meiryo UI"/>
          <w:sz w:val="20"/>
        </w:rPr>
        <w:t>&gt; ただし現在株価¥1,665はその期待を既に相当程度織り込んでいる。</w:t>
      </w:r>
    </w:p>
    <w:p>
      <w:r>
        <w:rPr>
          <w:rFonts w:ascii="Meiryo UI" w:hAnsi="Meiryo UI"/>
          <w:sz w:val="20"/>
        </w:rPr>
        <w:t>&gt; 改革具体策の開示前に買い上がるのはリスクが高く、¥1,400以下への押し目待ちを推奨する。</w:t>
      </w:r>
    </w:p>
    <w:p/>
    <w:p>
      <w:r>
        <w:t>──────────────────────────────────────────────────</w:t>
      </w:r>
    </w:p>
    <w:p/>
    <w:p>
      <w:r>
        <w:rPr>
          <w:rFonts w:ascii="Meiryo UI" w:hAnsi="Meiryo UI"/>
          <w:sz w:val="20"/>
        </w:rPr>
        <w:t>本レポートは竹村トレードカンパニー社内分析用です。投資判断は最終的に投資家ご自身の判断と責任において行われるものです。</w:t>
      </w:r>
    </w:p>
    <w:p>
      <w:r>
        <w:rPr>
          <w:rFonts w:ascii="Meiryo UI" w:hAnsi="Meiryo UI"/>
          <w:sz w:val="20"/>
        </w:rPr>
        <w:t>アナリスト：深井 / 作成日：2026年4月6日 / 次回レビュー予定：決算発表後または株価¥1,400割れ時</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2.380%</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日本10年国債（JGB10Y）2.380%</w:t>
            </w:r>
          </w:p>
        </w:tc>
      </w:tr>
      <w:tr>
        <w:tc>
          <w:tcPr>
            <w:tcW w:type="dxa" w:w="4703"/>
          </w:tcPr>
          <w:p>
            <w:r>
              <w:rPr>
                <w:rFonts w:ascii="Meiryo UI" w:hAnsi="Meiryo UI"/>
                <w:sz w:val="18"/>
              </w:rPr>
              <w:t>データ取得日時</w:t>
            </w:r>
          </w:p>
        </w:tc>
        <w:tc>
          <w:tcPr>
            <w:tcW w:type="dxa" w:w="4703"/>
          </w:tcPr>
          <w:p>
            <w:r>
              <w:rPr>
                <w:rFonts w:ascii="Meiryo UI" w:hAnsi="Meiryo UI"/>
                <w:sz w:val="18"/>
              </w:rPr>
              <w:t>2026-04-06 11:11 JST（※自動取得失敗 — 社長確認値 2.38%）</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1793_大本組【低PBR_BUY_DeepResearch_20260406.md を出力しました。</w:t>
      </w:r>
    </w:p>
    <w:p>
      <w:r>
        <w:rPr>
          <w:rFonts w:ascii="Meiryo UI" w:hAnsi="Meiryo UI"/>
          <w:sz w:val="20"/>
        </w:rPr>
        <w:t>浅井スコア +0 の銘柄 [1793]大本組【低PBR×高自己資本比率×建設】 についてDeepResearch完了。</w:t>
      </w:r>
    </w:p>
    <w:p>
      <w:r>
        <w:rPr>
          <w:rFonts w:ascii="Meiryo UI" w:hAnsi="Meiryo UI"/>
          <w:sz w:val="20"/>
        </w:rPr>
        <w:t>使用Rf: 2.380%（取得: 2026-04-06 11:11 JST（※自動取得失敗 — 社長確認値 2.38%））</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