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1850 南海辰村建設 — Deep Research（WATCH+52）</w:t>
      </w:r>
    </w:p>
    <w:p/>
    <w:p/>
    <w:p>
      <w:pPr>
        <w:jc w:val="center"/>
      </w:pPr>
      <w:r>
        <w:rPr>
          <w:rFonts w:ascii="Meiryo UI" w:hAnsi="Meiryo UI"/>
          <w:sz w:val="24"/>
        </w:rPr>
        <w:t>アナリスト：深井</w:t>
      </w:r>
    </w:p>
    <w:p>
      <w:pPr>
        <w:jc w:val="center"/>
      </w:pPr>
      <w:r>
        <w:rPr>
          <w:rFonts w:ascii="Meiryo UI" w:hAnsi="Meiryo UI"/>
          <w:sz w:val="24"/>
        </w:rPr>
        <w:t>分析日：2026年04月28日</w:t>
      </w:r>
    </w:p>
    <w:p>
      <w:r>
        <w:br w:type="page"/>
      </w:r>
    </w:p>
    <w:p>
      <w:pPr>
        <w:pStyle w:val="Heading1"/>
      </w:pPr>
      <w:r>
        <w:rPr>
          <w:rFonts w:ascii="Meiryo UI" w:hAnsi="Meiryo UI"/>
          <w:color w:val="1F3864"/>
        </w:rPr>
        <w:t>1850 南海辰村建設 — Deep Research（WATCH+52）</w:t>
      </w:r>
    </w:p>
    <w:p>
      <w:r>
        <w:rPr>
          <w:rFonts w:ascii="Meiryo UI" w:hAnsi="Meiryo UI"/>
          <w:sz w:val="20"/>
        </w:rPr>
        <w:t>作成日: 2026-04-27 | 更新理由: 大阪IR JV リスク完全再評価版【優先度1】</w:t>
      </w:r>
    </w:p>
    <w:p/>
    <w:p>
      <w:r>
        <w:rPr>
          <w:rFonts w:ascii="Meiryo UI" w:hAnsi="Meiryo UI"/>
          <w:sz w:val="20"/>
        </w:rPr>
        <w:t>&gt; ⚠️ 前版（BUY+82、2026-04-27早版）からスコア▲30pt大幅修正。大阪IRブロックB超大型JV案件が受注残の根幹を占めることが判明。コスト構造の不確実性を完全に再評価。</w:t>
      </w:r>
    </w:p>
    <w:p/>
    <w:p>
      <w:r>
        <w:t>──────────────────────────────────────────────────</w:t>
      </w:r>
    </w:p>
    <w:p/>
    <w:p>
      <w:pPr>
        <w:pStyle w:val="Heading2"/>
      </w:pPr>
      <w:r>
        <w:rPr>
          <w:rFonts w:ascii="Meiryo UI" w:hAnsi="Meiryo UI"/>
          <w:color w:val="2E74B5"/>
        </w:rPr>
        <w:t>IRページ・コンタクト先（自律偵察）</w:t>
      </w:r>
    </w:p>
    <w:p/>
    <w:p>
      <w:pPr>
        <w:pStyle w:val="ListBullet"/>
      </w:pPr>
      <w:r>
        <w:rPr>
          <w:rFonts w:ascii="Meiryo UI" w:hAnsi="Meiryo UI"/>
          <w:sz w:val="20"/>
        </w:rPr>
        <w:t>IR公式URL: https://www.nantatsu.co.jp/ir/</w:t>
      </w:r>
    </w:p>
    <w:p>
      <w:pPr>
        <w:pStyle w:val="ListBullet"/>
      </w:pPr>
      <w:r>
        <w:rPr>
          <w:rFonts w:ascii="Meiryo UI" w:hAnsi="Meiryo UI"/>
          <w:sz w:val="20"/>
        </w:rPr>
        <w:t>決算発表予定: 2026年4月28日（本日大引け後）</w:t>
      </w:r>
    </w:p>
    <w:p>
      <w:pPr>
        <w:pStyle w:val="ListBullet"/>
      </w:pPr>
      <w:r>
        <w:rPr>
          <w:rFonts w:ascii="Meiryo UI" w:hAnsi="Meiryo UI"/>
          <w:sz w:val="20"/>
        </w:rPr>
        <w:t>IR問い合わせ: 取締役 常務執行役員 経営戦略本部長 楠岡英人 TEL: 06-6644-7835</w:t>
      </w:r>
    </w:p>
    <w:p>
      <w:pPr>
        <w:pStyle w:val="ListBullet"/>
      </w:pPr>
      <w:r>
        <w:rPr>
          <w:rFonts w:ascii="Meiryo UI" w:hAnsi="Meiryo UI"/>
          <w:sz w:val="20"/>
        </w:rPr>
        <w:t>IR担当（経理）: 経理部長 南部学史 TEL: 06-6644-7805</w:t>
      </w:r>
    </w:p>
    <w:p/>
    <w:p>
      <w:r>
        <w:t>──────────────────────────────────────────────────</w:t>
      </w:r>
    </w:p>
    <w:p/>
    <w:p>
      <w:pPr>
        <w:pStyle w:val="Heading2"/>
      </w:pPr>
      <w:r>
        <w:rPr>
          <w:rFonts w:ascii="Meiryo UI" w:hAnsi="Meiryo UI"/>
          <w:color w:val="2E74B5"/>
        </w:rPr>
        <w:t>1. 10秒サマリー（結論ファースト）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判定</w:t>
            </w:r>
          </w:p>
        </w:tc>
        <w:tc>
          <w:tcPr>
            <w:tcW w:type="dxa" w:w="1568"/>
            <w:shd w:val="clear" w:color="auto" w:fill="2E74B5"/>
          </w:tcPr>
          <w:p>
            <w:r>
              <w:rPr>
                <w:rFonts w:ascii="Meiryo UI" w:hAnsi="Meiryo UI"/>
                <w:b/>
                <w:color w:val="FFFFFF"/>
                <w:sz w:val="18"/>
              </w:rPr>
              <w:t>スコア</w:t>
            </w:r>
          </w:p>
        </w:tc>
        <w:tc>
          <w:tcPr>
            <w:tcW w:type="dxa" w:w="1568"/>
            <w:shd w:val="clear" w:color="auto" w:fill="2E74B5"/>
          </w:tcPr>
          <w:p>
            <w:r>
              <w:rPr>
                <w:rFonts w:ascii="Meiryo UI" w:hAnsi="Meiryo UI"/>
                <w:b/>
                <w:color w:val="FFFFFF"/>
                <w:sz w:val="18"/>
              </w:rPr>
              <w:t>BaseTP</w:t>
            </w:r>
          </w:p>
        </w:tc>
        <w:tc>
          <w:tcPr>
            <w:tcW w:type="dxa" w:w="1568"/>
            <w:shd w:val="clear" w:color="auto" w:fill="2E74B5"/>
          </w:tcPr>
          <w:p>
            <w:r>
              <w:rPr>
                <w:rFonts w:ascii="Meiryo UI" w:hAnsi="Meiryo UI"/>
                <w:b/>
                <w:color w:val="FFFFFF"/>
                <w:sz w:val="18"/>
              </w:rPr>
              <w:t>BullTP</w:t>
            </w:r>
          </w:p>
        </w:tc>
        <w:tc>
          <w:tcPr>
            <w:tcW w:type="dxa" w:w="1568"/>
            <w:shd w:val="clear" w:color="auto" w:fill="2E74B5"/>
          </w:tcPr>
          <w:p>
            <w:r>
              <w:rPr>
                <w:rFonts w:ascii="Meiryo UI" w:hAnsi="Meiryo UI"/>
                <w:b/>
                <w:color w:val="FFFFFF"/>
                <w:sz w:val="18"/>
              </w:rPr>
              <w:t>安全域（Base）</w:t>
            </w:r>
          </w:p>
        </w:tc>
        <w:tc>
          <w:tcPr>
            <w:tcW w:type="dxa" w:w="1568"/>
            <w:shd w:val="clear" w:color="auto" w:fill="2E74B5"/>
          </w:tcPr>
          <w:p>
            <w:r>
              <w:rPr>
                <w:rFonts w:ascii="Meiryo UI" w:hAnsi="Meiryo UI"/>
                <w:b/>
                <w:color w:val="FFFFFF"/>
                <w:sz w:val="18"/>
              </w:rPr>
              <w:t>現値（4/27）</w:t>
            </w:r>
          </w:p>
        </w:tc>
      </w:tr>
      <w:tr>
        <w:tc>
          <w:tcPr>
            <w:tcW w:type="dxa" w:w="1568"/>
          </w:tcPr>
          <w:p>
            <w:r>
              <w:rPr>
                <w:rFonts w:ascii="Meiryo UI" w:hAnsi="Meiryo UI"/>
                <w:sz w:val="18"/>
              </w:rPr>
              <w:t>WATCH</w:t>
            </w:r>
          </w:p>
        </w:tc>
        <w:tc>
          <w:tcPr>
            <w:tcW w:type="dxa" w:w="1568"/>
          </w:tcPr>
          <w:p>
            <w:r>
              <w:rPr>
                <w:rFonts w:ascii="Meiryo UI" w:hAnsi="Meiryo UI"/>
                <w:sz w:val="18"/>
              </w:rPr>
              <w:t>+52</w:t>
            </w:r>
          </w:p>
        </w:tc>
        <w:tc>
          <w:tcPr>
            <w:tcW w:type="dxa" w:w="1568"/>
          </w:tcPr>
          <w:p>
            <w:r>
              <w:rPr>
                <w:rFonts w:ascii="Meiryo UI" w:hAnsi="Meiryo UI"/>
                <w:sz w:val="18"/>
              </w:rPr>
              <w:t>¥520</w:t>
            </w:r>
          </w:p>
        </w:tc>
        <w:tc>
          <w:tcPr>
            <w:tcW w:type="dxa" w:w="1568"/>
          </w:tcPr>
          <w:p>
            <w:r>
              <w:rPr>
                <w:rFonts w:ascii="Meiryo UI" w:hAnsi="Meiryo UI"/>
                <w:sz w:val="18"/>
              </w:rPr>
              <w:t>¥750</w:t>
            </w:r>
          </w:p>
        </w:tc>
        <w:tc>
          <w:tcPr>
            <w:tcW w:type="dxa" w:w="1568"/>
          </w:tcPr>
          <w:p>
            <w:r>
              <w:rPr>
                <w:rFonts w:ascii="Meiryo UI" w:hAnsi="Meiryo UI"/>
                <w:sz w:val="18"/>
              </w:rPr>
              <w:t>+16.1%</w:t>
            </w:r>
          </w:p>
        </w:tc>
        <w:tc>
          <w:tcPr>
            <w:tcW w:type="dxa" w:w="1568"/>
          </w:tcPr>
          <w:p>
            <w:r>
              <w:rPr>
                <w:rFonts w:ascii="Meiryo UI" w:hAnsi="Meiryo UI"/>
                <w:sz w:val="18"/>
              </w:rPr>
              <w:t>¥448</w:t>
            </w:r>
          </w:p>
        </w:tc>
      </w:tr>
    </w:tbl>
    <w:p/>
    <w:p>
      <w:r>
        <w:rPr>
          <w:rFonts w:ascii="Meiryo UI" w:hAnsi="Meiryo UI"/>
          <w:sz w:val="20"/>
        </w:rPr>
        <w:t>3弾丸（修正版）</w:t>
      </w:r>
    </w:p>
    <w:p/>
    <w:p>
      <w:pPr>
        <w:pStyle w:val="ListBullet"/>
      </w:pPr>
      <w:r>
        <w:rPr>
          <w:rFonts w:ascii="Meiryo UI" w:hAnsi="Meiryo UI"/>
          <w:sz w:val="20"/>
        </w:rPr>
        <w:t>大阪IRブロックBは7社JVの超大型固定価格案件: 竹中工務店・竹中土木・銭高組・南海辰村建設・淺沼組・松村組・森組JVで施工。延床527,320㎡・地上27階・2030年7月竣工。IR総事業費¥1.5130兆（物価高で¥2,430億増額）。受注残¥84,863Mの推定40-60%がこの1案件に集中している可能性</w:t>
      </w:r>
    </w:p>
    <w:p>
      <w:pPr>
        <w:pStyle w:val="ListBullet"/>
      </w:pPr>
      <w:r>
        <w:rPr>
          <w:rFonts w:ascii="Meiryo UI" w:hAnsi="Meiryo UI"/>
          <w:sz w:val="20"/>
        </w:rPr>
        <w:t>コスト増はMGM・ORIXが吸収済み（部分的緩和要因）: ¥2,430億の増額分はMGM・ORIXが各¥1,200億の出資増で対応（日経2025/9/12）。発注者が追加費用を負担した事実はスライド条項または契約再価格化の存在を示唆。ただし今後のナフサ追加騰貴に対して同じ保護が効くかは不明</w:t>
      </w:r>
    </w:p>
    <w:p>
      <w:pPr>
        <w:pStyle w:val="ListBullet"/>
      </w:pPr>
      <w:r>
        <w:rPr>
          <w:rFonts w:ascii="Meiryo UI" w:hAnsi="Meiryo UI"/>
          <w:sz w:val="20"/>
        </w:rPr>
        <w:t>ファンダメンタルズは依然극端に割安: PER 6.18倍・EV/EBIT 1.97倍・ネットキャッシュ¥7.33B（¥254/株）・自己資本比率54.1%。IRリスクが最悪シナリオで顕在化しても株価¥350が下限。ただし4/28開示でJV契約条件・工事損失引当金計上の有無が判明するまでフルエントリーは危険</w:t>
      </w:r>
    </w:p>
    <w:p/>
    <w:p>
      <w:r>
        <w:rPr>
          <w:rFonts w:ascii="Meiryo UI" w:hAnsi="Meiryo UI"/>
          <w:sz w:val="20"/>
        </w:rPr>
        <w:t>最重要リスク（大幅上方修正）</w:t>
      </w:r>
    </w:p>
    <w:p/>
    <w:p>
      <w:r>
        <w:rPr>
          <w:rFonts w:ascii="Meiryo UI" w:hAnsi="Meiryo UI"/>
          <w:sz w:val="20"/>
        </w:rPr>
        <w:t>大阪IRブロックBのJV比率が10%で、同プロジェクト建設費が¥3,000億の場合、南海辰村の請負額は¥300億。2025年4月着工〜2030年7月竣工の5年間、ナフサ・鋼材・労務費の高止まりが続いた場合、OPM▲3〜5%の侵食 → NI▲¥500〜900M相当の損失リスク。今期OP¥2,840Mの17〜32%が消える。</w:t>
      </w:r>
    </w:p>
    <w:p/>
    <w:p>
      <w:r>
        <w:rPr>
          <w:rFonts w:ascii="Meiryo UI" w:hAnsi="Meiryo UI"/>
          <w:sz w:val="20"/>
        </w:rPr>
        <w:t>推奨アクション</w:t>
      </w:r>
    </w:p>
    <w:p/>
    <w:p>
      <w:r>
        <w:rPr>
          <w:rFonts w:ascii="Meiryo UI" w:hAnsi="Meiryo UI"/>
          <w:sz w:val="20"/>
        </w:rPr>
        <w:t>4/28通期決算を確認するまでエントリー停止・既存打診ポジションはホールド。決算短信でIR関連の工事損失引当金、完成工事総利益率の内訳、および社長コメントのトーンを確認後に再判定。</w:t>
      </w:r>
    </w:p>
    <w:p/>
    <w:p>
      <w:r>
        <w:t>──────────────────────────────────────────────────</w:t>
      </w:r>
    </w:p>
    <w:p/>
    <w:p>
      <w:pPr>
        <w:pStyle w:val="Heading2"/>
      </w:pPr>
      <w:r>
        <w:rPr>
          <w:rFonts w:ascii="Meiryo UI" w:hAnsi="Meiryo UI"/>
          <w:color w:val="2E74B5"/>
        </w:rPr>
        <w:t>2. 【最重要新発見】大阪IR ブロックB JV リスク詳細</w:t>
      </w:r>
    </w:p>
    <w:p/>
    <w:p>
      <w:pPr>
        <w:pStyle w:val="Heading3"/>
      </w:pPr>
      <w:r>
        <w:rPr>
          <w:rFonts w:ascii="Meiryo UI" w:hAnsi="Meiryo UI"/>
          <w:color w:val="2E74B5"/>
        </w:rPr>
        <w:t>JV構成（確認済み）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会社</w:t>
            </w:r>
          </w:p>
        </w:tc>
        <w:tc>
          <w:tcPr>
            <w:tcW w:type="dxa" w:w="3135"/>
            <w:shd w:val="clear" w:color="auto" w:fill="2E74B5"/>
          </w:tcPr>
          <w:p>
            <w:r>
              <w:rPr>
                <w:rFonts w:ascii="Meiryo UI" w:hAnsi="Meiryo UI"/>
                <w:b/>
                <w:color w:val="FFFFFF"/>
                <w:sz w:val="18"/>
              </w:rPr>
              <w:t>種別</w:t>
            </w:r>
          </w:p>
        </w:tc>
        <w:tc>
          <w:tcPr>
            <w:tcW w:type="dxa" w:w="3135"/>
            <w:shd w:val="clear" w:color="auto" w:fill="2E74B5"/>
          </w:tcPr>
          <w:p>
            <w:r>
              <w:rPr>
                <w:rFonts w:ascii="Meiryo UI" w:hAnsi="Meiryo UI"/>
                <w:b/>
                <w:color w:val="FFFFFF"/>
                <w:sz w:val="18"/>
              </w:rPr>
              <w:t>推定JV比率</w:t>
            </w:r>
          </w:p>
        </w:tc>
      </w:tr>
      <w:tr>
        <w:tc>
          <w:tcPr>
            <w:tcW w:type="dxa" w:w="3135"/>
          </w:tcPr>
          <w:p>
            <w:r>
              <w:rPr>
                <w:rFonts w:ascii="Meiryo UI" w:hAnsi="Meiryo UI"/>
                <w:sz w:val="18"/>
              </w:rPr>
              <w:t>竹中工務店</w:t>
            </w:r>
          </w:p>
        </w:tc>
        <w:tc>
          <w:tcPr>
            <w:tcW w:type="dxa" w:w="3135"/>
          </w:tcPr>
          <w:p>
            <w:r>
              <w:rPr>
                <w:rFonts w:ascii="Meiryo UI" w:hAnsi="Meiryo UI"/>
                <w:sz w:val="18"/>
              </w:rPr>
              <w:t>リード・設計施工一括</w:t>
            </w:r>
          </w:p>
        </w:tc>
        <w:tc>
          <w:tcPr>
            <w:tcW w:type="dxa" w:w="3135"/>
          </w:tcPr>
          <w:p>
            <w:r>
              <w:rPr>
                <w:rFonts w:ascii="Meiryo UI" w:hAnsi="Meiryo UI"/>
                <w:sz w:val="18"/>
              </w:rPr>
              <w:t>~35-45%</w:t>
            </w:r>
          </w:p>
        </w:tc>
      </w:tr>
      <w:tr>
        <w:tc>
          <w:tcPr>
            <w:tcW w:type="dxa" w:w="3135"/>
            <w:shd w:val="clear" w:color="auto" w:fill="DDEBF7"/>
          </w:tcPr>
          <w:p>
            <w:r>
              <w:rPr>
                <w:rFonts w:ascii="Meiryo UI" w:hAnsi="Meiryo UI"/>
                <w:sz w:val="18"/>
              </w:rPr>
              <w:t>竹中土木</w:t>
            </w:r>
          </w:p>
        </w:tc>
        <w:tc>
          <w:tcPr>
            <w:tcW w:type="dxa" w:w="3135"/>
            <w:shd w:val="clear" w:color="auto" w:fill="DDEBF7"/>
          </w:tcPr>
          <w:p>
            <w:r>
              <w:rPr>
                <w:rFonts w:ascii="Meiryo UI" w:hAnsi="Meiryo UI"/>
                <w:sz w:val="18"/>
              </w:rPr>
              <w:t>土木</w:t>
            </w:r>
          </w:p>
        </w:tc>
        <w:tc>
          <w:tcPr>
            <w:tcW w:type="dxa" w:w="3135"/>
            <w:shd w:val="clear" w:color="auto" w:fill="DDEBF7"/>
          </w:tcPr>
          <w:p>
            <w:r>
              <w:rPr>
                <w:rFonts w:ascii="Meiryo UI" w:hAnsi="Meiryo UI"/>
                <w:sz w:val="18"/>
              </w:rPr>
              <w:t>~10%</w:t>
            </w:r>
          </w:p>
        </w:tc>
      </w:tr>
      <w:tr>
        <w:tc>
          <w:tcPr>
            <w:tcW w:type="dxa" w:w="3135"/>
          </w:tcPr>
          <w:p>
            <w:r>
              <w:rPr>
                <w:rFonts w:ascii="Meiryo UI" w:hAnsi="Meiryo UI"/>
                <w:sz w:val="18"/>
              </w:rPr>
              <w:t>銭高組</w:t>
            </w:r>
          </w:p>
        </w:tc>
        <w:tc>
          <w:tcPr>
            <w:tcW w:type="dxa" w:w="3135"/>
          </w:tcPr>
          <w:p>
            <w:r>
              <w:rPr>
                <w:rFonts w:ascii="Meiryo UI" w:hAnsi="Meiryo UI"/>
                <w:sz w:val="18"/>
              </w:rPr>
              <w:t>関西系中堅</w:t>
            </w:r>
          </w:p>
        </w:tc>
        <w:tc>
          <w:tcPr>
            <w:tcW w:type="dxa" w:w="3135"/>
          </w:tcPr>
          <w:p>
            <w:r>
              <w:rPr>
                <w:rFonts w:ascii="Meiryo UI" w:hAnsi="Meiryo UI"/>
                <w:sz w:val="18"/>
              </w:rPr>
              <w:t>~12-15%</w:t>
            </w:r>
          </w:p>
        </w:tc>
      </w:tr>
      <w:tr>
        <w:tc>
          <w:tcPr>
            <w:tcW w:type="dxa" w:w="3135"/>
            <w:shd w:val="clear" w:color="auto" w:fill="DDEBF7"/>
          </w:tcPr>
          <w:p>
            <w:r>
              <w:rPr>
                <w:rFonts w:ascii="Meiryo UI" w:hAnsi="Meiryo UI"/>
                <w:sz w:val="18"/>
              </w:rPr>
              <w:t>南海辰村建設</w:t>
            </w:r>
          </w:p>
        </w:tc>
        <w:tc>
          <w:tcPr>
            <w:tcW w:type="dxa" w:w="3135"/>
            <w:shd w:val="clear" w:color="auto" w:fill="DDEBF7"/>
          </w:tcPr>
          <w:p>
            <w:r>
              <w:rPr>
                <w:rFonts w:ascii="Meiryo UI" w:hAnsi="Meiryo UI"/>
                <w:sz w:val="18"/>
              </w:rPr>
              <w:t>南海電鉄系・関西</w:t>
            </w:r>
          </w:p>
        </w:tc>
        <w:tc>
          <w:tcPr>
            <w:tcW w:type="dxa" w:w="3135"/>
            <w:shd w:val="clear" w:color="auto" w:fill="DDEBF7"/>
          </w:tcPr>
          <w:p>
            <w:r>
              <w:rPr>
                <w:rFonts w:ascii="Meiryo UI" w:hAnsi="Meiryo UI"/>
                <w:sz w:val="18"/>
              </w:rPr>
              <w:t>~8-12%（推定）</w:t>
            </w:r>
          </w:p>
        </w:tc>
      </w:tr>
      <w:tr>
        <w:tc>
          <w:tcPr>
            <w:tcW w:type="dxa" w:w="3135"/>
          </w:tcPr>
          <w:p>
            <w:r>
              <w:rPr>
                <w:rFonts w:ascii="Meiryo UI" w:hAnsi="Meiryo UI"/>
                <w:sz w:val="18"/>
              </w:rPr>
              <w:t>淺沼組</w:t>
            </w:r>
          </w:p>
        </w:tc>
        <w:tc>
          <w:tcPr>
            <w:tcW w:type="dxa" w:w="3135"/>
          </w:tcPr>
          <w:p>
            <w:r>
              <w:rPr>
                <w:rFonts w:ascii="Meiryo UI" w:hAnsi="Meiryo UI"/>
                <w:sz w:val="18"/>
              </w:rPr>
              <w:t>関西系中堅</w:t>
            </w:r>
          </w:p>
        </w:tc>
        <w:tc>
          <w:tcPr>
            <w:tcW w:type="dxa" w:w="3135"/>
          </w:tcPr>
          <w:p>
            <w:r>
              <w:rPr>
                <w:rFonts w:ascii="Meiryo UI" w:hAnsi="Meiryo UI"/>
                <w:sz w:val="18"/>
              </w:rPr>
              <w:t>~8-10%</w:t>
            </w:r>
          </w:p>
        </w:tc>
      </w:tr>
      <w:tr>
        <w:tc>
          <w:tcPr>
            <w:tcW w:type="dxa" w:w="3135"/>
            <w:shd w:val="clear" w:color="auto" w:fill="DDEBF7"/>
          </w:tcPr>
          <w:p>
            <w:r>
              <w:rPr>
                <w:rFonts w:ascii="Meiryo UI" w:hAnsi="Meiryo UI"/>
                <w:sz w:val="18"/>
              </w:rPr>
              <w:t>松村組</w:t>
            </w:r>
          </w:p>
        </w:tc>
        <w:tc>
          <w:tcPr>
            <w:tcW w:type="dxa" w:w="3135"/>
            <w:shd w:val="clear" w:color="auto" w:fill="DDEBF7"/>
          </w:tcPr>
          <w:p>
            <w:r>
              <w:rPr>
                <w:rFonts w:ascii="Meiryo UI" w:hAnsi="Meiryo UI"/>
                <w:sz w:val="18"/>
              </w:rPr>
              <w:t>関西系</w:t>
            </w:r>
          </w:p>
        </w:tc>
        <w:tc>
          <w:tcPr>
            <w:tcW w:type="dxa" w:w="3135"/>
            <w:shd w:val="clear" w:color="auto" w:fill="DDEBF7"/>
          </w:tcPr>
          <w:p>
            <w:r>
              <w:rPr>
                <w:rFonts w:ascii="Meiryo UI" w:hAnsi="Meiryo UI"/>
                <w:sz w:val="18"/>
              </w:rPr>
              <w:t>~5-8%</w:t>
            </w:r>
          </w:p>
        </w:tc>
      </w:tr>
      <w:tr>
        <w:tc>
          <w:tcPr>
            <w:tcW w:type="dxa" w:w="3135"/>
          </w:tcPr>
          <w:p>
            <w:r>
              <w:rPr>
                <w:rFonts w:ascii="Meiryo UI" w:hAnsi="Meiryo UI"/>
                <w:sz w:val="18"/>
              </w:rPr>
              <w:t>森組</w:t>
            </w:r>
          </w:p>
        </w:tc>
        <w:tc>
          <w:tcPr>
            <w:tcW w:type="dxa" w:w="3135"/>
          </w:tcPr>
          <w:p>
            <w:r>
              <w:rPr>
                <w:rFonts w:ascii="Meiryo UI" w:hAnsi="Meiryo UI"/>
                <w:sz w:val="18"/>
              </w:rPr>
              <w:t>関西系</w:t>
            </w:r>
          </w:p>
        </w:tc>
        <w:tc>
          <w:tcPr>
            <w:tcW w:type="dxa" w:w="3135"/>
          </w:tcPr>
          <w:p>
            <w:r>
              <w:rPr>
                <w:rFonts w:ascii="Meiryo UI" w:hAnsi="Meiryo UI"/>
                <w:sz w:val="18"/>
              </w:rPr>
              <w:t>~5-8%</w:t>
            </w:r>
          </w:p>
        </w:tc>
      </w:tr>
    </w:tbl>
    <w:p/>
    <w:p>
      <w:r>
        <w:rPr>
          <w:rFonts w:ascii="Meiryo UI" w:hAnsi="Meiryo UI"/>
          <w:sz w:val="20"/>
        </w:rPr>
        <w:t>&gt; JV比率は非公開。上記は業界慣行・規模・役割から深井推定。確認要</w:t>
      </w:r>
    </w:p>
    <w:p/>
    <w:p>
      <w:pPr>
        <w:pStyle w:val="Heading3"/>
      </w:pPr>
      <w:r>
        <w:rPr>
          <w:rFonts w:ascii="Meiryo UI" w:hAnsi="Meiryo UI"/>
          <w:color w:val="2E74B5"/>
        </w:rPr>
        <w:t>プロジェクト規模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用途</w:t>
            </w:r>
          </w:p>
        </w:tc>
        <w:tc>
          <w:tcPr>
            <w:tcW w:type="dxa" w:w="3135"/>
          </w:tcPr>
          <w:p>
            <w:r>
              <w:rPr>
                <w:rFonts w:ascii="Meiryo UI" w:hAnsi="Meiryo UI"/>
                <w:sz w:val="18"/>
              </w:rPr>
              <w:t>カジノ・ホテル・劇場・物販・飲食・駐車場</w:t>
            </w:r>
          </w:p>
        </w:tc>
        <w:tc>
          <w:tcPr>
            <w:tcW w:type="dxa" w:w="3135"/>
          </w:tcPr>
          <w:p>
            <w:r>
              <w:rPr>
                <w:rFonts w:ascii="Meiryo UI" w:hAnsi="Meiryo UI"/>
                <w:sz w:val="18"/>
              </w:rPr>
              <w:t>MGM大阪PR</w:t>
            </w:r>
          </w:p>
        </w:tc>
      </w:tr>
      <w:tr>
        <w:tc>
          <w:tcPr>
            <w:tcW w:type="dxa" w:w="3135"/>
            <w:shd w:val="clear" w:color="auto" w:fill="DDEBF7"/>
          </w:tcPr>
          <w:p>
            <w:r>
              <w:rPr>
                <w:rFonts w:ascii="Meiryo UI" w:hAnsi="Meiryo UI"/>
                <w:sz w:val="18"/>
              </w:rPr>
              <w:t>延床面積</w:t>
            </w:r>
          </w:p>
        </w:tc>
        <w:tc>
          <w:tcPr>
            <w:tcW w:type="dxa" w:w="3135"/>
            <w:shd w:val="clear" w:color="auto" w:fill="DDEBF7"/>
          </w:tcPr>
          <w:p>
            <w:r>
              <w:rPr>
                <w:rFonts w:ascii="Meiryo UI" w:hAnsi="Meiryo UI"/>
                <w:sz w:val="18"/>
              </w:rPr>
              <w:t>527,320㎡</w:t>
            </w:r>
          </w:p>
        </w:tc>
        <w:tc>
          <w:tcPr>
            <w:tcW w:type="dxa" w:w="3135"/>
            <w:shd w:val="clear" w:color="auto" w:fill="DDEBF7"/>
          </w:tcPr>
          <w:p>
            <w:r>
              <w:rPr>
                <w:rFonts w:ascii="Meiryo UI" w:hAnsi="Meiryo UI"/>
                <w:sz w:val="18"/>
              </w:rPr>
              <w:t>建築計画開示</w:t>
            </w:r>
          </w:p>
        </w:tc>
      </w:tr>
      <w:tr>
        <w:tc>
          <w:tcPr>
            <w:tcW w:type="dxa" w:w="3135"/>
          </w:tcPr>
          <w:p>
            <w:r>
              <w:rPr>
                <w:rFonts w:ascii="Meiryo UI" w:hAnsi="Meiryo UI"/>
                <w:sz w:val="18"/>
              </w:rPr>
              <w:t>建物規模</w:t>
            </w:r>
          </w:p>
        </w:tc>
        <w:tc>
          <w:tcPr>
            <w:tcW w:type="dxa" w:w="3135"/>
          </w:tcPr>
          <w:p>
            <w:r>
              <w:rPr>
                <w:rFonts w:ascii="Meiryo UI" w:hAnsi="Meiryo UI"/>
                <w:sz w:val="18"/>
              </w:rPr>
              <w:t>地上27階・地下1階・高さ126m</w:t>
            </w:r>
          </w:p>
        </w:tc>
        <w:tc>
          <w:tcPr>
            <w:tcW w:type="dxa" w:w="3135"/>
          </w:tcPr>
          <w:p>
            <w:r>
              <w:rPr>
                <w:rFonts w:ascii="Meiryo UI" w:hAnsi="Meiryo UI"/>
                <w:sz w:val="18"/>
              </w:rPr>
              <w:t>建築計画開示</w:t>
            </w:r>
          </w:p>
        </w:tc>
      </w:tr>
      <w:tr>
        <w:tc>
          <w:tcPr>
            <w:tcW w:type="dxa" w:w="3135"/>
            <w:shd w:val="clear" w:color="auto" w:fill="DDEBF7"/>
          </w:tcPr>
          <w:p>
            <w:r>
              <w:rPr>
                <w:rFonts w:ascii="Meiryo UI" w:hAnsi="Meiryo UI"/>
                <w:sz w:val="18"/>
              </w:rPr>
              <w:t>着工</w:t>
            </w:r>
          </w:p>
        </w:tc>
        <w:tc>
          <w:tcPr>
            <w:tcW w:type="dxa" w:w="3135"/>
            <w:shd w:val="clear" w:color="auto" w:fill="DDEBF7"/>
          </w:tcPr>
          <w:p>
            <w:r>
              <w:rPr>
                <w:rFonts w:ascii="Meiryo UI" w:hAnsi="Meiryo UI"/>
                <w:sz w:val="18"/>
              </w:rPr>
              <w:t>2025年4月24日</w:t>
            </w:r>
          </w:p>
        </w:tc>
        <w:tc>
          <w:tcPr>
            <w:tcW w:type="dxa" w:w="3135"/>
            <w:shd w:val="clear" w:color="auto" w:fill="DDEBF7"/>
          </w:tcPr>
          <w:p>
            <w:r>
              <w:rPr>
                <w:rFonts w:ascii="Meiryo UI" w:hAnsi="Meiryo UI"/>
                <w:sz w:val="18"/>
              </w:rPr>
              <w:t>大阪市報道発表</w:t>
            </w:r>
          </w:p>
        </w:tc>
      </w:tr>
      <w:tr>
        <w:tc>
          <w:tcPr>
            <w:tcW w:type="dxa" w:w="3135"/>
          </w:tcPr>
          <w:p>
            <w:r>
              <w:rPr>
                <w:rFonts w:ascii="Meiryo UI" w:hAnsi="Meiryo UI"/>
                <w:sz w:val="18"/>
              </w:rPr>
              <w:t>竣工予定</w:t>
            </w:r>
          </w:p>
        </w:tc>
        <w:tc>
          <w:tcPr>
            <w:tcW w:type="dxa" w:w="3135"/>
          </w:tcPr>
          <w:p>
            <w:r>
              <w:rPr>
                <w:rFonts w:ascii="Meiryo UI" w:hAnsi="Meiryo UI"/>
                <w:sz w:val="18"/>
              </w:rPr>
              <w:t>2030年7月31日</w:t>
            </w:r>
          </w:p>
        </w:tc>
        <w:tc>
          <w:tcPr>
            <w:tcW w:type="dxa" w:w="3135"/>
          </w:tcPr>
          <w:p>
            <w:r>
              <w:rPr>
                <w:rFonts w:ascii="Meiryo UI" w:hAnsi="Meiryo UI"/>
                <w:sz w:val="18"/>
              </w:rPr>
              <w:t>同上</w:t>
            </w:r>
          </w:p>
        </w:tc>
      </w:tr>
      <w:tr>
        <w:tc>
          <w:tcPr>
            <w:tcW w:type="dxa" w:w="3135"/>
            <w:shd w:val="clear" w:color="auto" w:fill="DDEBF7"/>
          </w:tcPr>
          <w:p>
            <w:r>
              <w:rPr>
                <w:rFonts w:ascii="Meiryo UI" w:hAnsi="Meiryo UI"/>
                <w:sz w:val="18"/>
              </w:rPr>
              <w:t>工期</w:t>
            </w:r>
          </w:p>
        </w:tc>
        <w:tc>
          <w:tcPr>
            <w:tcW w:type="dxa" w:w="3135"/>
            <w:shd w:val="clear" w:color="auto" w:fill="DDEBF7"/>
          </w:tcPr>
          <w:p>
            <w:r>
              <w:rPr>
                <w:rFonts w:ascii="Meiryo UI" w:hAnsi="Meiryo UI"/>
                <w:sz w:val="18"/>
              </w:rPr>
              <w:t>約5年3ヶ月</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IR総投資額（修正後）</w:t>
            </w:r>
          </w:p>
        </w:tc>
        <w:tc>
          <w:tcPr>
            <w:tcW w:type="dxa" w:w="3135"/>
          </w:tcPr>
          <w:p>
            <w:r>
              <w:rPr>
                <w:rFonts w:ascii="Meiryo UI" w:hAnsi="Meiryo UI"/>
                <w:sz w:val="18"/>
              </w:rPr>
              <w:t>¥15,130億</w:t>
            </w:r>
          </w:p>
        </w:tc>
        <w:tc>
          <w:tcPr>
            <w:tcW w:type="dxa" w:w="3135"/>
          </w:tcPr>
          <w:p>
            <w:r>
              <w:rPr>
                <w:rFonts w:ascii="Meiryo UI" w:hAnsi="Meiryo UI"/>
                <w:sz w:val="18"/>
              </w:rPr>
              <w:t>日経2025/9</w:t>
            </w:r>
          </w:p>
        </w:tc>
      </w:tr>
      <w:tr>
        <w:tc>
          <w:tcPr>
            <w:tcW w:type="dxa" w:w="3135"/>
            <w:shd w:val="clear" w:color="auto" w:fill="DDEBF7"/>
          </w:tcPr>
          <w:p>
            <w:r>
              <w:rPr>
                <w:rFonts w:ascii="Meiryo UI" w:hAnsi="Meiryo UI"/>
                <w:sz w:val="18"/>
              </w:rPr>
              <w:t>建設費推定（全体）</w:t>
            </w:r>
          </w:p>
        </w:tc>
        <w:tc>
          <w:tcPr>
            <w:tcW w:type="dxa" w:w="3135"/>
            <w:shd w:val="clear" w:color="auto" w:fill="DDEBF7"/>
          </w:tcPr>
          <w:p>
            <w:r>
              <w:rPr>
                <w:rFonts w:ascii="Meiryo UI" w:hAnsi="Meiryo UI"/>
                <w:sz w:val="18"/>
              </w:rPr>
              <w:t>¥8,000〜10,000億</w:t>
            </w:r>
          </w:p>
        </w:tc>
        <w:tc>
          <w:tcPr>
            <w:tcW w:type="dxa" w:w="3135"/>
            <w:shd w:val="clear" w:color="auto" w:fill="DDEBF7"/>
          </w:tcPr>
          <w:p>
            <w:r>
              <w:rPr>
                <w:rFonts w:ascii="Meiryo UI" w:hAnsi="Meiryo UI"/>
                <w:sz w:val="18"/>
              </w:rPr>
              <w:t>深井推計（総投資の55〜65%）</w:t>
            </w:r>
          </w:p>
        </w:tc>
      </w:tr>
      <w:tr>
        <w:tc>
          <w:tcPr>
            <w:tcW w:type="dxa" w:w="3135"/>
          </w:tcPr>
          <w:p>
            <w:r>
              <w:rPr>
                <w:rFonts w:ascii="Meiryo UI" w:hAnsi="Meiryo UI"/>
                <w:sz w:val="18"/>
              </w:rPr>
              <w:t>ブロックB建設費推計</w:t>
            </w:r>
          </w:p>
        </w:tc>
        <w:tc>
          <w:tcPr>
            <w:tcW w:type="dxa" w:w="3135"/>
          </w:tcPr>
          <w:p>
            <w:r>
              <w:rPr>
                <w:rFonts w:ascii="Meiryo UI" w:hAnsi="Meiryo UI"/>
                <w:sz w:val="18"/>
              </w:rPr>
              <w:t>¥3,000〜5,000億</w:t>
            </w:r>
          </w:p>
        </w:tc>
        <w:tc>
          <w:tcPr>
            <w:tcW w:type="dxa" w:w="3135"/>
          </w:tcPr>
          <w:p>
            <w:r>
              <w:rPr>
                <w:rFonts w:ascii="Meiryo UI" w:hAnsi="Meiryo UI"/>
                <w:sz w:val="18"/>
              </w:rPr>
              <w:t>深井推計（全体の35〜50%）</w:t>
            </w:r>
          </w:p>
        </w:tc>
      </w:tr>
      <w:tr>
        <w:tc>
          <w:tcPr>
            <w:tcW w:type="dxa" w:w="3135"/>
            <w:shd w:val="clear" w:color="auto" w:fill="DDEBF7"/>
          </w:tcPr>
          <w:p>
            <w:r>
              <w:rPr>
                <w:rFonts w:ascii="Meiryo UI" w:hAnsi="Meiryo UI"/>
                <w:sz w:val="18"/>
              </w:rPr>
              <w:t>南海辰村分（10%JV仮定）</w:t>
            </w:r>
          </w:p>
        </w:tc>
        <w:tc>
          <w:tcPr>
            <w:tcW w:type="dxa" w:w="3135"/>
            <w:shd w:val="clear" w:color="auto" w:fill="DDEBF7"/>
          </w:tcPr>
          <w:p>
            <w:r>
              <w:rPr>
                <w:rFonts w:ascii="Meiryo UI" w:hAnsi="Meiryo UI"/>
                <w:sz w:val="18"/>
              </w:rPr>
              <w:t>¥300〜500億</w:t>
            </w:r>
          </w:p>
        </w:tc>
        <w:tc>
          <w:tcPr>
            <w:tcW w:type="dxa" w:w="3135"/>
            <w:shd w:val="clear" w:color="auto" w:fill="DDEBF7"/>
          </w:tcPr>
          <w:p>
            <w:r>
              <w:rPr>
                <w:rFonts w:ascii="Meiryo UI" w:hAnsi="Meiryo UI"/>
                <w:sz w:val="18"/>
              </w:rPr>
              <w:t>深井推計</w:t>
            </w:r>
          </w:p>
        </w:tc>
      </w:tr>
    </w:tbl>
    <w:p/>
    <w:p>
      <w:pPr>
        <w:pStyle w:val="Heading3"/>
      </w:pPr>
      <w:r>
        <w:rPr>
          <w:rFonts w:ascii="Meiryo UI" w:hAnsi="Meiryo UI"/>
          <w:color w:val="2E74B5"/>
        </w:rPr>
        <w:t>南海辰村の受注残との関係</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南海辰村 総受注残</w:t>
            </w:r>
          </w:p>
        </w:tc>
        <w:tc>
          <w:tcPr>
            <w:tcW w:type="dxa" w:w="4703"/>
          </w:tcPr>
          <w:p>
            <w:r>
              <w:rPr>
                <w:rFonts w:ascii="Meiryo UI" w:hAnsi="Meiryo UI"/>
                <w:sz w:val="18"/>
              </w:rPr>
              <w:t>¥84,863M（¥849億）</w:t>
            </w:r>
          </w:p>
        </w:tc>
      </w:tr>
      <w:tr>
        <w:tc>
          <w:tcPr>
            <w:tcW w:type="dxa" w:w="4703"/>
            <w:shd w:val="clear" w:color="auto" w:fill="DDEBF7"/>
          </w:tcPr>
          <w:p>
            <w:r>
              <w:rPr>
                <w:rFonts w:ascii="Meiryo UI" w:hAnsi="Meiryo UI"/>
                <w:sz w:val="18"/>
              </w:rPr>
              <w:t>IR推定請負額（10%JV×¥3,000-5,000億建設費）</w:t>
            </w:r>
          </w:p>
        </w:tc>
        <w:tc>
          <w:tcPr>
            <w:tcW w:type="dxa" w:w="4703"/>
            <w:shd w:val="clear" w:color="auto" w:fill="DDEBF7"/>
          </w:tcPr>
          <w:p>
            <w:r>
              <w:rPr>
                <w:rFonts w:ascii="Meiryo UI" w:hAnsi="Meiryo UI"/>
                <w:sz w:val="18"/>
              </w:rPr>
              <w:t>¥300〜500億</w:t>
            </w:r>
          </w:p>
        </w:tc>
      </w:tr>
      <w:tr>
        <w:tc>
          <w:tcPr>
            <w:tcW w:type="dxa" w:w="4703"/>
          </w:tcPr>
          <w:p>
            <w:r>
              <w:rPr>
                <w:rFonts w:ascii="Meiryo UI" w:hAnsi="Meiryo UI"/>
                <w:sz w:val="18"/>
              </w:rPr>
              <w:t>受注残に占めるIR比率（推定）</w:t>
            </w:r>
          </w:p>
        </w:tc>
        <w:tc>
          <w:tcPr>
            <w:tcW w:type="dxa" w:w="4703"/>
          </w:tcPr>
          <w:p>
            <w:r>
              <w:rPr>
                <w:rFonts w:ascii="Meiryo UI" w:hAnsi="Meiryo UI"/>
                <w:sz w:val="18"/>
              </w:rPr>
              <w:t>35〜59%</w:t>
            </w:r>
          </w:p>
        </w:tc>
      </w:tr>
    </w:tbl>
    <w:p/>
    <w:p>
      <w:r>
        <w:rPr>
          <w:rFonts w:ascii="Meiryo UI" w:hAnsi="Meiryo UI"/>
          <w:sz w:val="20"/>
        </w:rPr>
        <w:t>&gt; 受注残の過半がこの1案件に集中している可能性がある。これは「バックログ多様性」という通常の安全弁が効かないことを意味する。</w:t>
      </w:r>
    </w:p>
    <w:p/>
    <w:p>
      <w:r>
        <w:t>──────────────────────────────────────────────────</w:t>
      </w:r>
    </w:p>
    <w:p/>
    <w:p>
      <w:pPr>
        <w:pStyle w:val="Heading2"/>
      </w:pPr>
      <w:r>
        <w:rPr>
          <w:rFonts w:ascii="Meiryo UI" w:hAnsi="Meiryo UI"/>
          <w:color w:val="2E74B5"/>
        </w:rPr>
        <w:t>3. コスト増リスクの構造分析</w:t>
      </w:r>
    </w:p>
    <w:p/>
    <w:p>
      <w:pPr>
        <w:pStyle w:val="Heading3"/>
      </w:pPr>
      <w:r>
        <w:rPr>
          <w:rFonts w:ascii="Meiryo UI" w:hAnsi="Meiryo UI"/>
          <w:color w:val="2E74B5"/>
        </w:rPr>
        <w:t>ナフサ2倍が建設コストに与える影響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材料</w:t>
            </w:r>
          </w:p>
        </w:tc>
        <w:tc>
          <w:tcPr>
            <w:tcW w:type="dxa" w:w="2351"/>
            <w:shd w:val="clear" w:color="auto" w:fill="2E74B5"/>
          </w:tcPr>
          <w:p>
            <w:r>
              <w:rPr>
                <w:rFonts w:ascii="Meiryo UI" w:hAnsi="Meiryo UI"/>
                <w:b/>
                <w:color w:val="FFFFFF"/>
                <w:sz w:val="18"/>
              </w:rPr>
              <w:t>ナフサ感応度</w:t>
            </w:r>
          </w:p>
        </w:tc>
        <w:tc>
          <w:tcPr>
            <w:tcW w:type="dxa" w:w="2351"/>
            <w:shd w:val="clear" w:color="auto" w:fill="2E74B5"/>
          </w:tcPr>
          <w:p>
            <w:r>
              <w:rPr>
                <w:rFonts w:ascii="Meiryo UI" w:hAnsi="Meiryo UI"/>
                <w:b/>
                <w:color w:val="FFFFFF"/>
                <w:sz w:val="18"/>
              </w:rPr>
              <w:t>価格変化</w:t>
            </w:r>
          </w:p>
        </w:tc>
        <w:tc>
          <w:tcPr>
            <w:tcW w:type="dxa" w:w="2351"/>
            <w:shd w:val="clear" w:color="auto" w:fill="2E74B5"/>
          </w:tcPr>
          <w:p>
            <w:r>
              <w:rPr>
                <w:rFonts w:ascii="Meiryo UI" w:hAnsi="Meiryo UI"/>
                <w:b/>
                <w:color w:val="FFFFFF"/>
                <w:sz w:val="18"/>
              </w:rPr>
              <w:t>影響</w:t>
            </w:r>
          </w:p>
        </w:tc>
      </w:tr>
      <w:tr>
        <w:tc>
          <w:tcPr>
            <w:tcW w:type="dxa" w:w="2351"/>
          </w:tcPr>
          <w:p>
            <w:r>
              <w:rPr>
                <w:rFonts w:ascii="Meiryo UI" w:hAnsi="Meiryo UI"/>
                <w:sz w:val="18"/>
              </w:rPr>
              <w:t>鋼材</w:t>
            </w:r>
          </w:p>
        </w:tc>
        <w:tc>
          <w:tcPr>
            <w:tcW w:type="dxa" w:w="2351"/>
          </w:tcPr>
          <w:p>
            <w:r>
              <w:rPr>
                <w:rFonts w:ascii="Meiryo UI" w:hAnsi="Meiryo UI"/>
                <w:sz w:val="18"/>
              </w:rPr>
              <w:t>中</w:t>
            </w:r>
          </w:p>
        </w:tc>
        <w:tc>
          <w:tcPr>
            <w:tcW w:type="dxa" w:w="2351"/>
          </w:tcPr>
          <w:p>
            <w:r>
              <w:rPr>
                <w:rFonts w:ascii="Meiryo UI" w:hAnsi="Meiryo UI"/>
                <w:sz w:val="18"/>
              </w:rPr>
              <w:t>+20〜30%</w:t>
            </w:r>
          </w:p>
        </w:tc>
        <w:tc>
          <w:tcPr>
            <w:tcW w:type="dxa" w:w="2351"/>
          </w:tcPr>
          <w:p>
            <w:r>
              <w:rPr>
                <w:rFonts w:ascii="Meiryo UI" w:hAnsi="Meiryo UI"/>
                <w:sz w:val="18"/>
              </w:rPr>
              <w:t>躯体コスト増</w:t>
            </w:r>
          </w:p>
        </w:tc>
      </w:tr>
      <w:tr>
        <w:tc>
          <w:tcPr>
            <w:tcW w:type="dxa" w:w="2351"/>
            <w:shd w:val="clear" w:color="auto" w:fill="DDEBF7"/>
          </w:tcPr>
          <w:p>
            <w:r>
              <w:rPr>
                <w:rFonts w:ascii="Meiryo UI" w:hAnsi="Meiryo UI"/>
                <w:sz w:val="18"/>
              </w:rPr>
              <w:t>内装化学材料</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+30〜50%</w:t>
            </w:r>
          </w:p>
        </w:tc>
        <w:tc>
          <w:tcPr>
            <w:tcW w:type="dxa" w:w="2351"/>
            <w:shd w:val="clear" w:color="auto" w:fill="DDEBF7"/>
          </w:tcPr>
          <w:p>
            <w:r>
              <w:rPr>
                <w:rFonts w:ascii="Meiryo UI" w:hAnsi="Meiryo UI"/>
                <w:sz w:val="18"/>
              </w:rPr>
              <w:t>仕上げ工事増</w:t>
            </w:r>
          </w:p>
        </w:tc>
      </w:tr>
      <w:tr>
        <w:tc>
          <w:tcPr>
            <w:tcW w:type="dxa" w:w="2351"/>
          </w:tcPr>
          <w:p>
            <w:r>
              <w:rPr>
                <w:rFonts w:ascii="Meiryo UI" w:hAnsi="Meiryo UI"/>
                <w:sz w:val="18"/>
              </w:rPr>
              <w:t>設備配管</w:t>
            </w:r>
          </w:p>
        </w:tc>
        <w:tc>
          <w:tcPr>
            <w:tcW w:type="dxa" w:w="2351"/>
          </w:tcPr>
          <w:p>
            <w:r>
              <w:rPr>
                <w:rFonts w:ascii="Meiryo UI" w:hAnsi="Meiryo UI"/>
                <w:sz w:val="18"/>
              </w:rPr>
              <w:t>高</w:t>
            </w:r>
          </w:p>
        </w:tc>
        <w:tc>
          <w:tcPr>
            <w:tcW w:type="dxa" w:w="2351"/>
          </w:tcPr>
          <w:p>
            <w:r>
              <w:rPr>
                <w:rFonts w:ascii="Meiryo UI" w:hAnsi="Meiryo UI"/>
                <w:sz w:val="18"/>
              </w:rPr>
              <w:t>+25〜40%</w:t>
            </w:r>
          </w:p>
        </w:tc>
        <w:tc>
          <w:tcPr>
            <w:tcW w:type="dxa" w:w="2351"/>
          </w:tcPr>
          <w:p>
            <w:r>
              <w:rPr>
                <w:rFonts w:ascii="Meiryo UI" w:hAnsi="Meiryo UI"/>
                <w:sz w:val="18"/>
              </w:rPr>
              <w:t>機械・電気工事増</w:t>
            </w:r>
          </w:p>
        </w:tc>
      </w:tr>
      <w:tr>
        <w:tc>
          <w:tcPr>
            <w:tcW w:type="dxa" w:w="2351"/>
            <w:shd w:val="clear" w:color="auto" w:fill="DDEBF7"/>
          </w:tcPr>
          <w:p>
            <w:r>
              <w:rPr>
                <w:rFonts w:ascii="Meiryo UI" w:hAnsi="Meiryo UI"/>
                <w:sz w:val="18"/>
              </w:rPr>
              <w:t>コンクリート</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+10〜20%</w:t>
            </w:r>
          </w:p>
        </w:tc>
        <w:tc>
          <w:tcPr>
            <w:tcW w:type="dxa" w:w="2351"/>
            <w:shd w:val="clear" w:color="auto" w:fill="DDEBF7"/>
          </w:tcPr>
          <w:p>
            <w:r>
              <w:rPr>
                <w:rFonts w:ascii="Meiryo UI" w:hAnsi="Meiryo UI"/>
                <w:sz w:val="18"/>
              </w:rPr>
              <w:t>量が多いため累積影響大</w:t>
            </w:r>
          </w:p>
        </w:tc>
      </w:tr>
    </w:tbl>
    <w:p/>
    <w:p>
      <w:r>
        <w:rPr>
          <w:rFonts w:ascii="Meiryo UI" w:hAnsi="Meiryo UI"/>
          <w:sz w:val="20"/>
        </w:rPr>
        <w:t>5年工期で現在のコスト水準が継続した場合のIR案件OPM変化試算：</w:t>
      </w:r>
    </w:p>
    <w:p>
      <w:pPr>
        <w:pStyle w:val="ListBullet"/>
      </w:pPr>
      <w:r>
        <w:rPr>
          <w:rFonts w:ascii="Meiryo UI" w:hAnsi="Meiryo UI"/>
          <w:sz w:val="20"/>
        </w:rPr>
        <w:t>契約時想定OPM 5% → 現在コスト水準では実質OPM 1〜3%（▲2〜4pt侵食）</w:t>
      </w:r>
    </w:p>
    <w:p/>
    <w:p>
      <w:pPr>
        <w:pStyle w:val="Heading3"/>
      </w:pPr>
      <w:r>
        <w:rPr>
          <w:rFonts w:ascii="Meiryo UI" w:hAnsi="Meiryo UI"/>
          <w:color w:val="2E74B5"/>
        </w:rPr>
        <w:t>決定的緩和要因：MGM・ORIXが¥2,430億の費用増を吸収</w:t>
      </w:r>
    </w:p>
    <w:p/>
    <w:p>
      <w:r>
        <w:rPr>
          <w:rFonts w:ascii="Meiryo UI" w:hAnsi="Meiryo UI"/>
          <w:sz w:val="20"/>
        </w:rPr>
        <w:t>2025年9月12日公表：IR総投資が¥12,700億→¥15,130億（+¥2,430億）となり、MGM・ORIXが各¥1,200億の出資増で対応。</w:t>
      </w:r>
    </w:p>
    <w:p/>
    <w:p>
      <w:r>
        <w:rPr>
          <w:rFonts w:ascii="Meiryo UI" w:hAnsi="Meiryo UI"/>
          <w:sz w:val="20"/>
        </w:rPr>
        <w:t>この事実は以下2つのいずれかを意味する：</w:t>
      </w:r>
    </w:p>
    <w:p>
      <w:pPr>
        <w:pStyle w:val="ListNumber"/>
      </w:pPr>
      <w:r>
        <w:rPr>
          <w:rFonts w:ascii="Meiryo UI" w:hAnsi="Meiryo UI"/>
          <w:sz w:val="20"/>
        </w:rPr>
        <w:t>スライド条項あり：資材費・労務費上昇を発注者（MGM大阪）に請求できる条項が存在 → 施工JVはコスト増を転嫁済み</w:t>
      </w:r>
    </w:p>
    <w:p>
      <w:pPr>
        <w:pStyle w:val="ListNumber"/>
      </w:pPr>
      <w:r>
        <w:rPr>
          <w:rFonts w:ascii="Meiryo UI" w:hAnsi="Meiryo UI"/>
          <w:sz w:val="20"/>
        </w:rPr>
        <w:t>着工前に契約再価格化：2025年4月着工前に最新コストを反映した価格で再交渉 → 実行予算は現在コストベース</w:t>
      </w:r>
    </w:p>
    <w:p/>
    <w:p>
      <w:r>
        <w:rPr>
          <w:rFonts w:ascii="Meiryo UI" w:hAnsi="Meiryo UI"/>
          <w:sz w:val="20"/>
        </w:rPr>
        <w:t>いずれも建設JVにとってはポジティブシグナル。ただし「現時点以降のナフサ追加騰貴」に対する保護があるかは別問題。</w:t>
      </w:r>
    </w:p>
    <w:p/>
    <w:p>
      <w:pPr>
        <w:pStyle w:val="Heading3"/>
      </w:pPr>
      <w:r>
        <w:rPr>
          <w:rFonts w:ascii="Meiryo UI" w:hAnsi="Meiryo UI"/>
          <w:color w:val="2E74B5"/>
        </w:rPr>
        <w:t>残存リスク（スライド条項があっても）</w:t>
      </w:r>
    </w:p>
    <w:p/>
    <w:p>
      <w:pPr>
        <w:pStyle w:val="ListBullet"/>
      </w:pPr>
      <w:r>
        <w:rPr>
          <w:rFonts w:ascii="Meiryo UI" w:hAnsi="Meiryo UI"/>
          <w:sz w:val="20"/>
        </w:rPr>
        <w:t>ホルムズ封鎖が2027〜2028年も継続した場合の追加コスト増</w:t>
      </w:r>
    </w:p>
    <w:p>
      <w:pPr>
        <w:pStyle w:val="ListBullet"/>
      </w:pPr>
      <w:r>
        <w:rPr>
          <w:rFonts w:ascii="Meiryo UI" w:hAnsi="Meiryo UI"/>
          <w:sz w:val="20"/>
        </w:rPr>
        <w:t>スライド条項の対象範囲・上限の問題（全ての資材が対象か）</w:t>
      </w:r>
    </w:p>
    <w:p>
      <w:pPr>
        <w:pStyle w:val="ListBullet"/>
      </w:pPr>
      <w:r>
        <w:rPr>
          <w:rFonts w:ascii="Meiryo UI" w:hAnsi="Meiryo UI"/>
          <w:sz w:val="20"/>
        </w:rPr>
        <w:t>労務費・職人不足の慢性化による工期遅延リスク</w:t>
      </w:r>
    </w:p>
    <w:p>
      <w:pPr>
        <w:pStyle w:val="ListBullet"/>
      </w:pPr>
      <w:r>
        <w:rPr>
          <w:rFonts w:ascii="Meiryo UI" w:hAnsi="Meiryo UI"/>
          <w:sz w:val="20"/>
        </w:rPr>
        <w:t>万博後の建設需要集中による資材・職人の需給タイト化</w:t>
      </w:r>
    </w:p>
    <w:p/>
    <w:p>
      <w:r>
        <w:t>──────────────────────────────────────────────────</w:t>
      </w:r>
    </w:p>
    <w:p/>
    <w:p>
      <w:pPr>
        <w:pStyle w:val="Heading2"/>
      </w:pPr>
      <w:r>
        <w:rPr>
          <w:rFonts w:ascii="Meiryo UI" w:hAnsi="Meiryo UI"/>
          <w:color w:val="2E74B5"/>
        </w:rPr>
        <w:t>4. 前版DRからの変更点サマリー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前版（4/27早版）</w:t>
            </w:r>
          </w:p>
        </w:tc>
        <w:tc>
          <w:tcPr>
            <w:tcW w:type="dxa" w:w="2351"/>
            <w:shd w:val="clear" w:color="auto" w:fill="2E74B5"/>
          </w:tcPr>
          <w:p>
            <w:r>
              <w:rPr>
                <w:rFonts w:ascii="Meiryo UI" w:hAnsi="Meiryo UI"/>
                <w:b/>
                <w:color w:val="FFFFFF"/>
                <w:sz w:val="18"/>
              </w:rPr>
              <w:t>今版（4/27修正版）</w:t>
            </w:r>
          </w:p>
        </w:tc>
        <w:tc>
          <w:tcPr>
            <w:tcW w:type="dxa" w:w="2351"/>
            <w:shd w:val="clear" w:color="auto" w:fill="2E74B5"/>
          </w:tcPr>
          <w:p>
            <w:r>
              <w:rPr>
                <w:rFonts w:ascii="Meiryo UI" w:hAnsi="Meiryo UI"/>
                <w:b/>
                <w:color w:val="FFFFFF"/>
                <w:sz w:val="18"/>
              </w:rPr>
              <w:t>変化理由</w:t>
            </w:r>
          </w:p>
        </w:tc>
      </w:tr>
      <w:tr>
        <w:tc>
          <w:tcPr>
            <w:tcW w:type="dxa" w:w="2351"/>
          </w:tcPr>
          <w:p>
            <w:r>
              <w:rPr>
                <w:rFonts w:ascii="Meiryo UI" w:hAnsi="Meiryo UI"/>
                <w:sz w:val="18"/>
              </w:rPr>
              <w:t>スコア</w:t>
            </w:r>
          </w:p>
        </w:tc>
        <w:tc>
          <w:tcPr>
            <w:tcW w:type="dxa" w:w="2351"/>
          </w:tcPr>
          <w:p>
            <w:r>
              <w:rPr>
                <w:rFonts w:ascii="Meiryo UI" w:hAnsi="Meiryo UI"/>
                <w:sz w:val="18"/>
              </w:rPr>
              <w:t>BUY +82</w:t>
            </w:r>
          </w:p>
        </w:tc>
        <w:tc>
          <w:tcPr>
            <w:tcW w:type="dxa" w:w="2351"/>
          </w:tcPr>
          <w:p>
            <w:r>
              <w:rPr>
                <w:rFonts w:ascii="Meiryo UI" w:hAnsi="Meiryo UI"/>
                <w:sz w:val="18"/>
              </w:rPr>
              <w:t>WATCH +52</w:t>
            </w:r>
          </w:p>
        </w:tc>
        <w:tc>
          <w:tcPr>
            <w:tcW w:type="dxa" w:w="2351"/>
          </w:tcPr>
          <w:p>
            <w:r>
              <w:rPr>
                <w:rFonts w:ascii="Meiryo UI" w:hAnsi="Meiryo UI"/>
                <w:sz w:val="18"/>
              </w:rPr>
              <w:t>IR JVリスク発覚</w:t>
            </w:r>
          </w:p>
        </w:tc>
      </w:tr>
      <w:tr>
        <w:tc>
          <w:tcPr>
            <w:tcW w:type="dxa" w:w="2351"/>
            <w:shd w:val="clear" w:color="auto" w:fill="DDEBF7"/>
          </w:tcPr>
          <w:p>
            <w:r>
              <w:rPr>
                <w:rFonts w:ascii="Meiryo UI" w:hAnsi="Meiryo UI"/>
                <w:sz w:val="18"/>
              </w:rPr>
              <w:t>BaseTP</w:t>
            </w:r>
          </w:p>
        </w:tc>
        <w:tc>
          <w:tcPr>
            <w:tcW w:type="dxa" w:w="2351"/>
            <w:shd w:val="clear" w:color="auto" w:fill="DDEBF7"/>
          </w:tcPr>
          <w:p>
            <w:r>
              <w:rPr>
                <w:rFonts w:ascii="Meiryo UI" w:hAnsi="Meiryo UI"/>
                <w:sz w:val="18"/>
              </w:rPr>
              <w:t>¥700</w:t>
            </w:r>
          </w:p>
        </w:tc>
        <w:tc>
          <w:tcPr>
            <w:tcW w:type="dxa" w:w="2351"/>
            <w:shd w:val="clear" w:color="auto" w:fill="DDEBF7"/>
          </w:tcPr>
          <w:p>
            <w:r>
              <w:rPr>
                <w:rFonts w:ascii="Meiryo UI" w:hAnsi="Meiryo UI"/>
                <w:sz w:val="18"/>
              </w:rPr>
              <w:t>¥520</w:t>
            </w:r>
          </w:p>
        </w:tc>
        <w:tc>
          <w:tcPr>
            <w:tcW w:type="dxa" w:w="2351"/>
            <w:shd w:val="clear" w:color="auto" w:fill="DDEBF7"/>
          </w:tcPr>
          <w:p>
            <w:r>
              <w:rPr>
                <w:rFonts w:ascii="Meiryo UI" w:hAnsi="Meiryo UI"/>
                <w:sz w:val="18"/>
              </w:rPr>
              <w:t>IRコスト不確実性ディスカウント</w:t>
            </w:r>
          </w:p>
        </w:tc>
      </w:tr>
      <w:tr>
        <w:tc>
          <w:tcPr>
            <w:tcW w:type="dxa" w:w="2351"/>
          </w:tcPr>
          <w:p>
            <w:r>
              <w:rPr>
                <w:rFonts w:ascii="Meiryo UI" w:hAnsi="Meiryo UI"/>
                <w:sz w:val="18"/>
              </w:rPr>
              <w:t>BullTP</w:t>
            </w:r>
          </w:p>
        </w:tc>
        <w:tc>
          <w:tcPr>
            <w:tcW w:type="dxa" w:w="2351"/>
          </w:tcPr>
          <w:p>
            <w:r>
              <w:rPr>
                <w:rFonts w:ascii="Meiryo UI" w:hAnsi="Meiryo UI"/>
                <w:sz w:val="18"/>
              </w:rPr>
              <w:t>¥900</w:t>
            </w:r>
          </w:p>
        </w:tc>
        <w:tc>
          <w:tcPr>
            <w:tcW w:type="dxa" w:w="2351"/>
          </w:tcPr>
          <w:p>
            <w:r>
              <w:rPr>
                <w:rFonts w:ascii="Meiryo UI" w:hAnsi="Meiryo UI"/>
                <w:sz w:val="18"/>
              </w:rPr>
              <w:t>¥750</w:t>
            </w:r>
          </w:p>
        </w:tc>
        <w:tc>
          <w:tcPr>
            <w:tcW w:type="dxa" w:w="2351"/>
          </w:tcPr>
          <w:p>
            <w:r>
              <w:rPr>
                <w:rFonts w:ascii="Meiryo UI" w:hAnsi="Meiryo UI"/>
                <w:sz w:val="18"/>
              </w:rPr>
              <w:t>同上（緩和要因を残す）</w:t>
            </w:r>
          </w:p>
        </w:tc>
      </w:tr>
      <w:tr>
        <w:tc>
          <w:tcPr>
            <w:tcW w:type="dxa" w:w="2351"/>
            <w:shd w:val="clear" w:color="auto" w:fill="DDEBF7"/>
          </w:tcPr>
          <w:p>
            <w:r>
              <w:rPr>
                <w:rFonts w:ascii="Meiryo UI" w:hAnsi="Meiryo UI"/>
                <w:sz w:val="18"/>
              </w:rPr>
              <w:t>安全域</w:t>
            </w:r>
          </w:p>
        </w:tc>
        <w:tc>
          <w:tcPr>
            <w:tcW w:type="dxa" w:w="2351"/>
            <w:shd w:val="clear" w:color="auto" w:fill="DDEBF7"/>
          </w:tcPr>
          <w:p>
            <w:r>
              <w:rPr>
                <w:rFonts w:ascii="Meiryo UI" w:hAnsi="Meiryo UI"/>
                <w:sz w:val="18"/>
              </w:rPr>
              <w:t>+56.2%</w:t>
            </w:r>
          </w:p>
        </w:tc>
        <w:tc>
          <w:tcPr>
            <w:tcW w:type="dxa" w:w="2351"/>
            <w:shd w:val="clear" w:color="auto" w:fill="DDEBF7"/>
          </w:tcPr>
          <w:p>
            <w:r>
              <w:rPr>
                <w:rFonts w:ascii="Meiryo UI" w:hAnsi="Meiryo UI"/>
                <w:sz w:val="18"/>
              </w:rPr>
              <w:t>+16.1%</w:t>
            </w:r>
          </w:p>
        </w:tc>
        <w:tc>
          <w:tcPr>
            <w:tcW w:type="dxa" w:w="2351"/>
            <w:shd w:val="clear" w:color="auto" w:fill="DDEBF7"/>
          </w:tcPr>
          <w:p>
            <w:r>
              <w:rPr>
                <w:rFonts w:ascii="Meiryo UI" w:hAnsi="Meiryo UI"/>
                <w:sz w:val="18"/>
              </w:rPr>
              <w:t>TP大幅引き下げ</w:t>
            </w:r>
          </w:p>
        </w:tc>
      </w:tr>
      <w:tr>
        <w:tc>
          <w:tcPr>
            <w:tcW w:type="dxa" w:w="2351"/>
          </w:tcPr>
          <w:p>
            <w:r>
              <w:rPr>
                <w:rFonts w:ascii="Meiryo UI" w:hAnsi="Meiryo UI"/>
                <w:sz w:val="18"/>
              </w:rPr>
              <w:t>推奨</w:t>
            </w:r>
          </w:p>
        </w:tc>
        <w:tc>
          <w:tcPr>
            <w:tcW w:type="dxa" w:w="2351"/>
          </w:tcPr>
          <w:p>
            <w:r>
              <w:rPr>
                <w:rFonts w:ascii="Meiryo UI" w:hAnsi="Meiryo UI"/>
                <w:sz w:val="18"/>
              </w:rPr>
              <w:t>打診50-70%</w:t>
            </w:r>
          </w:p>
        </w:tc>
        <w:tc>
          <w:tcPr>
            <w:tcW w:type="dxa" w:w="2351"/>
          </w:tcPr>
          <w:p>
            <w:r>
              <w:rPr>
                <w:rFonts w:ascii="Meiryo UI" w:hAnsi="Meiryo UI"/>
                <w:sz w:val="18"/>
              </w:rPr>
              <w:t>エントリー停止</w:t>
            </w:r>
          </w:p>
        </w:tc>
        <w:tc>
          <w:tcPr>
            <w:tcW w:type="dxa" w:w="2351"/>
          </w:tcPr>
          <w:p>
            <w:r>
              <w:rPr>
                <w:rFonts w:ascii="Meiryo UI" w:hAnsi="Meiryo UI"/>
                <w:sz w:val="18"/>
              </w:rPr>
              <w:t>4/28開示待ち</w:t>
            </w:r>
          </w:p>
        </w:tc>
      </w:tr>
      <w:tr>
        <w:tc>
          <w:tcPr>
            <w:tcW w:type="dxa" w:w="2351"/>
            <w:shd w:val="clear" w:color="auto" w:fill="DDEBF7"/>
          </w:tcPr>
          <w:p>
            <w:r>
              <w:rPr>
                <w:rFonts w:ascii="Meiryo UI" w:hAnsi="Meiryo UI"/>
                <w:sz w:val="18"/>
              </w:rPr>
              <w:t>最重要リスク</w:t>
            </w:r>
          </w:p>
        </w:tc>
        <w:tc>
          <w:tcPr>
            <w:tcW w:type="dxa" w:w="2351"/>
            <w:shd w:val="clear" w:color="auto" w:fill="DDEBF7"/>
          </w:tcPr>
          <w:p>
            <w:r>
              <w:rPr>
                <w:rFonts w:ascii="Meiryo UI" w:hAnsi="Meiryo UI"/>
                <w:sz w:val="18"/>
              </w:rPr>
              <w:t>受注残消化遅延</w:t>
            </w:r>
          </w:p>
        </w:tc>
        <w:tc>
          <w:tcPr>
            <w:tcW w:type="dxa" w:w="2351"/>
            <w:shd w:val="clear" w:color="auto" w:fill="DDEBF7"/>
          </w:tcPr>
          <w:p>
            <w:r>
              <w:rPr>
                <w:rFonts w:ascii="Meiryo UI" w:hAnsi="Meiryo UI"/>
                <w:sz w:val="18"/>
              </w:rPr>
              <w:t>IR JVコスト構造不明</w:t>
            </w:r>
          </w:p>
        </w:tc>
        <w:tc>
          <w:tcPr>
            <w:tcW w:type="dxa" w:w="2351"/>
            <w:shd w:val="clear" w:color="auto" w:fill="DDEBF7"/>
          </w:tcPr>
          <w:p>
            <w:r>
              <w:rPr>
                <w:rFonts w:ascii="Meiryo UI" w:hAnsi="Meiryo UI"/>
                <w:sz w:val="18"/>
              </w:rPr>
              <w:t>情報更新</w:t>
            </w:r>
          </w:p>
        </w:tc>
      </w:tr>
    </w:tbl>
    <w:p/>
    <w:p>
      <w:r>
        <w:t>──────────────────────────────────────────────────</w:t>
      </w:r>
    </w:p>
    <w:p/>
    <w:p>
      <w:pPr>
        <w:pStyle w:val="Heading2"/>
      </w:pPr>
      <w:r>
        <w:rPr>
          <w:rFonts w:ascii="Meiryo UI" w:hAnsi="Meiryo UI"/>
          <w:color w:val="2E74B5"/>
        </w:rPr>
        <w:t>5. 財務指標（現時点）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取得元</w:t>
            </w:r>
          </w:p>
        </w:tc>
      </w:tr>
      <w:tr>
        <w:tc>
          <w:tcPr>
            <w:tcW w:type="dxa" w:w="3135"/>
          </w:tcPr>
          <w:p>
            <w:r>
              <w:rPr>
                <w:rFonts w:ascii="Meiryo UI" w:hAnsi="Meiryo UI"/>
                <w:sz w:val="18"/>
              </w:rPr>
              <w:t>現在株価（4/27）</w:t>
            </w:r>
          </w:p>
        </w:tc>
        <w:tc>
          <w:tcPr>
            <w:tcW w:type="dxa" w:w="3135"/>
          </w:tcPr>
          <w:p>
            <w:r>
              <w:rPr>
                <w:rFonts w:ascii="Meiryo UI" w:hAnsi="Meiryo UI"/>
                <w:sz w:val="18"/>
              </w:rPr>
              <w:t>¥448〜¥449</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¥12.91B</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修正後EPS（FY2026E）</w:t>
            </w:r>
          </w:p>
        </w:tc>
        <w:tc>
          <w:tcPr>
            <w:tcW w:type="dxa" w:w="3135"/>
          </w:tcPr>
          <w:p>
            <w:r>
              <w:rPr>
                <w:rFonts w:ascii="Meiryo UI" w:hAnsi="Meiryo UI"/>
                <w:sz w:val="18"/>
              </w:rPr>
              <w:t>¥72.50</w:t>
            </w:r>
          </w:p>
        </w:tc>
        <w:tc>
          <w:tcPr>
            <w:tcW w:type="dxa" w:w="3135"/>
          </w:tcPr>
          <w:p>
            <w:r>
              <w:rPr>
                <w:rFonts w:ascii="Meiryo UI" w:hAnsi="Meiryo UI"/>
                <w:sz w:val="18"/>
              </w:rPr>
              <w:t>2026-04-27開示</w:t>
            </w:r>
          </w:p>
        </w:tc>
      </w:tr>
      <w:tr>
        <w:tc>
          <w:tcPr>
            <w:tcW w:type="dxa" w:w="3135"/>
            <w:shd w:val="clear" w:color="auto" w:fill="DDEBF7"/>
          </w:tcPr>
          <w:p>
            <w:r>
              <w:rPr>
                <w:rFonts w:ascii="Meiryo UI" w:hAnsi="Meiryo UI"/>
                <w:sz w:val="18"/>
              </w:rPr>
              <w:t>修正後PER</w:t>
            </w:r>
          </w:p>
        </w:tc>
        <w:tc>
          <w:tcPr>
            <w:tcW w:type="dxa" w:w="3135"/>
            <w:shd w:val="clear" w:color="auto" w:fill="DDEBF7"/>
          </w:tcPr>
          <w:p>
            <w:r>
              <w:rPr>
                <w:rFonts w:ascii="Meiryo UI" w:hAnsi="Meiryo UI"/>
                <w:sz w:val="18"/>
              </w:rPr>
              <w:t>6.18倍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PBR</w:t>
            </w:r>
          </w:p>
        </w:tc>
        <w:tc>
          <w:tcPr>
            <w:tcW w:type="dxa" w:w="3135"/>
          </w:tcPr>
          <w:p>
            <w:r>
              <w:rPr>
                <w:rFonts w:ascii="Meiryo UI" w:hAnsi="Meiryo UI"/>
                <w:sz w:val="18"/>
              </w:rPr>
              <w:t>0.702倍</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EV/EBIT</w:t>
            </w:r>
          </w:p>
        </w:tc>
        <w:tc>
          <w:tcPr>
            <w:tcW w:type="dxa" w:w="3135"/>
            <w:shd w:val="clear" w:color="auto" w:fill="DDEBF7"/>
          </w:tcPr>
          <w:p>
            <w:r>
              <w:rPr>
                <w:rFonts w:ascii="Meiryo UI" w:hAnsi="Meiryo UI"/>
                <w:sz w:val="18"/>
              </w:rPr>
              <w:t>1.97倍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ネットキャッシュ</w:t>
            </w:r>
          </w:p>
        </w:tc>
        <w:tc>
          <w:tcPr>
            <w:tcW w:type="dxa" w:w="3135"/>
          </w:tcPr>
          <w:p>
            <w:r>
              <w:rPr>
                <w:rFonts w:ascii="Meiryo UI" w:hAnsi="Meiryo UI"/>
                <w:sz w:val="18"/>
              </w:rPr>
              <w:t>¥7,333M（¥254/株）</w:t>
            </w:r>
          </w:p>
        </w:tc>
        <w:tc>
          <w:tcPr>
            <w:tcW w:type="dxa" w:w="3135"/>
          </w:tcPr>
          <w:p>
            <w:r>
              <w:rPr>
                <w:rFonts w:ascii="Meiryo UI" w:hAnsi="Meiryo UI"/>
                <w:sz w:val="18"/>
              </w:rPr>
              <w:t>Q3短信</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54.1%</w:t>
            </w:r>
          </w:p>
        </w:tc>
        <w:tc>
          <w:tcPr>
            <w:tcW w:type="dxa" w:w="3135"/>
            <w:shd w:val="clear" w:color="auto" w:fill="DDEBF7"/>
          </w:tcPr>
          <w:p>
            <w:r>
              <w:rPr>
                <w:rFonts w:ascii="Meiryo UI" w:hAnsi="Meiryo UI"/>
                <w:sz w:val="18"/>
              </w:rPr>
              <w:t>Q3短信</w:t>
            </w:r>
          </w:p>
        </w:tc>
      </w:tr>
      <w:tr>
        <w:tc>
          <w:tcPr>
            <w:tcW w:type="dxa" w:w="3135"/>
          </w:tcPr>
          <w:p>
            <w:r>
              <w:rPr>
                <w:rFonts w:ascii="Meiryo UI" w:hAnsi="Meiryo UI"/>
                <w:sz w:val="18"/>
              </w:rPr>
              <w:t>修正後ROE</w:t>
            </w:r>
          </w:p>
        </w:tc>
        <w:tc>
          <w:tcPr>
            <w:tcW w:type="dxa" w:w="3135"/>
          </w:tcPr>
          <w:p>
            <w:r>
              <w:rPr>
                <w:rFonts w:ascii="Meiryo UI" w:hAnsi="Meiryo UI"/>
                <w:sz w:val="18"/>
              </w:rPr>
              <w:t>~11.3%</w:t>
            </w:r>
          </w:p>
        </w:tc>
        <w:tc>
          <w:tcPr>
            <w:tcW w:type="dxa" w:w="3135"/>
          </w:tcPr>
          <w:p>
            <w:r>
              <w:rPr>
                <w:rFonts w:ascii="Meiryo UI" w:hAnsi="Meiryo UI"/>
                <w:sz w:val="18"/>
              </w:rPr>
              <w:t>深井試算</w:t>
            </w:r>
          </w:p>
        </w:tc>
      </w:tr>
    </w:tbl>
    <w:p/>
    <w:p>
      <w:r>
        <w:t>──────────────────────────────────────────────────</w:t>
      </w:r>
    </w:p>
    <w:p/>
    <w:p>
      <w:pPr>
        <w:pStyle w:val="Heading2"/>
      </w:pPr>
      <w:r>
        <w:rPr>
          <w:rFonts w:ascii="Meiryo UI" w:hAnsi="Meiryo UI"/>
          <w:color w:val="2E74B5"/>
        </w:rPr>
        <w:t>6. 修正後リスクシナリオ定量化</w:t>
      </w:r>
    </w:p>
    <w:p/>
    <w:p>
      <w:pPr>
        <w:pStyle w:val="Heading3"/>
      </w:pPr>
      <w:r>
        <w:rPr>
          <w:rFonts w:ascii="Meiryo UI" w:hAnsi="Meiryo UI"/>
          <w:color w:val="2E74B5"/>
        </w:rPr>
        <w:t>シナリオ①：IRコスト保護あり・順調（確率40%）</w:t>
      </w:r>
    </w:p>
    <w:p>
      <w:r>
        <w:rPr>
          <w:rFonts w:ascii="Meiryo UI" w:hAnsi="Meiryo UI"/>
          <w:sz w:val="20"/>
        </w:rPr>
        <w:t>スライド条項が実効的に機能し、追加コスト増も転嫁可能。</w:t>
      </w:r>
    </w:p>
    <w:p>
      <w:pPr>
        <w:pStyle w:val="ListBullet"/>
      </w:pPr>
      <w:r>
        <w:rPr>
          <w:rFonts w:ascii="Meiryo UI" w:hAnsi="Meiryo UI"/>
          <w:sz w:val="20"/>
        </w:rPr>
        <w:t>FY2027 売上¥55-60B・OPM5.5-6% → OP¥3.0-3.6B</w:t>
      </w:r>
    </w:p>
    <w:p>
      <w:pPr>
        <w:pStyle w:val="ListBullet"/>
      </w:pPr>
      <w:r>
        <w:rPr>
          <w:rFonts w:ascii="Meiryo UI" w:hAnsi="Meiryo UI"/>
          <w:sz w:val="20"/>
        </w:rPr>
        <w:t>EPS¥80-100 → 株価¥700-900（BaseTP維持）</w:t>
      </w:r>
    </w:p>
    <w:p/>
    <w:p>
      <w:pPr>
        <w:pStyle w:val="Heading3"/>
      </w:pPr>
      <w:r>
        <w:rPr>
          <w:rFonts w:ascii="Meiryo UI" w:hAnsi="Meiryo UI"/>
          <w:color w:val="2E74B5"/>
        </w:rPr>
        <w:t>シナリオ②：IRコスト一部侵食・部分損失（確率40%）</w:t>
      </w:r>
    </w:p>
    <w:p>
      <w:r>
        <w:rPr>
          <w:rFonts w:ascii="Meiryo UI" w:hAnsi="Meiryo UI"/>
          <w:sz w:val="20"/>
        </w:rPr>
        <w:t>スライド条項に上限あり・追加騰貴分の一部を南海辰村が負担。</w:t>
      </w:r>
    </w:p>
    <w:p>
      <w:pPr>
        <w:pStyle w:val="ListBullet"/>
      </w:pPr>
      <w:r>
        <w:rPr>
          <w:rFonts w:ascii="Meiryo UI" w:hAnsi="Meiryo UI"/>
          <w:sz w:val="20"/>
        </w:rPr>
        <w:t>IR案件OPM 1-3%（正常工事OPM 6-7%と混在）→ 全社OPM 3.5-4.5%</w:t>
      </w:r>
    </w:p>
    <w:p>
      <w:pPr>
        <w:pStyle w:val="ListBullet"/>
      </w:pPr>
      <w:r>
        <w:rPr>
          <w:rFonts w:ascii="Meiryo UI" w:hAnsi="Meiryo UI"/>
          <w:sz w:val="20"/>
        </w:rPr>
        <w:t>FY2027 OP¥2.0-2.5B → EPS¥50-65 → 株価¥450-550</w:t>
      </w:r>
    </w:p>
    <w:p/>
    <w:p>
      <w:pPr>
        <w:pStyle w:val="Heading3"/>
      </w:pPr>
      <w:r>
        <w:rPr>
          <w:rFonts w:ascii="Meiryo UI" w:hAnsi="Meiryo UI"/>
          <w:color w:val="2E74B5"/>
        </w:rPr>
        <w:t>シナリオ③：IR大規模損失・工事損失引当金計上（確率20%）</w:t>
      </w:r>
    </w:p>
    <w:p>
      <w:r>
        <w:rPr>
          <w:rFonts w:ascii="Meiryo UI" w:hAnsi="Meiryo UI"/>
          <w:sz w:val="20"/>
        </w:rPr>
        <w:t>資材費さらに+30%、スライド条項が限定的。</w:t>
      </w:r>
    </w:p>
    <w:p>
      <w:pPr>
        <w:pStyle w:val="ListBullet"/>
      </w:pPr>
      <w:r>
        <w:rPr>
          <w:rFonts w:ascii="Meiryo UI" w:hAnsi="Meiryo UI"/>
          <w:sz w:val="20"/>
        </w:rPr>
        <w:t>工事損失引当金¥500-900M計上（→ 今期NI半減以下）</w:t>
      </w:r>
    </w:p>
    <w:p>
      <w:pPr>
        <w:pStyle w:val="ListBullet"/>
      </w:pPr>
      <w:r>
        <w:rPr>
          <w:rFonts w:ascii="Meiryo UI" w:hAnsi="Meiryo UI"/>
          <w:sz w:val="20"/>
        </w:rPr>
        <w:t>EPS¥10-30 → PBR 0.5倍で株価¥320-380</w:t>
      </w:r>
    </w:p>
    <w:p>
      <w:pPr>
        <w:pStyle w:val="ListBullet"/>
      </w:pPr>
      <w:r>
        <w:rPr>
          <w:rFonts w:ascii="Meiryo UI" w:hAnsi="Meiryo UI"/>
          <w:sz w:val="20"/>
        </w:rPr>
        <w:t>ネットキャッシュ¥7.3B（¥254/株）が下値支持線</w:t>
      </w:r>
    </w:p>
    <w:p/>
    <w:p>
      <w:r>
        <w:t>──────────────────────────────────────────────────</w:t>
      </w:r>
    </w:p>
    <w:p/>
    <w:p>
      <w:pPr>
        <w:pStyle w:val="Heading2"/>
      </w:pPr>
      <w:r>
        <w:rPr>
          <w:rFonts w:ascii="Meiryo UI" w:hAnsi="Meiryo UI"/>
          <w:color w:val="2E74B5"/>
        </w:rPr>
        <w:t>7. 中計との整合性（改訂）</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中計目標（FY2026年度）</w:t>
            </w:r>
          </w:p>
        </w:tc>
        <w:tc>
          <w:tcPr>
            <w:tcW w:type="dxa" w:w="2351"/>
            <w:shd w:val="clear" w:color="auto" w:fill="2E74B5"/>
          </w:tcPr>
          <w:p>
            <w:r>
              <w:rPr>
                <w:rFonts w:ascii="Meiryo UI" w:hAnsi="Meiryo UI"/>
                <w:b/>
                <w:color w:val="FFFFFF"/>
                <w:sz w:val="18"/>
              </w:rPr>
              <w:t>前版DRの楽観予想</w:t>
            </w:r>
          </w:p>
        </w:tc>
        <w:tc>
          <w:tcPr>
            <w:tcW w:type="dxa" w:w="2351"/>
            <w:shd w:val="clear" w:color="auto" w:fill="2E74B5"/>
          </w:tcPr>
          <w:p>
            <w:r>
              <w:rPr>
                <w:rFonts w:ascii="Meiryo UI" w:hAnsi="Meiryo UI"/>
                <w:b/>
                <w:color w:val="FFFFFF"/>
                <w:sz w:val="18"/>
              </w:rPr>
              <w:t>今版の修正予想</w:t>
            </w:r>
          </w:p>
        </w:tc>
      </w:tr>
      <w:tr>
        <w:tc>
          <w:tcPr>
            <w:tcW w:type="dxa" w:w="2351"/>
          </w:tcPr>
          <w:p>
            <w:r>
              <w:rPr>
                <w:rFonts w:ascii="Meiryo UI" w:hAnsi="Meiryo UI"/>
                <w:sz w:val="18"/>
              </w:rPr>
              <w:t>売上</w:t>
            </w:r>
          </w:p>
        </w:tc>
        <w:tc>
          <w:tcPr>
            <w:tcW w:type="dxa" w:w="2351"/>
          </w:tcPr>
          <w:p>
            <w:r>
              <w:rPr>
                <w:rFonts w:ascii="Meiryo UI" w:hAnsi="Meiryo UI"/>
                <w:sz w:val="18"/>
              </w:rPr>
              <w:t>¥525億</w:t>
            </w:r>
          </w:p>
        </w:tc>
        <w:tc>
          <w:tcPr>
            <w:tcW w:type="dxa" w:w="2351"/>
          </w:tcPr>
          <w:p>
            <w:r>
              <w:rPr>
                <w:rFonts w:ascii="Meiryo UI" w:hAnsi="Meiryo UI"/>
                <w:sz w:val="18"/>
              </w:rPr>
              <w:t>¥490-520億</w:t>
            </w:r>
          </w:p>
        </w:tc>
        <w:tc>
          <w:tcPr>
            <w:tcW w:type="dxa" w:w="2351"/>
          </w:tcPr>
          <w:p>
            <w:r>
              <w:rPr>
                <w:rFonts w:ascii="Meiryo UI" w:hAnsi="Meiryo UI"/>
                <w:sz w:val="18"/>
              </w:rPr>
              <w:t>¥490-520億（変わらず）</w:t>
            </w:r>
          </w:p>
        </w:tc>
      </w:tr>
      <w:tr>
        <w:tc>
          <w:tcPr>
            <w:tcW w:type="dxa" w:w="2351"/>
            <w:shd w:val="clear" w:color="auto" w:fill="DDEBF7"/>
          </w:tcPr>
          <w:p>
            <w:r>
              <w:rPr>
                <w:rFonts w:ascii="Meiryo UI" w:hAnsi="Meiryo UI"/>
                <w:sz w:val="18"/>
              </w:rPr>
              <w:t>OP</w:t>
            </w:r>
          </w:p>
        </w:tc>
        <w:tc>
          <w:tcPr>
            <w:tcW w:type="dxa" w:w="2351"/>
            <w:shd w:val="clear" w:color="auto" w:fill="DDEBF7"/>
          </w:tcPr>
          <w:p>
            <w:r>
              <w:rPr>
                <w:rFonts w:ascii="Meiryo UI" w:hAnsi="Meiryo UI"/>
                <w:sz w:val="18"/>
              </w:rPr>
              <w:t>¥24億</w:t>
            </w:r>
          </w:p>
        </w:tc>
        <w:tc>
          <w:tcPr>
            <w:tcW w:type="dxa" w:w="2351"/>
            <w:shd w:val="clear" w:color="auto" w:fill="DDEBF7"/>
          </w:tcPr>
          <w:p>
            <w:r>
              <w:rPr>
                <w:rFonts w:ascii="Meiryo UI" w:hAnsi="Meiryo UI"/>
                <w:sz w:val="18"/>
              </w:rPr>
              <w:t>¥27-32億</w:t>
            </w:r>
          </w:p>
        </w:tc>
        <w:tc>
          <w:tcPr>
            <w:tcW w:type="dxa" w:w="2351"/>
            <w:shd w:val="clear" w:color="auto" w:fill="DDEBF7"/>
          </w:tcPr>
          <w:p>
            <w:r>
              <w:rPr>
                <w:rFonts w:ascii="Meiryo UI" w:hAnsi="Meiryo UI"/>
                <w:sz w:val="18"/>
              </w:rPr>
              <w:t>¥20-30億（幅拡大）</w:t>
            </w:r>
          </w:p>
        </w:tc>
      </w:tr>
      <w:tr>
        <w:tc>
          <w:tcPr>
            <w:tcW w:type="dxa" w:w="2351"/>
          </w:tcPr>
          <w:p>
            <w:r>
              <w:rPr>
                <w:rFonts w:ascii="Meiryo UI" w:hAnsi="Meiryo UI"/>
                <w:sz w:val="18"/>
              </w:rPr>
              <w:t>OPM</w:t>
            </w:r>
          </w:p>
        </w:tc>
        <w:tc>
          <w:tcPr>
            <w:tcW w:type="dxa" w:w="2351"/>
          </w:tcPr>
          <w:p>
            <w:r>
              <w:rPr>
                <w:rFonts w:ascii="Meiryo UI" w:hAnsi="Meiryo UI"/>
                <w:sz w:val="18"/>
              </w:rPr>
              <w:t>4.6%</w:t>
            </w:r>
          </w:p>
        </w:tc>
        <w:tc>
          <w:tcPr>
            <w:tcW w:type="dxa" w:w="2351"/>
          </w:tcPr>
          <w:p>
            <w:r>
              <w:rPr>
                <w:rFonts w:ascii="Meiryo UI" w:hAnsi="Meiryo UI"/>
                <w:sz w:val="18"/>
              </w:rPr>
              <w:t>5.5-6.2%</w:t>
            </w:r>
          </w:p>
        </w:tc>
        <w:tc>
          <w:tcPr>
            <w:tcW w:type="dxa" w:w="2351"/>
          </w:tcPr>
          <w:p>
            <w:r>
              <w:rPr>
                <w:rFonts w:ascii="Meiryo UI" w:hAnsi="Meiryo UI"/>
                <w:sz w:val="18"/>
              </w:rPr>
              <w:t>3.5-6.2%（IRリスクで下限引き下げ）</w:t>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安定配当（点線）</w:t>
            </w:r>
          </w:p>
        </w:tc>
        <w:tc>
          <w:tcPr>
            <w:tcW w:type="dxa" w:w="2351"/>
            <w:shd w:val="clear" w:color="auto" w:fill="DDEBF7"/>
          </w:tcPr>
          <w:p>
            <w:r>
              <w:rPr>
                <w:rFonts w:ascii="Meiryo UI" w:hAnsi="Meiryo UI"/>
                <w:sz w:val="18"/>
              </w:rPr>
              <w:t>¥6-10</w:t>
            </w:r>
          </w:p>
        </w:tc>
        <w:tc>
          <w:tcPr>
            <w:tcW w:type="dxa" w:w="2351"/>
            <w:shd w:val="clear" w:color="auto" w:fill="DDEBF7"/>
          </w:tcPr>
          <w:p>
            <w:r>
              <w:rPr>
                <w:rFonts w:ascii="Meiryo UI" w:hAnsi="Meiryo UI"/>
                <w:sz w:val="18"/>
              </w:rPr>
              <w:t>¥6（増配発表は先送り公算）</w:t>
            </w:r>
          </w:p>
        </w:tc>
      </w:tr>
    </w:tbl>
    <w:p/>
    <w:p>
      <w:r>
        <w:t>──────────────────────────────────────────────────</w:t>
      </w:r>
    </w:p>
    <w:p/>
    <w:p>
      <w:pPr>
        <w:pStyle w:val="Heading2"/>
      </w:pPr>
      <w:r>
        <w:rPr>
          <w:rFonts w:ascii="Meiryo UI" w:hAnsi="Meiryo UI"/>
          <w:color w:val="2E74B5"/>
        </w:rPr>
        <w:t>8. 4/28決算で必ず確認すべき5項目（IR JVリスク焦点）</w:t>
      </w:r>
    </w:p>
    <w:p/>
    <w:p>
      <w:pPr>
        <w:pStyle w:val="Heading3"/>
      </w:pPr>
      <w:r>
        <w:rPr>
          <w:rFonts w:ascii="Meiryo UI" w:hAnsi="Meiryo UI"/>
          <w:color w:val="2E74B5"/>
        </w:rPr>
        <w:t>最優先（IR関連）</w:t>
      </w:r>
    </w:p>
    <w:p>
      <w:pPr>
        <w:pStyle w:val="ListNumber"/>
      </w:pPr>
      <w:r>
        <w:rPr>
          <w:rFonts w:ascii="Meiryo UI" w:hAnsi="Meiryo UI"/>
          <w:sz w:val="20"/>
        </w:rPr>
        <w:t>工事損失引当金の計上有無 — 計上ゼロなら現時点でIR案件は収益性問題なしと確認。¥200M超の計上があれば即座に減額（▲2〜3pt スコア）</w:t>
      </w:r>
    </w:p>
    <w:p>
      <w:pPr>
        <w:pStyle w:val="ListNumber"/>
      </w:pPr>
      <w:r>
        <w:rPr>
          <w:rFonts w:ascii="Meiryo UI" w:hAnsi="Meiryo UI"/>
          <w:sz w:val="20"/>
        </w:rPr>
        <w:t>完成工事総利益率の内訳 — 建築と土木の利益率を比較。建築OPM が土木より著しく低ければIR案件の採算悪化示唆</w:t>
      </w:r>
    </w:p>
    <w:p>
      <w:pPr>
        <w:pStyle w:val="ListNumber"/>
      </w:pPr>
      <w:r>
        <w:rPr>
          <w:rFonts w:ascii="Meiryo UI" w:hAnsi="Meiryo UI"/>
          <w:sz w:val="20"/>
        </w:rPr>
        <w:t>受注残の案件別コメント（質疑応答） — 大型民間工事（=IR）の採算性・スライド条項の有無について経営陣が言及するか</w:t>
      </w:r>
    </w:p>
    <w:p/>
    <w:p>
      <w:pPr>
        <w:pStyle w:val="Heading3"/>
      </w:pPr>
      <w:r>
        <w:rPr>
          <w:rFonts w:ascii="Meiryo UI" w:hAnsi="Meiryo UI"/>
          <w:color w:val="2E74B5"/>
        </w:rPr>
        <w:t>重要（業績・株主還元）</w:t>
      </w:r>
    </w:p>
    <w:p>
      <w:pPr>
        <w:pStyle w:val="ListNumber"/>
      </w:pPr>
      <w:r>
        <w:rPr>
          <w:rFonts w:ascii="Meiryo UI" w:hAnsi="Meiryo UI"/>
          <w:sz w:val="20"/>
        </w:rPr>
        <w:t>FY2027 ガイダンスのOPM水準 — 5%以上なら IRリスクは限定的と経営陣が判断している証左</w:t>
      </w:r>
    </w:p>
    <w:p>
      <w:pPr>
        <w:pStyle w:val="ListNumber"/>
      </w:pPr>
      <w:r>
        <w:rPr>
          <w:rFonts w:ascii="Meiryo UI" w:hAnsi="Meiryo UI"/>
          <w:sz w:val="20"/>
        </w:rPr>
        <w:t>配当（DPS）の据え置きか増配か — 増配は経営陣の自信を示す。据え置き¥6.00なら慎重スタンス</w:t>
      </w:r>
    </w:p>
    <w:p/>
    <w:p>
      <w:r>
        <w:t>──────────────────────────────────────────────────</w:t>
      </w:r>
    </w:p>
    <w:p/>
    <w:p>
      <w:pPr>
        <w:pStyle w:val="Heading2"/>
      </w:pPr>
      <w:r>
        <w:rPr>
          <w:rFonts w:ascii="Meiryo UI" w:hAnsi="Meiryo UI"/>
          <w:color w:val="2E74B5"/>
        </w:rPr>
        <w:t>9. 競合・業界比較（ゼネコン減益懸念との整合）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r>
          </w:p>
        </w:tc>
        <w:tc>
          <w:tcPr>
            <w:tcW w:type="dxa" w:w="3135"/>
            <w:shd w:val="clear" w:color="auto" w:fill="2E74B5"/>
          </w:tcPr>
          <w:p>
            <w:r>
              <w:rPr>
                <w:rFonts w:ascii="Meiryo UI" w:hAnsi="Meiryo UI"/>
                <w:b/>
                <w:color w:val="FFFFFF"/>
                <w:sz w:val="18"/>
              </w:rPr>
              <w:t>スーパーゼネコン</w:t>
            </w:r>
          </w:p>
        </w:tc>
        <w:tc>
          <w:tcPr>
            <w:tcW w:type="dxa" w:w="3135"/>
            <w:shd w:val="clear" w:color="auto" w:fill="2E74B5"/>
          </w:tcPr>
          <w:p>
            <w:r>
              <w:rPr>
                <w:rFonts w:ascii="Meiryo UI" w:hAnsi="Meiryo UI"/>
                <w:b/>
                <w:color w:val="FFFFFF"/>
                <w:sz w:val="18"/>
              </w:rPr>
              <w:t>南海辰村建設</w:t>
            </w:r>
          </w:p>
        </w:tc>
      </w:tr>
      <w:tr>
        <w:tc>
          <w:tcPr>
            <w:tcW w:type="dxa" w:w="3135"/>
          </w:tcPr>
          <w:p>
            <w:r>
              <w:rPr>
                <w:rFonts w:ascii="Meiryo UI" w:hAnsi="Meiryo UI"/>
                <w:sz w:val="18"/>
              </w:rPr>
              <w:t>超大型固定価格案件</w:t>
            </w:r>
          </w:p>
        </w:tc>
        <w:tc>
          <w:tcPr>
            <w:tcW w:type="dxa" w:w="3135"/>
          </w:tcPr>
          <w:p>
            <w:r>
              <w:rPr>
                <w:rFonts w:ascii="Meiryo UI" w:hAnsi="Meiryo UI"/>
                <w:sz w:val="18"/>
              </w:rPr>
              <w:t>多数（IR・万博後続）</w:t>
            </w:r>
          </w:p>
        </w:tc>
        <w:tc>
          <w:tcPr>
            <w:tcW w:type="dxa" w:w="3135"/>
          </w:tcPr>
          <w:p>
            <w:r>
              <w:rPr>
                <w:rFonts w:ascii="Meiryo UI" w:hAnsi="Meiryo UI"/>
                <w:sz w:val="18"/>
              </w:rPr>
              <w:t>IR 1案件（ただし比率高い）</w:t>
            </w:r>
          </w:p>
        </w:tc>
      </w:tr>
      <w:tr>
        <w:tc>
          <w:tcPr>
            <w:tcW w:type="dxa" w:w="3135"/>
            <w:shd w:val="clear" w:color="auto" w:fill="DDEBF7"/>
          </w:tcPr>
          <w:p>
            <w:r>
              <w:rPr>
                <w:rFonts w:ascii="Meiryo UI" w:hAnsi="Meiryo UI"/>
                <w:sz w:val="18"/>
              </w:rPr>
              <w:t>スライド条項適用力</w:t>
            </w:r>
          </w:p>
        </w:tc>
        <w:tc>
          <w:tcPr>
            <w:tcW w:type="dxa" w:w="3135"/>
            <w:shd w:val="clear" w:color="auto" w:fill="DDEBF7"/>
          </w:tcPr>
          <w:p>
            <w:r>
              <w:rPr>
                <w:rFonts w:ascii="Meiryo UI" w:hAnsi="Meiryo UI"/>
                <w:sz w:val="18"/>
              </w:rPr>
              <w:t>交渉力強い</w:t>
            </w:r>
          </w:p>
        </w:tc>
        <w:tc>
          <w:tcPr>
            <w:tcW w:type="dxa" w:w="3135"/>
            <w:shd w:val="clear" w:color="auto" w:fill="DDEBF7"/>
          </w:tcPr>
          <w:p>
            <w:r>
              <w:rPr>
                <w:rFonts w:ascii="Meiryo UI" w:hAnsi="Meiryo UI"/>
                <w:sz w:val="18"/>
              </w:rPr>
              <w:t>竹中JV内では劣後リスク</w:t>
            </w:r>
          </w:p>
        </w:tc>
      </w:tr>
      <w:tr>
        <w:tc>
          <w:tcPr>
            <w:tcW w:type="dxa" w:w="3135"/>
          </w:tcPr>
          <w:p>
            <w:r>
              <w:rPr>
                <w:rFonts w:ascii="Meiryo UI" w:hAnsi="Meiryo UI"/>
                <w:sz w:val="18"/>
              </w:rPr>
              <w:t>受注分散</w:t>
            </w:r>
          </w:p>
        </w:tc>
        <w:tc>
          <w:tcPr>
            <w:tcW w:type="dxa" w:w="3135"/>
          </w:tcPr>
          <w:p>
            <w:r>
              <w:rPr>
                <w:rFonts w:ascii="Meiryo UI" w:hAnsi="Meiryo UI"/>
                <w:sz w:val="18"/>
              </w:rPr>
              <w:t>高</w:t>
            </w:r>
          </w:p>
        </w:tc>
        <w:tc>
          <w:tcPr>
            <w:tcW w:type="dxa" w:w="3135"/>
          </w:tcPr>
          <w:p>
            <w:r>
              <w:rPr>
                <w:rFonts w:ascii="Meiryo UI" w:hAnsi="Meiryo UI"/>
                <w:sz w:val="18"/>
              </w:rPr>
              <w:t>低（IR1案件集中）</w:t>
            </w:r>
          </w:p>
        </w:tc>
      </w:tr>
      <w:tr>
        <w:tc>
          <w:tcPr>
            <w:tcW w:type="dxa" w:w="3135"/>
            <w:shd w:val="clear" w:color="auto" w:fill="DDEBF7"/>
          </w:tcPr>
          <w:p>
            <w:r>
              <w:rPr>
                <w:rFonts w:ascii="Meiryo UI" w:hAnsi="Meiryo UI"/>
                <w:sz w:val="18"/>
              </w:rPr>
              <w:t>財務緩衝（ネットキャッシュ）</w:t>
            </w:r>
          </w:p>
        </w:tc>
        <w:tc>
          <w:tcPr>
            <w:tcW w:type="dxa" w:w="3135"/>
            <w:shd w:val="clear" w:color="auto" w:fill="DDEBF7"/>
          </w:tcPr>
          <w:p>
            <w:r>
              <w:rPr>
                <w:rFonts w:ascii="Meiryo UI" w:hAnsi="Meiryo UI"/>
                <w:sz w:val="18"/>
              </w:rPr>
              <w:t>大</w:t>
            </w:r>
          </w:p>
        </w:tc>
        <w:tc>
          <w:tcPr>
            <w:tcW w:type="dxa" w:w="3135"/>
            <w:shd w:val="clear" w:color="auto" w:fill="DDEBF7"/>
          </w:tcPr>
          <w:p>
            <w:r>
              <w:rPr>
                <w:rFonts w:ascii="Meiryo UI" w:hAnsi="Meiryo UI"/>
                <w:sz w:val="18"/>
              </w:rPr>
              <w:t>相対的に大（¥254/株）</w:t>
            </w:r>
          </w:p>
        </w:tc>
      </w:tr>
      <w:tr>
        <w:tc>
          <w:tcPr>
            <w:tcW w:type="dxa" w:w="3135"/>
          </w:tcPr>
          <w:p>
            <w:r>
              <w:rPr>
                <w:rFonts w:ascii="Meiryo UI" w:hAnsi="Meiryo UI"/>
                <w:sz w:val="18"/>
              </w:rPr>
              <w:t>選別受注方針</w:t>
            </w:r>
          </w:p>
        </w:tc>
        <w:tc>
          <w:tcPr>
            <w:tcW w:type="dxa" w:w="3135"/>
          </w:tcPr>
          <w:p>
            <w:r>
              <w:rPr>
                <w:rFonts w:ascii="Meiryo UI" w:hAnsi="Meiryo UI"/>
                <w:sz w:val="18"/>
              </w:rPr>
              <w:t>各社採用</w:t>
            </w:r>
          </w:p>
        </w:tc>
        <w:tc>
          <w:tcPr>
            <w:tcW w:type="dxa" w:w="3135"/>
          </w:tcPr>
          <w:p>
            <w:r>
              <w:rPr>
                <w:rFonts w:ascii="Meiryo UI" w:hAnsi="Meiryo UI"/>
                <w:sz w:val="18"/>
              </w:rPr>
              <w:t>明確に採用済み</w:t>
            </w:r>
          </w:p>
        </w:tc>
      </w:tr>
    </w:tbl>
    <w:p/>
    <w:p>
      <w:r>
        <w:rPr>
          <w:rFonts w:ascii="Meiryo UI" w:hAnsi="Meiryo UI"/>
          <w:sz w:val="20"/>
        </w:rPr>
        <w:t>&gt; スーパーゼネコンの減益懸念が実現した場合、南海辰村は受注集中ゆえに影響が増幅される可能性。ただしネットキャッシュが厚いため致命的にはなりにくい。</w:t>
      </w:r>
    </w:p>
    <w:p/>
    <w:p>
      <w:r>
        <w:t>──────────────────────────────────────────────────</w:t>
      </w:r>
    </w:p>
    <w:p/>
    <w:p>
      <w:pPr>
        <w:pStyle w:val="Heading2"/>
      </w:pPr>
      <w:r>
        <w:rPr>
          <w:rFonts w:ascii="Meiryo UI" w:hAnsi="Meiryo UI"/>
          <w:color w:val="2E74B5"/>
        </w:rPr>
        <w:t>10. 不動産含み益考察（変更なし）</w:t>
      </w:r>
    </w:p>
    <w:p/>
    <w:p>
      <w:r>
        <w:rPr>
          <w:rFonts w:ascii="Meiryo UI" w:hAnsi="Meiryo UI"/>
          <w:sz w:val="20"/>
        </w:rPr>
        <w:t>建設会社のため不動産含み益は限定的。NAVプレイよりEV/EBIT 1.97倍の割安が本論。南海グループとの関係で難波・堺エリアの潜在含み益は¥200-500M程度。今回のリスク再評価において不動産含み益は評価変更なし。</w:t>
      </w:r>
    </w:p>
    <w:p/>
    <w:p>
      <w:r>
        <w:t>──────────────────────────────────────────────────</w:t>
      </w:r>
    </w:p>
    <w:p/>
    <w:p>
      <w:pPr>
        <w:pStyle w:val="Heading2"/>
      </w:pPr>
      <w:r>
        <w:rPr>
          <w:rFonts w:ascii="Meiryo UI" w:hAnsi="Meiryo UI"/>
          <w:color w:val="2E74B5"/>
        </w:rPr>
        <w:t>11. IR質問状（竹村トレードカンパニー 名義）— IR JVリスク特化版</w:t>
      </w:r>
    </w:p>
    <w:p/>
    <w:p>
      <w:r>
        <w:rPr>
          <w:rFonts w:ascii="Meiryo UI" w:hAnsi="Meiryo UI"/>
          <w:sz w:val="20"/>
        </w:rPr>
        <w:t>南海辰村建設株式会社 IR部門 御中</w:t>
      </w:r>
    </w:p>
    <w:p>
      <w:r>
        <w:rPr>
          <w:rFonts w:ascii="Meiryo UI" w:hAnsi="Meiryo UI"/>
          <w:sz w:val="20"/>
        </w:rPr>
        <w:t>取締役 常務執行役員 経営戦略本部長 楠岡英人 様</w:t>
      </w:r>
    </w:p>
    <w:p/>
    <w:p>
      <w:r>
        <w:rPr>
          <w:rFonts w:ascii="Meiryo UI" w:hAnsi="Meiryo UI"/>
          <w:sz w:val="20"/>
        </w:rPr>
        <w:t>竹村トレードカンパニーのアナリスト 深井と申します。</w:t>
      </w:r>
    </w:p>
    <w:p>
      <w:r>
        <w:rPr>
          <w:rFonts w:ascii="Meiryo UI" w:hAnsi="Meiryo UI"/>
          <w:sz w:val="20"/>
        </w:rPr>
        <w:t>2026年4月28日の通期決算発表に際し、大阪IRプロジェクトに関する下記5点を至急確認させてください。</w:t>
      </w:r>
    </w:p>
    <w:p/>
    <w:p>
      <w:r>
        <w:t>──────────────────────────────────────────────────</w:t>
      </w:r>
    </w:p>
    <w:p/>
    <w:p>
      <w:r>
        <w:rPr>
          <w:rFonts w:ascii="Meiryo UI" w:hAnsi="Meiryo UI"/>
          <w:sz w:val="20"/>
        </w:rPr>
        <w:t>Q1. ブロックB JVにおける当社の出資比率（シェア）</w:t>
      </w:r>
    </w:p>
    <w:p/>
    <w:p>
      <w:r>
        <w:rPr>
          <w:rFonts w:ascii="Meiryo UI" w:hAnsi="Meiryo UI"/>
          <w:sz w:val="20"/>
        </w:rPr>
        <w:t>竹中工務店・竹中土木・銭高組・南海辰村建設・淺沼組・松村組・森組のJVにおける当社の施工分担比率（工事費ベース）をお教えください。受注残¥84,863Mに対するIR案件の比率を把握したく存じます。</w:t>
      </w:r>
    </w:p>
    <w:p/>
    <w:p>
      <w:r>
        <w:t>──────────────────────────────────────────────────</w:t>
      </w:r>
    </w:p>
    <w:p/>
    <w:p>
      <w:r>
        <w:rPr>
          <w:rFonts w:ascii="Meiryo UI" w:hAnsi="Meiryo UI"/>
          <w:sz w:val="20"/>
        </w:rPr>
        <w:t>Q2. 建設工事契約の価格形態（固定価格 vs スライド条項）</w:t>
      </w:r>
    </w:p>
    <w:p/>
    <w:p>
      <w:r>
        <w:rPr>
          <w:rFonts w:ascii="Meiryo UI" w:hAnsi="Meiryo UI"/>
          <w:sz w:val="20"/>
        </w:rPr>
        <w:t>当該JV契約は固定価格請負契約でしょうか。または資材費・労務費の変動を発注者（大阪IR株式会社）に転嫁できるスライド条項が含まれますでしょうか。2025年9月に総事業費が¥2,430億増額された際、当社の実行予算は変更されましたでしょうか。</w:t>
      </w:r>
    </w:p>
    <w:p/>
    <w:p>
      <w:r>
        <w:t>──────────────────────────────────────────────────</w:t>
      </w:r>
    </w:p>
    <w:p/>
    <w:p>
      <w:r>
        <w:rPr>
          <w:rFonts w:ascii="Meiryo UI" w:hAnsi="Meiryo UI"/>
          <w:sz w:val="20"/>
        </w:rPr>
        <w:t>Q3. 現在の資材費高騰（ナフサ価格約2倍）に対する実行予算の影響</w:t>
      </w:r>
    </w:p>
    <w:p/>
    <w:p>
      <w:r>
        <w:rPr>
          <w:rFonts w:ascii="Meiryo UI" w:hAnsi="Meiryo UI"/>
          <w:sz w:val="20"/>
        </w:rPr>
        <w:t>2026年4月現在、ナフサ・鋼材・化学建材の価格が大幅に上昇しています。ブロックBの施工開始（2025年4月）以降、実行予算の採算性はどのように推移していますか。工事損失引当金の計上予定はありますでしょうか。</w:t>
      </w:r>
    </w:p>
    <w:p/>
    <w:p>
      <w:r>
        <w:t>──────────────────────────────────────────────────</w:t>
      </w:r>
    </w:p>
    <w:p/>
    <w:p>
      <w:r>
        <w:rPr>
          <w:rFonts w:ascii="Meiryo UI" w:hAnsi="Meiryo UI"/>
          <w:sz w:val="20"/>
        </w:rPr>
        <w:t>Q4. 工期（2025年4月〜2030年7月）中の資材調達戦略</w:t>
      </w:r>
    </w:p>
    <w:p/>
    <w:p>
      <w:r>
        <w:rPr>
          <w:rFonts w:ascii="Meiryo UI" w:hAnsi="Meiryo UI"/>
          <w:sz w:val="20"/>
        </w:rPr>
        <w:t>5年超の長期工事において、資材価格変動リスクをどのように管理されていますか。先物購入・長期調達契約・スライド条項の組み合わせについてお聞かせください。</w:t>
      </w:r>
    </w:p>
    <w:p/>
    <w:p>
      <w:r>
        <w:t>──────────────────────────────────────────────────</w:t>
      </w:r>
    </w:p>
    <w:p/>
    <w:p>
      <w:r>
        <w:rPr>
          <w:rFonts w:ascii="Meiryo UI" w:hAnsi="Meiryo UI"/>
          <w:sz w:val="20"/>
        </w:rPr>
        <w:t>Q5. 受注残¥84,863Mのうちブロック別利益率の見通し</w:t>
      </w:r>
    </w:p>
    <w:p/>
    <w:p>
      <w:r>
        <w:rPr>
          <w:rFonts w:ascii="Meiryo UI" w:hAnsi="Meiryo UI"/>
          <w:sz w:val="20"/>
        </w:rPr>
        <w:t>IR案件の完成工事総利益率の見通しは、社内全体平均（現在OPM約6.2%）と比較してどの程度の水準でしょうか。乖離がある場合、その理由と対応策をご説明ください。</w:t>
      </w:r>
    </w:p>
    <w:p/>
    <w:p>
      <w:r>
        <w:t>──────────────────────────────────────────────────</w:t>
      </w:r>
    </w:p>
    <w:p/>
    <w:p>
      <w:r>
        <w:rPr>
          <w:rFonts w:ascii="Meiryo UI" w:hAnsi="Meiryo UI"/>
          <w:sz w:val="20"/>
        </w:rPr>
        <w:t>竹村トレードカンパニー アナリストチーム 深井</w:t>
      </w:r>
    </w:p>
    <w:p>
      <w:r>
        <w:rPr>
          <w:rFonts w:ascii="Meiryo UI" w:hAnsi="Meiryo UI"/>
          <w:sz w:val="20"/>
        </w:rPr>
        <w:t>Email: fukai@takemura-trading.co.jp</w:t>
      </w:r>
    </w:p>
    <w:p/>
    <w:p>
      <w:r>
        <w:t>──────────────────────────────────────────────────</w:t>
      </w:r>
    </w:p>
    <w:p/>
    <w:p>
      <w:pPr>
        <w:pStyle w:val="Heading2"/>
      </w:pPr>
      <w:r>
        <w:rPr>
          <w:rFonts w:ascii="Meiryo UI" w:hAnsi="Meiryo UI"/>
          <w:color w:val="2E74B5"/>
        </w:rPr>
        <w:t>12. 判定変更の経緯と今後のトリガー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2026-04-06</w:t>
            </w:r>
          </w:p>
        </w:tc>
        <w:tc>
          <w:tcPr>
            <w:tcW w:type="dxa" w:w="3135"/>
          </w:tcPr>
          <w:p>
            <w:r>
              <w:rPr>
                <w:rFonts w:ascii="Meiryo UI" w:hAnsi="Meiryo UI"/>
                <w:sz w:val="18"/>
              </w:rPr>
              <w:t>BUY+82</w:t>
            </w:r>
          </w:p>
        </w:tc>
        <w:tc>
          <w:tcPr>
            <w:tcW w:type="dxa" w:w="3135"/>
          </w:tcPr>
          <w:p>
            <w:r>
              <w:rPr>
                <w:rFonts w:ascii="Meiryo UI" w:hAnsi="Meiryo UI"/>
                <w:sz w:val="18"/>
              </w:rPr>
              <w:t>初回DR・割安性・受注残評価</w:t>
            </w:r>
          </w:p>
        </w:tc>
      </w:tr>
      <w:tr>
        <w:tc>
          <w:tcPr>
            <w:tcW w:type="dxa" w:w="3135"/>
            <w:shd w:val="clear" w:color="auto" w:fill="DDEBF7"/>
          </w:tcPr>
          <w:p>
            <w:r>
              <w:rPr>
                <w:rFonts w:ascii="Meiryo UI" w:hAnsi="Meiryo UI"/>
                <w:sz w:val="18"/>
              </w:rPr>
              <w:t>2026-04-26</w:t>
            </w:r>
          </w:p>
        </w:tc>
        <w:tc>
          <w:tcPr>
            <w:tcW w:type="dxa" w:w="3135"/>
            <w:shd w:val="clear" w:color="auto" w:fill="DDEBF7"/>
          </w:tcPr>
          <w:p>
            <w:r>
              <w:rPr>
                <w:rFonts w:ascii="Meiryo UI" w:hAnsi="Meiryo UI"/>
                <w:sz w:val="18"/>
              </w:rPr>
              <w:t>BUY+82</w:t>
            </w:r>
          </w:p>
        </w:tc>
        <w:tc>
          <w:tcPr>
            <w:tcW w:type="dxa" w:w="3135"/>
            <w:shd w:val="clear" w:color="auto" w:fill="DDEBF7"/>
          </w:tcPr>
          <w:p>
            <w:r>
              <w:rPr>
                <w:rFonts w:ascii="Meiryo UI" w:hAnsi="Meiryo UI"/>
                <w:sz w:val="18"/>
              </w:rPr>
              <w:t>上方修正前・維持</w:t>
            </w:r>
          </w:p>
        </w:tc>
      </w:tr>
      <w:tr>
        <w:tc>
          <w:tcPr>
            <w:tcW w:type="dxa" w:w="3135"/>
          </w:tcPr>
          <w:p>
            <w:r>
              <w:rPr>
                <w:rFonts w:ascii="Meiryo UI" w:hAnsi="Meiryo UI"/>
                <w:sz w:val="18"/>
              </w:rPr>
              <w:t>2026-04-27早版</w:t>
            </w:r>
          </w:p>
        </w:tc>
        <w:tc>
          <w:tcPr>
            <w:tcW w:type="dxa" w:w="3135"/>
          </w:tcPr>
          <w:p>
            <w:r>
              <w:rPr>
                <w:rFonts w:ascii="Meiryo UI" w:hAnsi="Meiryo UI"/>
                <w:sz w:val="18"/>
              </w:rPr>
              <w:t>BUY+82</w:t>
            </w:r>
          </w:p>
        </w:tc>
        <w:tc>
          <w:tcPr>
            <w:tcW w:type="dxa" w:w="3135"/>
          </w:tcPr>
          <w:p>
            <w:r>
              <w:rPr>
                <w:rFonts w:ascii="Meiryo UI" w:hAnsi="Meiryo UI"/>
                <w:sz w:val="18"/>
              </w:rPr>
              <w:t>上方修正+37.5%反映</w:t>
            </w:r>
          </w:p>
        </w:tc>
      </w:tr>
      <w:tr>
        <w:tc>
          <w:tcPr>
            <w:tcW w:type="dxa" w:w="3135"/>
            <w:shd w:val="clear" w:color="auto" w:fill="DDEBF7"/>
          </w:tcPr>
          <w:p>
            <w:r>
              <w:rPr>
                <w:rFonts w:ascii="Meiryo UI" w:hAnsi="Meiryo UI"/>
                <w:sz w:val="18"/>
              </w:rPr>
              <w:t>2026-04-27修正版</w:t>
            </w:r>
          </w:p>
        </w:tc>
        <w:tc>
          <w:tcPr>
            <w:tcW w:type="dxa" w:w="3135"/>
            <w:shd w:val="clear" w:color="auto" w:fill="DDEBF7"/>
          </w:tcPr>
          <w:p>
            <w:r>
              <w:rPr>
                <w:rFonts w:ascii="Meiryo UI" w:hAnsi="Meiryo UI"/>
                <w:sz w:val="18"/>
              </w:rPr>
              <w:t>WATCH+52</w:t>
            </w:r>
          </w:p>
        </w:tc>
        <w:tc>
          <w:tcPr>
            <w:tcW w:type="dxa" w:w="3135"/>
            <w:shd w:val="clear" w:color="auto" w:fill="DDEBF7"/>
          </w:tcPr>
          <w:p>
            <w:r>
              <w:rPr>
                <w:rFonts w:ascii="Meiryo UI" w:hAnsi="Meiryo UI"/>
                <w:sz w:val="18"/>
              </w:rPr>
              <w:t>大阪IR JVリスク判明・コスト構造不確実</w:t>
            </w:r>
          </w:p>
        </w:tc>
      </w:tr>
    </w:tbl>
    <w:p/>
    <w:p>
      <w:pPr>
        <w:pStyle w:val="Heading3"/>
      </w:pPr>
      <w:r>
        <w:rPr>
          <w:rFonts w:ascii="Meiryo UI" w:hAnsi="Meiryo UI"/>
          <w:color w:val="2E74B5"/>
        </w:rPr>
        <w:t>再格上げトリガー（+62以上へ）</w:t>
      </w:r>
    </w:p>
    <w:p>
      <w:pPr>
        <w:pStyle w:val="ListBullet"/>
      </w:pPr>
      <w:r>
        <w:rPr>
          <w:rFonts w:ascii="Meiryo UI" w:hAnsi="Meiryo UI"/>
          <w:sz w:val="20"/>
        </w:rPr>
        <w:t>4/28決算で工事損失引当金ゼロ確認 → +5pt</w:t>
      </w:r>
    </w:p>
    <w:p>
      <w:pPr>
        <w:pStyle w:val="ListBullet"/>
      </w:pPr>
      <w:r>
        <w:rPr>
          <w:rFonts w:ascii="Meiryo UI" w:hAnsi="Meiryo UI"/>
          <w:sz w:val="20"/>
        </w:rPr>
        <w:t>FY2027 ガイダンスOPM ≥5.5% → +5pt</w:t>
      </w:r>
    </w:p>
    <w:p>
      <w:pPr>
        <w:pStyle w:val="ListBullet"/>
      </w:pPr>
      <w:r>
        <w:rPr>
          <w:rFonts w:ascii="Meiryo UI" w:hAnsi="Meiryo UI"/>
          <w:sz w:val="20"/>
        </w:rPr>
        <w:t>IR JVスライド条項あり（経営陣コメント） → +5pt</w:t>
      </w:r>
    </w:p>
    <w:p>
      <w:pPr>
        <w:pStyle w:val="ListBullet"/>
      </w:pPr>
      <w:r>
        <w:rPr>
          <w:rFonts w:ascii="Meiryo UI" w:hAnsi="Meiryo UI"/>
          <w:sz w:val="20"/>
        </w:rPr>
        <w:t>DPS増配発表（¥6→¥8以上） → +3pt</w:t>
      </w:r>
    </w:p>
    <w:p/>
    <w:p>
      <w:pPr>
        <w:pStyle w:val="Heading3"/>
      </w:pPr>
      <w:r>
        <w:rPr>
          <w:rFonts w:ascii="Meiryo UI" w:hAnsi="Meiryo UI"/>
          <w:color w:val="2E74B5"/>
        </w:rPr>
        <w:t>追加格下げトリガー（+35以下へ）</w:t>
      </w:r>
    </w:p>
    <w:p>
      <w:pPr>
        <w:pStyle w:val="ListBullet"/>
      </w:pPr>
      <w:r>
        <w:rPr>
          <w:rFonts w:ascii="Meiryo UI" w:hAnsi="Meiryo UI"/>
          <w:sz w:val="20"/>
        </w:rPr>
        <w:t>工事損失引当金¥200M超計上 → ▲10pt</w:t>
      </w:r>
    </w:p>
    <w:p>
      <w:pPr>
        <w:pStyle w:val="ListBullet"/>
      </w:pPr>
      <w:r>
        <w:rPr>
          <w:rFonts w:ascii="Meiryo UI" w:hAnsi="Meiryo UI"/>
          <w:sz w:val="20"/>
        </w:rPr>
        <w:t>FY2027 ガイダンスOPM ≤3.5% → ▲10pt</w:t>
      </w:r>
    </w:p>
    <w:p>
      <w:pPr>
        <w:pStyle w:val="ListBullet"/>
      </w:pPr>
      <w:r>
        <w:rPr>
          <w:rFonts w:ascii="Meiryo UI" w:hAnsi="Meiryo UI"/>
          <w:sz w:val="20"/>
        </w:rPr>
        <w:t>経営陣がIR採算性に懸念コメント → ▲5pt</w:t>
      </w:r>
    </w:p>
    <w:p/>
    <w:p>
      <w:r>
        <w:t>──────────────────────────────────────────────────</w:t>
      </w:r>
    </w:p>
    <w:p/>
    <w:p>
      <w:r>
        <w:rPr>
          <w:rFonts w:ascii="Meiryo UI" w:hAnsi="Meiryo UI"/>
          <w:sz w:val="20"/>
        </w:rPr>
        <w:t>Sources: MGM大阪 工事着手PR（2025-04-24）・日経新聞 大阪IR投資増額記事（2025-09-12）・建設エンジン「大阪IR建設工事が順調に始動」・skyskysky.net 大阪IR施工体制・南海辰村建設 業績予想修正（2026-04-27）・3カ年経営計画PDF（2025-03-28）・yfinance（2026-04-27）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