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[1899] 福田組</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[1899] 福田組</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福田組（1899.T）DeepResearch レポート</w:t>
      </w:r>
    </w:p>
    <w:p>
      <w:r>
        <w:rPr>
          <w:rFonts w:ascii="Meiryo UI" w:hAnsi="Meiryo UI"/>
          <w:sz w:val="20"/>
        </w:rPr>
        <w:t>作成者: 深井 / 竹村トレードカンパニー</w:t>
      </w:r>
    </w:p>
    <w:p>
      <w:r>
        <w:rPr>
          <w:rFonts w:ascii="Meiryo UI" w:hAnsi="Meiryo UI"/>
          <w:sz w:val="20"/>
        </w:rPr>
        <w:t>分析日: 2026年4月7日 | 現在株価: ¥8,640 | 取得: 2026-04-07 04:51 JST</w:t>
      </w:r>
    </w:p>
    <w:p/>
    <w:p>
      <w:r>
        <w:t>──────────────────────────────────────────────────</w:t>
      </w:r>
    </w:p>
    <w:p/>
    <w:p>
      <w:r>
        <w:rPr>
          <w:rFonts w:ascii="Meiryo UI" w:hAnsi="Meiryo UI"/>
          <w:sz w:val="20"/>
        </w:rPr>
        <w:t>&gt; ⚠️ データソース確認: 現在株価¥8,640・PBR 0.80倍・BPS ¥10,845・ROE 6.4%・PER 12.9倍・EPS ¥670はYahoo Finance（yfinance）リアルタイム取得値を唯一の正解として使用。学習データによる上書き禁止。Rf=2.386%（財務省日次 R8.4.3）を使用。</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社長指示重点分析（最優先）</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株式会社福田組</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1899（東証プライム）</w:t>
            </w:r>
          </w:p>
        </w:tc>
      </w:tr>
      <w:tr>
        <w:tc>
          <w:tcPr>
            <w:tcW w:type="dxa" w:w="4703"/>
          </w:tcPr>
          <w:p>
            <w:r>
              <w:rPr>
                <w:rFonts w:ascii="Meiryo UI" w:hAnsi="Meiryo UI"/>
                <w:sz w:val="18"/>
              </w:rPr>
              <w:t>本社</w:t>
            </w:r>
          </w:p>
        </w:tc>
        <w:tc>
          <w:tcPr>
            <w:tcW w:type="dxa" w:w="4703"/>
          </w:tcPr>
          <w:p>
            <w:r>
              <w:rPr>
                <w:rFonts w:ascii="Meiryo UI" w:hAnsi="Meiryo UI"/>
                <w:sz w:val="18"/>
              </w:rPr>
              <w:t>新潟県新潟市</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1931年（創業1897年）</w:t>
            </w:r>
          </w:p>
        </w:tc>
      </w:tr>
      <w:tr>
        <w:tc>
          <w:tcPr>
            <w:tcW w:type="dxa" w:w="4703"/>
          </w:tcPr>
          <w:p>
            <w:r>
              <w:rPr>
                <w:rFonts w:ascii="Meiryo UI" w:hAnsi="Meiryo UI"/>
                <w:sz w:val="18"/>
              </w:rPr>
              <w:t>事業エリア</w:t>
            </w:r>
          </w:p>
        </w:tc>
        <w:tc>
          <w:tcPr>
            <w:tcW w:type="dxa" w:w="4703"/>
          </w:tcPr>
          <w:p>
            <w:r>
              <w:rPr>
                <w:rFonts w:ascii="Meiryo UI" w:hAnsi="Meiryo UI"/>
                <w:sz w:val="18"/>
              </w:rPr>
              <w:t>北陸・新潟を中心に全国展開</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約1,800名（連結）</w:t>
            </w:r>
          </w:p>
        </w:tc>
      </w:tr>
      <w:tr>
        <w:tc>
          <w:tcPr>
            <w:tcW w:type="dxa" w:w="4703"/>
          </w:tcPr>
          <w:p>
            <w:r>
              <w:rPr>
                <w:rFonts w:ascii="Meiryo UI" w:hAnsi="Meiryo UI"/>
                <w:sz w:val="18"/>
              </w:rPr>
              <w:t>決算期</w:t>
            </w:r>
          </w:p>
        </w:tc>
        <w:tc>
          <w:tcPr>
            <w:tcW w:type="dxa" w:w="4703"/>
          </w:tcPr>
          <w:p>
            <w:r>
              <w:rPr>
                <w:rFonts w:ascii="Meiryo UI" w:hAnsi="Meiryo UI"/>
                <w:sz w:val="18"/>
              </w:rPr>
              <w:t>3月末</w:t>
            </w:r>
          </w:p>
        </w:tc>
      </w:tr>
      <w:tr>
        <w:tc>
          <w:tcPr>
            <w:tcW w:type="dxa" w:w="4703"/>
            <w:shd w:val="clear" w:color="auto" w:fill="DDEBF7"/>
          </w:tcPr>
          <w:p>
            <w:r>
              <w:rPr>
                <w:rFonts w:ascii="Meiryo UI" w:hAnsi="Meiryo UI"/>
                <w:sz w:val="18"/>
              </w:rPr>
              <w:t>特徴</w:t>
            </w:r>
          </w:p>
        </w:tc>
        <w:tc>
          <w:tcPr>
            <w:tcW w:type="dxa" w:w="4703"/>
            <w:shd w:val="clear" w:color="auto" w:fill="DDEBF7"/>
          </w:tcPr>
          <w:p>
            <w:r>
              <w:rPr>
                <w:rFonts w:ascii="Meiryo UI" w:hAnsi="Meiryo UI"/>
                <w:sz w:val="18"/>
              </w:rPr>
              <w:t>北陸・甲信越地盤の老舗ゼネコン。公共土木・建築に強みを持ち、能登半島地震復興需要の直接受益者候補</w:t>
            </w:r>
          </w:p>
        </w:tc>
      </w:tr>
    </w:tbl>
    <w:p/>
    <w:p>
      <w:pPr>
        <w:pStyle w:val="Heading2"/>
      </w:pPr>
      <w:r>
        <w:rPr>
          <w:rFonts w:ascii="Meiryo UI" w:hAnsi="Meiryo UI"/>
          <w:color w:val="2E74B5"/>
        </w:rPr>
        <w:t>1-2. セグメント構成</w:t>
      </w:r>
    </w:p>
    <w:p/>
    <w:p>
      <w:r>
        <w:rPr>
          <w:rFonts w:ascii="Meiryo UI" w:hAnsi="Meiryo UI"/>
          <w:sz w:val="20"/>
        </w:rPr>
        <w:t>福田組の事業構造は主に以下の3軸で構成される（公開情報・有価証券報告書ベース）。</w:t>
      </w:r>
    </w:p>
    <w:p/>
    <w:p>
      <w:pPr>
        <w:shd w:val="clear" w:color="auto" w:fill="F2F2F2"/>
      </w:pPr>
      <w:r>
        <w:rPr>
          <w:rFonts w:ascii="Courier New" w:hAnsi="Courier New"/>
          <w:sz w:val="16"/>
        </w:rPr>
        <w:t>売上高構成（推計ベース）</w:t>
        <w:br/>
        <w:t>─────────────────────────────</w:t>
        <w:br/>
        <w:t>建築工事        約55%  ← マンション・商業施設・官庁</w:t>
        <w:br/>
        <w:t>土木工事        約38%  ← 道路・橋梁・ダム・河川</w:t>
        <w:br/>
        <w:t>不動産・その他   約 7%  ← 賃貸・開発・用地保有益</w:t>
        <w:br/>
        <w:t>─────────────────────────────</w:t>
      </w:r>
    </w:p>
    <w:p/>
    <w:p>
      <w:r>
        <w:rPr>
          <w:rFonts w:ascii="Meiryo UI" w:hAnsi="Meiryo UI"/>
          <w:sz w:val="20"/>
        </w:rPr>
        <w:t>地域特性（重要）:</w:t>
      </w:r>
    </w:p>
    <w:p>
      <w:pPr>
        <w:pStyle w:val="ListBullet"/>
      </w:pPr>
      <w:r>
        <w:rPr>
          <w:rFonts w:ascii="Meiryo UI" w:hAnsi="Meiryo UI"/>
          <w:sz w:val="20"/>
        </w:rPr>
        <w:t>売上高の推定60〜65%が新潟県・北陸エリア起源</w:t>
      </w:r>
    </w:p>
    <w:p>
      <w:pPr>
        <w:pStyle w:val="ListBullet"/>
      </w:pPr>
      <w:r>
        <w:rPr>
          <w:rFonts w:ascii="Meiryo UI" w:hAnsi="Meiryo UI"/>
          <w:sz w:val="20"/>
        </w:rPr>
        <w:t>国交省・北陸地方整備局・新潟県・各市町村からの公共工事が安定した受注基盤</w:t>
      </w:r>
    </w:p>
    <w:p>
      <w:pPr>
        <w:pStyle w:val="ListBullet"/>
      </w:pPr>
      <w:r>
        <w:rPr>
          <w:rFonts w:ascii="Meiryo UI" w:hAnsi="Meiryo UI"/>
          <w:sz w:val="20"/>
        </w:rPr>
        <w:t>2024年1月能登半島地震→復興需要の直接受益ゾーンに位置する</w:t>
      </w:r>
    </w:p>
    <w:p/>
    <w:p>
      <w:pPr>
        <w:pStyle w:val="Heading2"/>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地域No.1ブランド</w:t>
            </w:r>
          </w:p>
        </w:tc>
        <w:tc>
          <w:tcPr>
            <w:tcW w:type="dxa" w:w="4703"/>
          </w:tcPr>
          <w:p>
            <w:r>
              <w:rPr>
                <w:rFonts w:ascii="Meiryo UI" w:hAnsi="Meiryo UI"/>
                <w:sz w:val="18"/>
              </w:rPr>
              <w:t>新潟・北陸圏では大林組・鹿島よりも地元自治体からの信頼度が高い</w:t>
            </w:r>
          </w:p>
        </w:tc>
      </w:tr>
      <w:tr>
        <w:tc>
          <w:tcPr>
            <w:tcW w:type="dxa" w:w="4703"/>
            <w:shd w:val="clear" w:color="auto" w:fill="DDEBF7"/>
          </w:tcPr>
          <w:p>
            <w:r>
              <w:rPr>
                <w:rFonts w:ascii="Meiryo UI" w:hAnsi="Meiryo UI"/>
                <w:sz w:val="18"/>
              </w:rPr>
              <w:t>公共工事ネットワーク</w:t>
            </w:r>
          </w:p>
        </w:tc>
        <w:tc>
          <w:tcPr>
            <w:tcW w:type="dxa" w:w="4703"/>
            <w:shd w:val="clear" w:color="auto" w:fill="DDEBF7"/>
          </w:tcPr>
          <w:p>
            <w:r>
              <w:rPr>
                <w:rFonts w:ascii="Meiryo UI" w:hAnsi="Meiryo UI"/>
                <w:sz w:val="18"/>
              </w:rPr>
              <w:t>国交省・県・市町村との長年の関係性→競争入札で有利</w:t>
            </w:r>
          </w:p>
        </w:tc>
      </w:tr>
      <w:tr>
        <w:tc>
          <w:tcPr>
            <w:tcW w:type="dxa" w:w="4703"/>
          </w:tcPr>
          <w:p>
            <w:r>
              <w:rPr>
                <w:rFonts w:ascii="Meiryo UI" w:hAnsi="Meiryo UI"/>
                <w:sz w:val="18"/>
              </w:rPr>
              <w:t>技術蓄積（土木）</w:t>
            </w:r>
          </w:p>
        </w:tc>
        <w:tc>
          <w:tcPr>
            <w:tcW w:type="dxa" w:w="4703"/>
          </w:tcPr>
          <w:p>
            <w:r>
              <w:rPr>
                <w:rFonts w:ascii="Meiryo UI" w:hAnsi="Meiryo UI"/>
                <w:sz w:val="18"/>
              </w:rPr>
              <w:t>ダム・トンネル・橋梁の難工事対応能力→スーパーゼネコンとの差別化</w:t>
            </w:r>
          </w:p>
        </w:tc>
      </w:tr>
      <w:tr>
        <w:tc>
          <w:tcPr>
            <w:tcW w:type="dxa" w:w="4703"/>
            <w:shd w:val="clear" w:color="auto" w:fill="DDEBF7"/>
          </w:tcPr>
          <w:p>
            <w:r>
              <w:rPr>
                <w:rFonts w:ascii="Meiryo UI" w:hAnsi="Meiryo UI"/>
                <w:sz w:val="18"/>
              </w:rPr>
              <w:t>不動産資産</w:t>
            </w:r>
          </w:p>
        </w:tc>
        <w:tc>
          <w:tcPr>
            <w:tcW w:type="dxa" w:w="4703"/>
            <w:shd w:val="clear" w:color="auto" w:fill="DDEBF7"/>
          </w:tcPr>
          <w:p>
            <w:r>
              <w:rPr>
                <w:rFonts w:ascii="Meiryo UI" w:hAnsi="Meiryo UI"/>
                <w:sz w:val="18"/>
              </w:rPr>
              <w:t>新潟市中心部・北陸主要都市への土地保有（NAV分析で後述）</w:t>
            </w:r>
          </w:p>
        </w:tc>
      </w:tr>
      <w:tr>
        <w:tc>
          <w:tcPr>
            <w:tcW w:type="dxa" w:w="4703"/>
          </w:tcPr>
          <w:p>
            <w:r>
              <w:rPr>
                <w:rFonts w:ascii="Meiryo UI" w:hAnsi="Meiryo UI"/>
                <w:sz w:val="18"/>
              </w:rPr>
              <w:t>財務健全性</w:t>
            </w:r>
          </w:p>
        </w:tc>
        <w:tc>
          <w:tcPr>
            <w:tcW w:type="dxa" w:w="4703"/>
          </w:tcPr>
          <w:p>
            <w:r>
              <w:rPr>
                <w:rFonts w:ascii="Meiryo UI" w:hAnsi="Meiryo UI"/>
                <w:sz w:val="18"/>
              </w:rPr>
              <w:t>自己資本比率高水準→大型プロジェクト参画時の保証能力</w:t>
            </w:r>
          </w:p>
        </w:tc>
      </w:tr>
    </w:tbl>
    <w:p/>
    <w:p>
      <w:pPr>
        <w:pStyle w:val="Heading2"/>
      </w:pPr>
      <w:r>
        <w:rPr>
          <w:rFonts w:ascii="Meiryo UI" w:hAnsi="Meiryo UI"/>
          <w:color w:val="2E74B5"/>
        </w:rPr>
        <w:t>1-4. 直近カタリスト</w:t>
      </w:r>
    </w:p>
    <w:p/>
    <w:p>
      <w:pPr>
        <w:shd w:val="clear" w:color="auto" w:fill="F2F2F2"/>
      </w:pPr>
      <w:r>
        <w:rPr>
          <w:rFonts w:ascii="Courier New" w:hAnsi="Courier New"/>
          <w:sz w:val="16"/>
        </w:rPr>
        <w:t>【ポジティブカタリスト】</w:t>
        <w:br/>
        <w:t>✅ 能登半島復興工事本格化（2025〜2027年：インフラ・住宅再建）</w:t>
        <w:br/>
        <w:t>✅ 北陸新幹線延伸（敦賀〜大阪）関連土木工事受注期待</w:t>
        <w:br/>
        <w:t>✅ 政府インフラ投資予算拡大（防災・国土強靭化計画）</w:t>
        <w:br/>
        <w:t>✅ 建設業2024年問題後の人件費適正化→価格転嫁加速</w:t>
        <w:br/>
        <w:t>✅ 低PBR企業への東証改善要請継続（株主還元拡充圧力）</w:t>
        <w:br/>
        <w:t>✅ WTI原油 $112.79→アスファルト・重油系資材コスト一部上昇リスクあるが</w:t>
        <w:br/>
        <w:t xml:space="preserve">   公共工事単価改定でカバー可能な水準</w:t>
        <w:br/>
        <w:br/>
        <w:t>【ネガティブカタリスト】</w:t>
        <w:br/>
        <w:t>⚠️ 鉄鋼・セメント・人件費の高止まり（コスト構造変化）</w:t>
        <w:br/>
        <w:t>⚠️ 入札競争激化（準大手ゼネコンの地方展開）</w:t>
        <w:br/>
        <w:t>⚠️ 受注工事の採算悪化（固定価格契約での資材高騰転嫁困難案件）</w:t>
        <w:br/>
        <w:t>⚠️ 人手不足→工期延長リスク</w:t>
      </w:r>
    </w:p>
    <w:p/>
    <w:p>
      <w:r>
        <w:t>──────────────────────────────────────────────────</w:t>
      </w:r>
    </w:p>
    <w:p/>
    <w:p>
      <w:pPr>
        <w:pStyle w:val="Heading1"/>
      </w:pPr>
      <w:r>
        <w:rPr>
          <w:rFonts w:ascii="Meiryo UI" w:hAnsi="Meiryo UI"/>
          <w:color w:val="1F3864"/>
        </w:rPr>
        <w:t>2. 社長指示重点分析（最優先セクション）</w:t>
      </w:r>
    </w:p>
    <w:p/>
    <w:p>
      <w:r>
        <w:rPr>
          <w:rFonts w:ascii="Meiryo UI" w:hAnsi="Meiryo UI"/>
          <w:sz w:val="20"/>
        </w:rPr>
        <w:t>&gt; 社長指示: 「低PBR・高め自己資本比率。低PBRの原因解剖：建設コスト上昇が利益率を圧迫しているか否か。構造的問題かサイクル的問題かを切り分け。受注残・完成工事高の推移と利益率改善シナリオ。高自己資本比率の純資産質解剖。不動産含み益NAV算出必須。自社株買い・配当余力と株主還元加速シナリオ。DCF FairValue算出（受注回復シナリオ別）。「低PBR=本物の割安」か「純資産毀損リスク」かの最終判定。」</w:t>
      </w:r>
    </w:p>
    <w:p/>
    <w:p>
      <w:r>
        <w:t>──────────────────────────────────────────────────</w:t>
      </w:r>
    </w:p>
    <w:p/>
    <w:p>
      <w:pPr>
        <w:pStyle w:val="Heading2"/>
      </w:pPr>
      <w:r>
        <w:rPr>
          <w:rFonts w:ascii="Meiryo UI" w:hAnsi="Meiryo UI"/>
          <w:color w:val="2E74B5"/>
        </w:rPr>
        <w:t>2-1. 低PBRの原因解剖：構造的問題 vs サイクル的問題</w:t>
      </w:r>
    </w:p>
    <w:p/>
    <w:p>
      <w:pPr>
        <w:pStyle w:val="Heading3"/>
      </w:pPr>
      <w:r>
        <w:rPr>
          <w:rFonts w:ascii="Meiryo UI" w:hAnsi="Meiryo UI"/>
          <w:color w:val="2E74B5"/>
        </w:rPr>
        <w:t>現状確認</w:t>
      </w:r>
    </w:p>
    <w:p>
      <w:pPr>
        <w:shd w:val="clear" w:color="auto" w:fill="F2F2F2"/>
      </w:pPr>
      <w:r>
        <w:rPr>
          <w:rFonts w:ascii="Courier New" w:hAnsi="Courier New"/>
          <w:sz w:val="16"/>
        </w:rPr>
        <w:t>PBR:   0.80倍（リアルタイム取得値）</w:t>
        <w:br/>
        <w:t>BPS:   ¥10,845</w:t>
        <w:br/>
        <w:t>現在株価: ¥8,640</w:t>
        <w:br/>
        <w:t>純資産ディスカウント: ▲¥2,205/株（▲20.3%）</w:t>
      </w:r>
    </w:p>
    <w:p/>
    <w:p>
      <w:pPr>
        <w:pStyle w:val="Heading3"/>
      </w:pPr>
      <w:r>
        <w:rPr>
          <w:rFonts w:ascii="Meiryo UI" w:hAnsi="Meiryo UI"/>
          <w:color w:val="2E74B5"/>
        </w:rPr>
        <w:t>建設コスト上昇の実態分析</w:t>
      </w:r>
    </w:p>
    <w:p/>
    <w:p>
      <w:r>
        <w:rPr>
          <w:rFonts w:ascii="Meiryo UI" w:hAnsi="Meiryo UI"/>
          <w:sz w:val="20"/>
        </w:rPr>
        <w:t>建設コスト上昇が利益率を圧迫している証拠構造を以下で解剖する。</w:t>
      </w:r>
    </w:p>
    <w:p/>
    <w:p>
      <w:pPr>
        <w:pStyle w:val="Heading4"/>
      </w:pPr>
      <w:r>
        <w:rPr>
          <w:rFonts w:ascii="Meiryo UI" w:hAnsi="Meiryo UI"/>
          <w:color w:val="2E74B5"/>
        </w:rPr>
        <w:t>A) コスト上昇の内訳（業界データ）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コスト項目</w:t>
            </w:r>
          </w:p>
        </w:tc>
        <w:tc>
          <w:tcPr>
            <w:tcW w:type="dxa" w:w="2351"/>
            <w:shd w:val="clear" w:color="auto" w:fill="2E74B5"/>
          </w:tcPr>
          <w:p>
            <w:r>
              <w:rPr>
                <w:rFonts w:ascii="Meiryo UI" w:hAnsi="Meiryo UI"/>
                <w:b/>
                <w:color w:val="FFFFFF"/>
                <w:sz w:val="18"/>
              </w:rPr>
              <w:t>上昇率（2020年比）</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転嫁難易度</w:t>
            </w:r>
          </w:p>
        </w:tc>
      </w:tr>
      <w:tr>
        <w:tc>
          <w:tcPr>
            <w:tcW w:type="dxa" w:w="2351"/>
          </w:tcPr>
          <w:p>
            <w:r>
              <w:rPr>
                <w:rFonts w:ascii="Meiryo UI" w:hAnsi="Meiryo UI"/>
                <w:sz w:val="18"/>
              </w:rPr>
              <w:t>鉄鋼（H形鋼・鉄筋）</w:t>
            </w:r>
          </w:p>
        </w:tc>
        <w:tc>
          <w:tcPr>
            <w:tcW w:type="dxa" w:w="2351"/>
          </w:tcPr>
          <w:p>
            <w:r>
              <w:rPr>
                <w:rFonts w:ascii="Meiryo UI" w:hAnsi="Meiryo UI"/>
                <w:sz w:val="18"/>
              </w:rPr>
              <w:t>+35〜45%</w:t>
            </w:r>
          </w:p>
        </w:tc>
        <w:tc>
          <w:tcPr>
            <w:tcW w:type="dxa" w:w="2351"/>
          </w:tcPr>
          <w:p>
            <w:r>
              <w:rPr>
                <w:rFonts w:ascii="Meiryo UI" w:hAnsi="Meiryo UI"/>
                <w:sz w:val="18"/>
              </w:rPr>
              <w:t>★★★★</w:t>
            </w:r>
          </w:p>
        </w:tc>
        <w:tc>
          <w:tcPr>
            <w:tcW w:type="dxa" w:w="2351"/>
          </w:tcPr>
          <w:p>
            <w:r>
              <w:rPr>
                <w:rFonts w:ascii="Meiryo UI" w:hAnsi="Meiryo UI"/>
                <w:sz w:val="18"/>
              </w:rPr>
              <w:t>中（公共工事は単価改定あり）</w:t>
            </w:r>
          </w:p>
        </w:tc>
      </w:tr>
      <w:tr>
        <w:tc>
          <w:tcPr>
            <w:tcW w:type="dxa" w:w="2351"/>
            <w:shd w:val="clear" w:color="auto" w:fill="DDEBF7"/>
          </w:tcPr>
          <w:p>
            <w:r>
              <w:rPr>
                <w:rFonts w:ascii="Meiryo UI" w:hAnsi="Meiryo UI"/>
                <w:sz w:val="18"/>
              </w:rPr>
              <w:t>セメント・コンクリート</w:t>
            </w:r>
          </w:p>
        </w:tc>
        <w:tc>
          <w:tcPr>
            <w:tcW w:type="dxa" w:w="2351"/>
            <w:shd w:val="clear" w:color="auto" w:fill="DDEBF7"/>
          </w:tcPr>
          <w:p>
            <w:r>
              <w:rPr>
                <w:rFonts w:ascii="Meiryo UI" w:hAnsi="Meiryo UI"/>
                <w:sz w:val="18"/>
              </w:rPr>
              <w:t>+20〜30%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労務費（大工・鳶・型枠）</w:t>
            </w:r>
          </w:p>
        </w:tc>
        <w:tc>
          <w:tcPr>
            <w:tcW w:type="dxa" w:w="2351"/>
          </w:tcPr>
          <w:p>
            <w:r>
              <w:rPr>
                <w:rFonts w:ascii="Meiryo UI" w:hAnsi="Meiryo UI"/>
                <w:sz w:val="18"/>
              </w:rPr>
              <w:t>+25〜40%</w:t>
            </w:r>
          </w:p>
        </w:tc>
        <w:tc>
          <w:tcPr>
            <w:tcW w:type="dxa" w:w="2351"/>
          </w:tcPr>
          <w:p>
            <w:r>
              <w:rPr>
                <w:rFonts w:ascii="Meiryo UI" w:hAnsi="Meiryo UI"/>
                <w:sz w:val="18"/>
              </w:rPr>
              <w:t>★★★★★</w:t>
            </w:r>
          </w:p>
        </w:tc>
        <w:tc>
          <w:tcPr>
            <w:tcW w:type="dxa" w:w="2351"/>
          </w:tcPr>
          <w:p>
            <w:r>
              <w:rPr>
                <w:rFonts w:ascii="Meiryo UI" w:hAnsi="Meiryo UI"/>
                <w:sz w:val="18"/>
              </w:rPr>
              <w:t>低（民間契約では困難）</w:t>
            </w:r>
          </w:p>
        </w:tc>
      </w:tr>
      <w:tr>
        <w:tc>
          <w:tcPr>
            <w:tcW w:type="dxa" w:w="2351"/>
            <w:shd w:val="clear" w:color="auto" w:fill="DDEBF7"/>
          </w:tcPr>
          <w:p>
            <w:r>
              <w:rPr>
                <w:rFonts w:ascii="Meiryo UI" w:hAnsi="Meiryo UI"/>
                <w:sz w:val="18"/>
              </w:rPr>
              <w:t>アスファルト・重油系</w:t>
            </w:r>
          </w:p>
        </w:tc>
        <w:tc>
          <w:tcPr>
            <w:tcW w:type="dxa" w:w="2351"/>
            <w:shd w:val="clear" w:color="auto" w:fill="DDEBF7"/>
          </w:tcPr>
          <w:p>
            <w:r>
              <w:rPr>
                <w:rFonts w:ascii="Meiryo UI" w:hAnsi="Meiryo UI"/>
                <w:sz w:val="18"/>
              </w:rPr>
              <w:t>+40〜55%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高（公共単価連動）</w:t>
            </w:r>
          </w:p>
        </w:tc>
      </w:tr>
      <w:tr>
        <w:tc>
          <w:tcPr>
            <w:tcW w:type="dxa" w:w="2351"/>
          </w:tcPr>
          <w:p>
            <w:r>
              <w:rPr>
                <w:rFonts w:ascii="Meiryo UI" w:hAnsi="Meiryo UI"/>
                <w:sz w:val="18"/>
              </w:rPr>
              <w:t>木材・合板</w:t>
            </w:r>
          </w:p>
        </w:tc>
        <w:tc>
          <w:tcPr>
            <w:tcW w:type="dxa" w:w="2351"/>
          </w:tcPr>
          <w:p>
            <w:r>
              <w:rPr>
                <w:rFonts w:ascii="Meiryo UI" w:hAnsi="Meiryo UI"/>
                <w:sz w:val="18"/>
              </w:rPr>
              <w:t>+20〜35%（一部落ち着き）</w:t>
            </w:r>
          </w:p>
        </w:tc>
        <w:tc>
          <w:tcPr>
            <w:tcW w:type="dxa" w:w="2351"/>
          </w:tcPr>
          <w:p>
            <w:r>
              <w:rPr>
                <w:rFonts w:ascii="Meiryo UI" w:hAnsi="Meiryo UI"/>
                <w:sz w:val="18"/>
              </w:rPr>
              <w:t>★★</w:t>
            </w:r>
          </w:p>
        </w:tc>
        <w:tc>
          <w:tcPr>
            <w:tcW w:type="dxa" w:w="2351"/>
          </w:tcPr>
          <w:p>
            <w:r>
              <w:rPr>
                <w:rFonts w:ascii="Meiryo UI" w:hAnsi="Meiryo UI"/>
                <w:sz w:val="18"/>
              </w:rPr>
              <w:t>中</w:t>
            </w:r>
          </w:p>
        </w:tc>
      </w:tr>
      <w:tr>
        <w:tc>
          <w:tcPr>
            <w:tcW w:type="dxa" w:w="2351"/>
            <w:shd w:val="clear" w:color="auto" w:fill="DDEBF7"/>
          </w:tcPr>
          <w:p>
            <w:r>
              <w:rPr>
                <w:rFonts w:ascii="Meiryo UI" w:hAnsi="Meiryo UI"/>
                <w:sz w:val="18"/>
              </w:rPr>
              <w:t>設備・電気機器</w:t>
            </w:r>
          </w:p>
        </w:tc>
        <w:tc>
          <w:tcPr>
            <w:tcW w:type="dxa" w:w="2351"/>
            <w:shd w:val="clear" w:color="auto" w:fill="DDEBF7"/>
          </w:tcPr>
          <w:p>
            <w:r>
              <w:rPr>
                <w:rFonts w:ascii="Meiryo UI" w:hAnsi="Meiryo UI"/>
                <w:sz w:val="18"/>
              </w:rPr>
              <w:t>+15〜25%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低〜中</w:t>
            </w:r>
          </w:p>
        </w:tc>
      </w:tr>
    </w:tbl>
    <w:p/>
    <w:p>
      <w:r>
        <w:rPr>
          <w:rFonts w:ascii="Meiryo UI" w:hAnsi="Meiryo UI"/>
          <w:sz w:val="20"/>
        </w:rPr>
        <w:t>WTI原油$112.79は建設用重機燃料・アスファルト原料コストに上昇圧力。ただし公共工事のインフレスライド条項で一定程度カバーされる。</w:t>
      </w:r>
    </w:p>
    <w:p/>
    <w:p>
      <w:pPr>
        <w:pStyle w:val="Heading4"/>
      </w:pPr>
      <w:r>
        <w:rPr>
          <w:rFonts w:ascii="Meiryo UI" w:hAnsi="Meiryo UI"/>
          <w:color w:val="2E74B5"/>
        </w:rPr>
        <w:t>B) 構造的問題 vs サイクル的問題の判定マトリックス</w:t>
      </w:r>
    </w:p>
    <w:p/>
    <w:p>
      <w:pPr>
        <w:shd w:val="clear" w:color="auto" w:fill="F2F2F2"/>
      </w:pPr>
      <w:r>
        <w:rPr>
          <w:rFonts w:ascii="Courier New" w:hAnsi="Courier New"/>
          <w:sz w:val="16"/>
        </w:rPr>
        <w:t>┌─────────────────────────────────────────────────────┐</w:t>
        <w:br/>
        <w:t>│           深井判定：「サイクル的問題が主因、構造的問題は副因」   │</w:t>
        <w:br/>
        <w:t>└─────────────────────────────────────────────────────┘</w:t>
        <w:br/>
        <w:br/>
        <w:t>【サイクル的問題（回復可能）】</w:t>
        <w:br/>
        <w:t>────────────────────────────────</w:t>
        <w:br/>
        <w:t>✓ 資材高騰→公共工事単価改定ラグ（1〜2年で解消）</w:t>
        <w:br/>
        <w:t>✓ 受注した工事の採算悪化（フロー問題：新規受注から改善）</w:t>
        <w:br/>
        <w:t>✓ 2024年問題による工期延長コスト（2025年以降は適正化）</w:t>
        <w:br/>
        <w:t>✓ 金属・セメント価格の一部高原回復</w:t>
        <w:br/>
        <w:t>✓ 能登復興→受注量増加で固定費吸収効率改善</w:t>
        <w:br/>
        <w:br/>
        <w:t>【構造的問題（長期課題）】</w:t>
        <w:br/>
        <w:t>────────────────────────────────</w:t>
        <w:br/>
        <w:t>△ 少子化による建設技術者の慢性不足（長期的コスト上昇圧力）</w:t>
        <w:br/>
        <w:t>△ 地方ゼネコンの競争激化（準大手の地方侵食）</w:t>
        <w:br/>
        <w:t>△ 環境規制（カーボンニュートラル対応投資必要）</w:t>
        <w:br/>
        <w:br/>
        <w:t>【判定根拠】</w:t>
        <w:br/>
        <w:t>ROE 6.4% → 資本コスト(Re推定6〜8%)との乖離が小さい</w:t>
        <w:br/>
        <w:t>→ 純資産毀損ではなく「利益率の一時的圧縮」が主因</w:t>
        <w:br/>
        <w:t>→ 受注量・価格転嫁が改善すれば2〜3年でROE8〜10%回復射程</w:t>
      </w:r>
    </w:p>
    <w:p/>
    <w:p>
      <w:pPr>
        <w:pStyle w:val="Heading3"/>
      </w:pPr>
      <w:r>
        <w:rPr>
          <w:rFonts w:ascii="Meiryo UI" w:hAnsi="Meiryo UI"/>
          <w:color w:val="2E74B5"/>
        </w:rPr>
        <w:t>低PBRの真の原因構造</w:t>
      </w:r>
    </w:p>
    <w:p/>
    <w:p>
      <w:pPr>
        <w:shd w:val="clear" w:color="auto" w:fill="F2F2F2"/>
      </w:pPr>
      <w:r>
        <w:rPr>
          <w:rFonts w:ascii="Courier New" w:hAnsi="Courier New"/>
          <w:sz w:val="16"/>
        </w:rPr>
        <w:t>低PBR 0.80倍の原因ツリー</w:t>
        <w:br/>
        <w:t>│</w:t>
        <w:br/>
        <w:t>├─① 利益率の一時的圧縮（サイクル的・70%ウエイト）</w:t>
        <w:br/>
        <w:t>│   └─建設コスト上昇×価格転嫁ラグ→営業利益率3〜4%台</w:t>
        <w:br/>
        <w:t>│</w:t>
        <w:br/>
        <w:t>├─② 資本効率の低さ（構造的・20%ウエイト）</w:t>
        <w:br/>
        <w:t>│   └─ROE 6.4% &lt; 株主資本コスト推定6.5〜7.5%</w:t>
        <w:br/>
        <w:t>│     →PBR=ROE/Re の理論上1.0倍未満は合理的</w:t>
        <w:br/>
        <w:t>│</w:t>
        <w:br/>
        <w:t>└─③ 情報開示・IR戦略の弱さ（構造的・10%ウエイト）</w:t>
        <w:br/>
        <w:t xml:space="preserve">    └─不動産含み益・NAVの未開示</w:t>
        <w:br/>
        <w:t xml:space="preserve">      アクティビスト未介入→株主還元加速への外部圧力なし</w:t>
      </w:r>
    </w:p>
    <w:p/>
    <w:p>
      <w:r>
        <w:rPr>
          <w:rFonts w:ascii="Meiryo UI" w:hAnsi="Meiryo UI"/>
          <w:sz w:val="20"/>
        </w:rPr>
        <w:t>深井コメント: PBR 0.80倍の最大要因は「建設コスト上昇による一時的な利益率圧縮」と「ROEが資本コストをわずかに下回る構造」の複合。純資産の質自体は悪くなく、むしろ含み益を内包する可能性が高い。</w:t>
      </w:r>
    </w:p>
    <w:p/>
    <w:p>
      <w:r>
        <w:t>──────────────────────────────────────────────────</w:t>
      </w:r>
    </w:p>
    <w:p/>
    <w:p>
      <w:pPr>
        <w:pStyle w:val="Heading2"/>
      </w:pPr>
      <w:r>
        <w:rPr>
          <w:rFonts w:ascii="Meiryo UI" w:hAnsi="Meiryo UI"/>
          <w:color w:val="2E74B5"/>
        </w:rPr>
        <w:t>2-2. 受注残・完成工事高の推移と利益率改善シナリオ</w:t>
      </w:r>
    </w:p>
    <w:p/>
    <w:p>
      <w:pPr>
        <w:pStyle w:val="Heading3"/>
      </w:pPr>
      <w:r>
        <w:rPr>
          <w:rFonts w:ascii="Meiryo UI" w:hAnsi="Meiryo UI"/>
          <w:color w:val="2E74B5"/>
        </w:rPr>
        <w:t>受注動向の構造分析（推計ベース）</w:t>
      </w:r>
    </w:p>
    <w:p/>
    <w:p>
      <w:pPr>
        <w:shd w:val="clear" w:color="auto" w:fill="F2F2F2"/>
      </w:pPr>
      <w:r>
        <w:rPr>
          <w:rFonts w:ascii="Courier New" w:hAnsi="Courier New"/>
          <w:sz w:val="16"/>
        </w:rPr>
        <w:t>完成工事高推移（推計・億円）</w:t>
        <w:br/>
        <w:t>FY2022: 約1,200億円  営業利益率: 推定3.5%</w:t>
        <w:br/>
        <w:t>FY2023: 約1,280億円  営業利益率: 推定3.2%（コスト高騰の底）</w:t>
        <w:br/>
        <w:t>FY2024: 約1,350億円  営業利益率: 推定3.8%</w:t>
        <w:br/>
        <w:t>FY2025E: 約1,450億円  営業利益率: 推定4.2〜4.8%（能登復興本格化）</w:t>
        <w:br/>
        <w:t>FY2026E: 約1,550億円  営業利益率: 推定4.5〜5.5%（改善シナリオ）</w:t>
      </w:r>
    </w:p>
    <w:p/>
    <w:p>
      <w:pPr>
        <w:pStyle w:val="Heading3"/>
      </w:pPr>
      <w:r>
        <w:rPr>
          <w:rFonts w:ascii="Meiryo UI" w:hAnsi="Meiryo UI"/>
          <w:color w:val="2E74B5"/>
        </w:rPr>
        <w:t>利益率改善の3大ドライバー</w:t>
      </w:r>
    </w:p>
    <w:p/>
    <w:p>
      <w:pPr>
        <w:pStyle w:val="Heading4"/>
      </w:pPr>
      <w:r>
        <w:rPr>
          <w:rFonts w:ascii="Meiryo UI" w:hAnsi="Meiryo UI"/>
          <w:color w:val="2E74B5"/>
        </w:rPr>
        <w:t>ドライバー①：能登半島復興需要</w:t>
      </w:r>
    </w:p>
    <w:p>
      <w:pPr>
        <w:shd w:val="clear" w:color="auto" w:fill="F2F2F2"/>
      </w:pPr>
      <w:r>
        <w:rPr>
          <w:rFonts w:ascii="Courier New" w:hAnsi="Courier New"/>
          <w:sz w:val="16"/>
        </w:rPr>
        <w:t>【規模試算】</w:t>
        <w:br/>
        <w:t>能登復興関連公共工事総額: 推定1〜2兆円（2024〜2028年）</w:t>
        <w:br/>
        <w:t>福田組の受注シェア推定: 北陸・新潟地域実績から5〜10%</w:t>
        <w:br/>
        <w:t>→ 福田組受注寄与: 500億〜2,000億円（5年間）</w:t>
        <w:br/>
        <w:t>→ 年間100〜400億円の追加受注ポテンシャル</w:t>
        <w:br/>
        <w:br/>
        <w:t>公共工事特性: インフレスライド条項付き→資材高騰を単価に転嫁可能</w:t>
        <w:br/>
        <w:t>→ 利益率改善効果: +0.5〜1.5%pt</w:t>
      </w:r>
    </w:p>
    <w:p/>
    <w:p>
      <w:pPr>
        <w:pStyle w:val="Heading4"/>
      </w:pPr>
      <w:r>
        <w:rPr>
          <w:rFonts w:ascii="Meiryo UI" w:hAnsi="Meiryo UI"/>
          <w:color w:val="2E74B5"/>
        </w:rPr>
        <w:t>ドライバー②：公共工事単価改定の浸透</w:t>
      </w:r>
    </w:p>
    <w:p>
      <w:pPr>
        <w:shd w:val="clear" w:color="auto" w:fill="F2F2F2"/>
      </w:pPr>
      <w:r>
        <w:rPr>
          <w:rFonts w:ascii="Courier New" w:hAnsi="Courier New"/>
          <w:sz w:val="16"/>
        </w:rPr>
        <w:t>国交省の設計労務単価改定: 2023〜2025年で累計+15〜20%</w:t>
        <w:br/>
        <w:t>→ 受注価格への転嫁が2025年以降受注分から本格反映</w:t>
        <w:br/>
        <w:t>→ 既受注分の採算悪化から新規受注での採算改善へのターン</w:t>
        <w:br/>
        <w:t>→ 利益率改善効果: +0.3〜0.8%pt</w:t>
      </w:r>
    </w:p>
    <w:p/>
    <w:p>
      <w:pPr>
        <w:pStyle w:val="Heading4"/>
      </w:pPr>
      <w:r>
        <w:rPr>
          <w:rFonts w:ascii="Meiryo UI" w:hAnsi="Meiryo UI"/>
          <w:color w:val="2E74B5"/>
        </w:rPr>
        <w:t>ドライバー③：北陸新幹線・国土強靭化</w:t>
      </w:r>
    </w:p>
    <w:p>
      <w:pPr>
        <w:shd w:val="clear" w:color="auto" w:fill="F2F2F2"/>
      </w:pPr>
      <w:r>
        <w:rPr>
          <w:rFonts w:ascii="Courier New" w:hAnsi="Courier New"/>
          <w:sz w:val="16"/>
        </w:rPr>
        <w:t>北陸新幹線（敦賀〜大阪）: 総工費推定5〜10兆円</w:t>
        <w:br/>
        <w:t>→ トンネル・土木工事での参画機会</w:t>
        <w:br/>
        <w:t>防災・国土強靭化計画: 政府予算10兆円規模（2024〜2033年）</w:t>
        <w:br/>
        <w:t>→ 河川・道路・橋梁改修の安定受注</w:t>
        <w:br/>
        <w:t>→ 利益率改善効果: +0.2〜0.5%pt</w:t>
      </w:r>
    </w:p>
    <w:p/>
    <w:p>
      <w:pPr>
        <w:pStyle w:val="Heading3"/>
      </w:pPr>
      <w:r>
        <w:rPr>
          <w:rFonts w:ascii="Meiryo UI" w:hAnsi="Meiryo UI"/>
          <w:color w:val="2E74B5"/>
        </w:rPr>
        <w:t>利益率改善シナリオサマリー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営業利益率</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弱気（現状継続）</w:t>
            </w:r>
          </w:p>
        </w:tc>
        <w:tc>
          <w:tcPr>
            <w:tcW w:type="dxa" w:w="3135"/>
          </w:tcPr>
          <w:p>
            <w:r>
              <w:rPr>
                <w:rFonts w:ascii="Meiryo UI" w:hAnsi="Meiryo UI"/>
                <w:sz w:val="18"/>
              </w:rPr>
              <w:t>3.0〜3.5%</w:t>
            </w:r>
          </w:p>
        </w:tc>
        <w:tc>
          <w:tcPr>
            <w:tcW w:type="dxa" w:w="3135"/>
          </w:tcPr>
          <w:p>
            <w:r>
              <w:rPr>
                <w:rFonts w:ascii="Meiryo UI" w:hAnsi="Meiryo UI"/>
                <w:sz w:val="18"/>
              </w:rPr>
              <w:t>コスト高騰継続、価格転嫁困難</w:t>
            </w:r>
          </w:p>
        </w:tc>
      </w:tr>
      <w:tr>
        <w:tc>
          <w:tcPr>
            <w:tcW w:type="dxa" w:w="3135"/>
            <w:shd w:val="clear" w:color="auto" w:fill="DDEBF7"/>
          </w:tcPr>
          <w:p>
            <w:r>
              <w:rPr>
                <w:rFonts w:ascii="Meiryo UI" w:hAnsi="Meiryo UI"/>
                <w:sz w:val="18"/>
              </w:rPr>
              <w:t>基本（改善軌道）</w:t>
            </w:r>
          </w:p>
        </w:tc>
        <w:tc>
          <w:tcPr>
            <w:tcW w:type="dxa" w:w="3135"/>
            <w:shd w:val="clear" w:color="auto" w:fill="DDEBF7"/>
          </w:tcPr>
          <w:p>
            <w:r>
              <w:rPr>
                <w:rFonts w:ascii="Meiryo UI" w:hAnsi="Meiryo UI"/>
                <w:sz w:val="18"/>
              </w:rPr>
              <w:t>4.5〜5.0%</w:t>
            </w:r>
          </w:p>
        </w:tc>
        <w:tc>
          <w:tcPr>
            <w:tcW w:type="dxa" w:w="3135"/>
            <w:shd w:val="clear" w:color="auto" w:fill="DDEBF7"/>
          </w:tcPr>
          <w:p>
            <w:r>
              <w:rPr>
                <w:rFonts w:ascii="Meiryo UI" w:hAnsi="Meiryo UI"/>
                <w:sz w:val="18"/>
              </w:rPr>
              <w:t>能登復興+単価改定浸透</w:t>
            </w:r>
          </w:p>
        </w:tc>
      </w:tr>
      <w:tr>
        <w:tc>
          <w:tcPr>
            <w:tcW w:type="dxa" w:w="3135"/>
          </w:tcPr>
          <w:p>
            <w:r>
              <w:rPr>
                <w:rFonts w:ascii="Meiryo UI" w:hAnsi="Meiryo UI"/>
                <w:sz w:val="18"/>
              </w:rPr>
              <w:t>強気（フル回復）</w:t>
            </w:r>
          </w:p>
        </w:tc>
        <w:tc>
          <w:tcPr>
            <w:tcW w:type="dxa" w:w="3135"/>
          </w:tcPr>
          <w:p>
            <w:r>
              <w:rPr>
                <w:rFonts w:ascii="Meiryo UI" w:hAnsi="Meiryo UI"/>
                <w:sz w:val="18"/>
              </w:rPr>
              <w:t>5.5〜6.5%</w:t>
            </w:r>
          </w:p>
        </w:tc>
        <w:tc>
          <w:tcPr>
            <w:tcW w:type="dxa" w:w="3135"/>
          </w:tcPr>
          <w:p>
            <w:r>
              <w:rPr>
                <w:rFonts w:ascii="Meiryo UI" w:hAnsi="Meiryo UI"/>
                <w:sz w:val="18"/>
              </w:rPr>
              <w:t>上記+受注残最大化+固定費効率化</w:t>
            </w:r>
          </w:p>
        </w:tc>
      </w:tr>
    </w:tbl>
    <w:p/>
    <w:p>
      <w:r>
        <w:t>──────────────────────────────────────────────────</w:t>
      </w:r>
    </w:p>
    <w:p/>
    <w:p>
      <w:pPr>
        <w:pStyle w:val="Heading2"/>
      </w:pPr>
      <w:r>
        <w:rPr>
          <w:rFonts w:ascii="Meiryo UI" w:hAnsi="Meiryo UI"/>
          <w:color w:val="2E74B5"/>
        </w:rPr>
        <w:t>2-3. 高自己資本比率の純資産質解剖——「眠れる資産」か否か</w:t>
      </w:r>
    </w:p>
    <w:p/>
    <w:p>
      <w:pPr>
        <w:pStyle w:val="Heading3"/>
      </w:pPr>
      <w:r>
        <w:rPr>
          <w:rFonts w:ascii="Meiryo UI" w:hAnsi="Meiryo UI"/>
          <w:color w:val="2E74B5"/>
        </w:rPr>
        <w:t>自己資本比率の水準確認</w:t>
      </w:r>
    </w:p>
    <w:p/>
    <w:p>
      <w:pPr>
        <w:shd w:val="clear" w:color="auto" w:fill="F2F2F2"/>
      </w:pPr>
      <w:r>
        <w:rPr>
          <w:rFonts w:ascii="Courier New" w:hAnsi="Courier New"/>
          <w:sz w:val="16"/>
        </w:rPr>
        <w:t>BPS: ¥10,845（リアルタイム取得値）</w:t>
        <w:br/>
        <w:t>PBR: 0.80倍</w:t>
        <w:br/>
        <w:t>→ 一株純資産: ¥10,845</w:t>
        <w:br/>
        <w:t>→ 発行済株式数の推計: 時価総額 ÷ 株価から逆算</w:t>
        <w:br/>
        <w:br/>
        <w:t>EPS: ¥670 / PER: 12.9倍</w:t>
        <w:br/>
        <w:t>→ 時価総額 = 株価×株式数</w:t>
        <w:br/>
        <w:t>→ 自己資本 = BPS×株式数</w:t>
        <w:br/>
        <w:br/>
        <w:t>自己資本比率: 建設業大手で30〜40%が標準</w:t>
        <w:br/>
        <w:t xml:space="preserve">  福田組は高水準（推定40〜50%程度）と推定</w:t>
        <w:br/>
        <w:t>→ これがアクティビストから「過剰資本」と見なされるリスクの根拠</w:t>
      </w:r>
    </w:p>
    <w:p/>
    <w:p>
      <w:pPr>
        <w:pStyle w:val="Heading3"/>
      </w:pPr>
      <w:r>
        <w:rPr>
          <w:rFonts w:ascii="Meiryo UI" w:hAnsi="Meiryo UI"/>
          <w:color w:val="2E74B5"/>
        </w:rPr>
        <w:t>純資産の質解剖</w:t>
      </w:r>
    </w:p>
    <w:p/>
    <w:p>
      <w:pPr>
        <w:shd w:val="clear" w:color="auto" w:fill="F2F2F2"/>
      </w:pPr>
      <w:r>
        <w:rPr>
          <w:rFonts w:ascii="Courier New" w:hAnsi="Courier New"/>
          <w:sz w:val="16"/>
        </w:rPr>
        <w:t>純資産の構成推計</w:t>
        <w:br/>
        <w:t>─────────────────────────────────────────</w:t>
        <w:br/>
        <w:t>資本金・資本剰余金        推定 20〜25%</w:t>
        <w:br/>
        <w:t>利益剰余金（内部留保）    推定 65〜70%  ← 眠れる資産の核心</w:t>
        <w:br/>
        <w:t>その他有価証券評価差額    推定  5〜8%</w:t>
        <w:br/>
        <w:t>土地再評価差額金          推定  2〜5%</w:t>
        <w:br/>
        <w:t>─────────────────────────────────────────</w:t>
        <w:br/>
        <w:br/>
        <w:t>【利益剰余金の「眠れる資産」判定】</w:t>
        <w:br/>
        <w:t>✓ 過去30〜40年の安定収益積み上げ→流動性の高い現預金・投資有価証券として保有</w:t>
        <w:br/>
        <w:t>✓ 工事入札保証金・完工保証に必要な流動性は確保必須（過剰除去不可）</w:t>
        <w:br/>
        <w:t>✓ ただし「必要流動性超過分」は株主還元・自社株買い原資として活用可能</w:t>
      </w:r>
    </w:p>
    <w:p/>
    <w:p>
      <w:r>
        <w:t>──────────────────────────────────────────────────</w:t>
      </w:r>
    </w:p>
    <w:p/>
    <w:p>
      <w:pPr>
        <w:pStyle w:val="Heading2"/>
      </w:pPr>
      <w:r>
        <w:rPr>
          <w:rFonts w:ascii="Meiryo UI" w:hAnsi="Meiryo UI"/>
          <w:color w:val="2E74B5"/>
        </w:rPr>
        <w:t>2-4. 不動産含み益NAV算出（必須）</w:t>
      </w:r>
    </w:p>
    <w:p/>
    <w:p>
      <w:r>
        <w:rPr>
          <w:rFonts w:ascii="Meiryo UI" w:hAnsi="Meiryo UI"/>
          <w:sz w:val="20"/>
        </w:rPr>
        <w:t>&gt; 社長指示: 「不動産含み益NAV算出必須（工事用地・保有不動産）。建設業老舗として歴史的土地保有の可能性を精査。」</w:t>
      </w:r>
    </w:p>
    <w:p/>
    <w:p>
      <w:pPr>
        <w:pStyle w:val="Heading3"/>
      </w:pPr>
      <w:r>
        <w:rPr>
          <w:rFonts w:ascii="Meiryo UI" w:hAnsi="Meiryo UI"/>
          <w:color w:val="2E74B5"/>
        </w:rPr>
        <w:t>土地保有の背景</w:t>
      </w:r>
    </w:p>
    <w:p/>
    <w:p>
      <w:r>
        <w:rPr>
          <w:rFonts w:ascii="Meiryo UI" w:hAnsi="Meiryo UI"/>
          <w:sz w:val="20"/>
        </w:rPr>
        <w:t>福田組は1897年創業（130年近い歴史）。北陸・新潟地域の主要都市に工場・資材ヤード・社宅・遊休地を歴史的に保有。これらは簿価（取得時価格）で計上されており、現在の時価との乖離（含み益）が発生している可能性が高い。</w:t>
      </w:r>
    </w:p>
    <w:p/>
    <w:p>
      <w:pPr>
        <w:pStyle w:val="Heading3"/>
      </w:pPr>
      <w:r>
        <w:rPr>
          <w:rFonts w:ascii="Meiryo UI" w:hAnsi="Meiryo UI"/>
          <w:color w:val="2E74B5"/>
        </w:rPr>
        <w:t>不動産含み益NAV算出（推計）</w:t>
      </w:r>
    </w:p>
    <w:p/>
    <w:p>
      <w:pPr>
        <w:shd w:val="clear" w:color="auto" w:fill="F2F2F2"/>
      </w:pPr>
      <w:r>
        <w:rPr>
          <w:rFonts w:ascii="Courier New" w:hAnsi="Courier New"/>
          <w:sz w:val="16"/>
        </w:rPr>
        <w:t>【Step 1: 保有不動産の推計規模】</w:t>
        <w:br/>
        <w:br/>
        <w:t>有形固定資産（土地）の簿価推計:</w:t>
        <w:br/>
        <w:t xml:space="preserve">  BPS ¥10,845 × 株式数（推定900万〜1,000万株）</w:t>
        <w:br/>
        <w:t xml:space="preserve">  → 自己資本: 推定975億〜1,085億円</w:t>
        <w:br/>
        <w:br/>
        <w:t xml:space="preserve">  建設業の土地保有比率（業界平均）: 自己資本の15〜25%</w:t>
        <w:br/>
        <w:t xml:space="preserve">  → 土地簿価推計: 約146億〜271億円</w:t>
        <w:br/>
        <w:br/>
        <w:t>【Step 2: 含み益倍率の推計】</w:t>
        <w:br/>
        <w:br/>
        <w:t>新潟市中心部・北陸主要都市の地価上昇（2010年→2026年）:</w:t>
        <w:br/>
        <w:t xml:space="preserve">  新潟市: 地価公示 +15〜25%（中央区・駅周辺）</w:t>
        <w:br/>
        <w:t xml:space="preserve">  北陸3県主要都市: +10〜30%（金沢・富山は特に上昇）</w:t>
        <w:br/>
        <w:t xml:space="preserve">  工場・資材ヤード用地（郊外）: +5〜15%</w:t>
        <w:br/>
        <w:br/>
        <w:t xml:space="preserve">  平均含み益倍率推計: 1.2〜1.5倍（簿価対比）</w:t>
        <w:br/>
        <w:t xml:space="preserve">  → 含み益額推計: 土地簿価の20〜50%</w:t>
        <w:br/>
        <w:t xml:space="preserve">  → 含み益絶対額: 約29億〜136億円</w:t>
        <w:br/>
        <w:br/>
        <w:t>【Step 3: 一株あたりNAV試算】</w:t>
        <w:br/>
        <w:br/>
        <w:t>保守的シナリオ（含み益29億円）:</w:t>
        <w:br/>
        <w:t xml:space="preserve">  一株含み益 = 29億円 ÷ 推定950万株 = 約¥305/株</w:t>
        <w:br/>
        <w:br/>
        <w:t>中間シナリオ（含み益75億円）:</w:t>
        <w:br/>
        <w:t xml:space="preserve">  一株含み益 = 75億円 ÷ 推定950万株 = 約¥789/株</w:t>
        <w:br/>
        <w:br/>
        <w:t>積極的シナリオ（含み益136億円）:</w:t>
        <w:br/>
        <w:t xml:space="preserve">  一株含み益 = 136億円 ÷ 推定950万株 = 約¥1,432/株</w:t>
      </w:r>
    </w:p>
    <w:p/>
    <w:p>
      <w:pPr>
        <w:pStyle w:val="Heading3"/>
      </w:pPr>
      <w:r>
        <w:rPr>
          <w:rFonts w:ascii="Meiryo UI" w:hAnsi="Meiryo UI"/>
          <w:color w:val="2E74B5"/>
        </w:rPr>
        <w:t>NAV調整後のBPS</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含み益/株</w:t>
            </w:r>
          </w:p>
        </w:tc>
        <w:tc>
          <w:tcPr>
            <w:tcW w:type="dxa" w:w="2351"/>
            <w:shd w:val="clear" w:color="auto" w:fill="2E74B5"/>
          </w:tcPr>
          <w:p>
            <w:r>
              <w:rPr>
                <w:rFonts w:ascii="Meiryo UI" w:hAnsi="Meiryo UI"/>
                <w:b/>
                <w:color w:val="FFFFFF"/>
                <w:sz w:val="18"/>
              </w:rPr>
              <w:t>調整後BPS</w:t>
            </w:r>
          </w:p>
        </w:tc>
        <w:tc>
          <w:tcPr>
            <w:tcW w:type="dxa" w:w="2351"/>
            <w:shd w:val="clear" w:color="auto" w:fill="2E74B5"/>
          </w:tcPr>
          <w:p>
            <w:r>
              <w:rPr>
                <w:rFonts w:ascii="Meiryo UI" w:hAnsi="Meiryo UI"/>
                <w:b/>
                <w:color w:val="FFFFFF"/>
                <w:sz w:val="18"/>
              </w:rPr>
              <w:t>調整後PBR（@¥8,640）</w:t>
            </w:r>
          </w:p>
        </w:tc>
      </w:tr>
      <w:tr>
        <w:tc>
          <w:tcPr>
            <w:tcW w:type="dxa" w:w="2351"/>
          </w:tcPr>
          <w:p>
            <w:r>
              <w:rPr>
                <w:rFonts w:ascii="Meiryo UI" w:hAnsi="Meiryo UI"/>
                <w:sz w:val="18"/>
              </w:rPr>
              <w:t>保守的</w:t>
            </w:r>
          </w:p>
        </w:tc>
        <w:tc>
          <w:tcPr>
            <w:tcW w:type="dxa" w:w="2351"/>
          </w:tcPr>
          <w:p>
            <w:r>
              <w:rPr>
                <w:rFonts w:ascii="Meiryo UI" w:hAnsi="Meiryo UI"/>
                <w:sz w:val="18"/>
              </w:rPr>
              <w:t>¥305</w:t>
            </w:r>
          </w:p>
        </w:tc>
        <w:tc>
          <w:tcPr>
            <w:tcW w:type="dxa" w:w="2351"/>
          </w:tcPr>
          <w:p>
            <w:r>
              <w:rPr>
                <w:rFonts w:ascii="Meiryo UI" w:hAnsi="Meiryo UI"/>
                <w:sz w:val="18"/>
              </w:rPr>
              <w:t>¥11,150</w:t>
            </w:r>
          </w:p>
        </w:tc>
        <w:tc>
          <w:tcPr>
            <w:tcW w:type="dxa" w:w="2351"/>
          </w:tcPr>
          <w:p>
            <w:r>
              <w:rPr>
                <w:rFonts w:ascii="Meiryo UI" w:hAnsi="Meiryo UI"/>
                <w:sz w:val="18"/>
              </w:rPr>
              <w:t>0.775倍</w:t>
            </w:r>
          </w:p>
        </w:tc>
      </w:tr>
      <w:tr>
        <w:tc>
          <w:tcPr>
            <w:tcW w:type="dxa" w:w="2351"/>
            <w:shd w:val="clear" w:color="auto" w:fill="DDEBF7"/>
          </w:tcPr>
          <w:p>
            <w:r>
              <w:rPr>
                <w:rFonts w:ascii="Meiryo UI" w:hAnsi="Meiryo UI"/>
                <w:sz w:val="18"/>
              </w:rPr>
              <w:t>中間</w:t>
            </w:r>
          </w:p>
        </w:tc>
        <w:tc>
          <w:tcPr>
            <w:tcW w:type="dxa" w:w="2351"/>
            <w:shd w:val="clear" w:color="auto" w:fill="DDEBF7"/>
          </w:tcPr>
          <w:p>
            <w:r>
              <w:rPr>
                <w:rFonts w:ascii="Meiryo UI" w:hAnsi="Meiryo UI"/>
                <w:sz w:val="18"/>
              </w:rPr>
              <w:t>¥789</w:t>
            </w:r>
          </w:p>
        </w:tc>
        <w:tc>
          <w:tcPr>
            <w:tcW w:type="dxa" w:w="2351"/>
            <w:shd w:val="clear" w:color="auto" w:fill="DDEBF7"/>
          </w:tcPr>
          <w:p>
            <w:r>
              <w:rPr>
                <w:rFonts w:ascii="Meiryo UI" w:hAnsi="Meiryo UI"/>
                <w:sz w:val="18"/>
              </w:rPr>
              <w:t>¥11,634</w:t>
            </w:r>
          </w:p>
        </w:tc>
        <w:tc>
          <w:tcPr>
            <w:tcW w:type="dxa" w:w="2351"/>
            <w:shd w:val="clear" w:color="auto" w:fill="DDEBF7"/>
          </w:tcPr>
          <w:p>
            <w:r>
              <w:rPr>
                <w:rFonts w:ascii="Meiryo UI" w:hAnsi="Meiryo UI"/>
                <w:sz w:val="18"/>
              </w:rPr>
              <w:t>0.743倍</w:t>
            </w:r>
          </w:p>
        </w:tc>
      </w:tr>
      <w:tr>
        <w:tc>
          <w:tcPr>
            <w:tcW w:type="dxa" w:w="2351"/>
          </w:tcPr>
          <w:p>
            <w:r>
              <w:rPr>
                <w:rFonts w:ascii="Meiryo UI" w:hAnsi="Meiryo UI"/>
                <w:sz w:val="18"/>
              </w:rPr>
              <w:t>積極的</w:t>
            </w:r>
          </w:p>
        </w:tc>
        <w:tc>
          <w:tcPr>
            <w:tcW w:type="dxa" w:w="2351"/>
          </w:tcPr>
          <w:p>
            <w:r>
              <w:rPr>
                <w:rFonts w:ascii="Meiryo UI" w:hAnsi="Meiryo UI"/>
                <w:sz w:val="18"/>
              </w:rPr>
              <w:t>¥1,432</w:t>
            </w:r>
          </w:p>
        </w:tc>
        <w:tc>
          <w:tcPr>
            <w:tcW w:type="dxa" w:w="2351"/>
          </w:tcPr>
          <w:p>
            <w:r>
              <w:rPr>
                <w:rFonts w:ascii="Meiryo UI" w:hAnsi="Meiryo UI"/>
                <w:sz w:val="18"/>
              </w:rPr>
              <w:t>¥12,277</w:t>
            </w:r>
          </w:p>
        </w:tc>
        <w:tc>
          <w:tcPr>
            <w:tcW w:type="dxa" w:w="2351"/>
          </w:tcPr>
          <w:p>
            <w:r>
              <w:rPr>
                <w:rFonts w:ascii="Meiryo UI" w:hAnsi="Meiryo UI"/>
                <w:sz w:val="18"/>
              </w:rPr>
              <w:t>0.704倍</w:t>
            </w:r>
          </w:p>
        </w:tc>
      </w:tr>
    </w:tbl>
    <w:p/>
    <w:p>
      <w:r>
        <w:rPr>
          <w:rFonts w:ascii="Meiryo UI" w:hAnsi="Meiryo UI"/>
          <w:sz w:val="20"/>
        </w:rPr>
        <w:t>深井コメント: 土地含み益を加味したNAVベースでは実質PBRは0.70〜0.78倍。スクリーン上の0.80倍よりさらに割安な可能性があり、「眠れる資産」仮説は一定の合理性がある。ただし確認には決算短信・有報の固定資産注記の精査が必須。</w:t>
      </w:r>
    </w:p>
    <w:p/>
    <w:p>
      <w:r>
        <w:t>──────────────────────────────────────────────────</w:t>
      </w:r>
    </w:p>
    <w:p/>
    <w:p>
      <w:pPr>
        <w:pStyle w:val="Heading2"/>
      </w:pPr>
      <w:r>
        <w:rPr>
          <w:rFonts w:ascii="Meiryo UI" w:hAnsi="Meiryo UI"/>
          <w:color w:val="2E74B5"/>
        </w:rPr>
        <w:t>2-5. 自社株買い・配当余力と株主還元加速シナリオ</w:t>
      </w:r>
    </w:p>
    <w:p/>
    <w:p>
      <w:pPr>
        <w:pStyle w:val="Heading3"/>
      </w:pPr>
      <w:r>
        <w:rPr>
          <w:rFonts w:ascii="Meiryo UI" w:hAnsi="Meiryo UI"/>
          <w:color w:val="2E74B5"/>
        </w:rPr>
        <w:t>現状の株主還元水準推計</w:t>
      </w:r>
    </w:p>
    <w:p/>
    <w:p>
      <w:pPr>
        <w:shd w:val="clear" w:color="auto" w:fill="F2F2F2"/>
      </w:pPr>
      <w:r>
        <w:rPr>
          <w:rFonts w:ascii="Courier New" w:hAnsi="Courier New"/>
          <w:sz w:val="16"/>
        </w:rPr>
        <w:t>EPS: ¥670</w:t>
        <w:br/>
        <w:t>配当金推計: ¥200〜240/株（配当性向30〜36%推定）</w:t>
        <w:br/>
        <w:t>配当利回り: ¥220 ÷ ¥8,640 = 約2.5%</w:t>
        <w:br/>
        <w:t>DOE（純資産配当率）: ¥220 ÷ ¥10,845 = 約2.0%</w:t>
      </w:r>
    </w:p>
    <w:p/>
    <w:p>
      <w:pPr>
        <w:pStyle w:val="Heading3"/>
      </w:pPr>
      <w:r>
        <w:rPr>
          <w:rFonts w:ascii="Meiryo UI" w:hAnsi="Meiryo UI"/>
          <w:color w:val="2E74B5"/>
        </w:rPr>
        <w:t>株主還元余力分析</w:t>
      </w:r>
    </w:p>
    <w:p/>
    <w:p>
      <w:pPr>
        <w:shd w:val="clear" w:color="auto" w:fill="F2F2F2"/>
      </w:pPr>
      <w:r>
        <w:rPr>
          <w:rFonts w:ascii="Courier New" w:hAnsi="Courier New"/>
          <w:sz w:val="16"/>
        </w:rPr>
        <w:t>【FCF推計】</w:t>
        <w:br/>
        <w:t>営業CF推計: 売上高×CFマージン3〜5% = 1,350億円×4% = 約54億円</w:t>
        <w:br/>
        <w:t>設備投資: 約20〜30億円（建設業は資産軽量型）</w:t>
        <w:br/>
        <w:t>→ 純FCF推計: 約24〜34億円/年</w:t>
        <w:br/>
        <w:br/>
        <w:t>【余剰資本推計】</w:t>
        <w:br/>
        <w:t>現預金・投資有価証券（推定）: 約200〜300億円</w:t>
        <w:br/>
        <w:t>必要流動性（工事保証・運転資本）: 約100〜150億円</w:t>
        <w:br/>
        <w:t>→ 余剰資本推計: 約50〜150億円</w:t>
        <w:br/>
        <w:br/>
        <w:t>【自社株買い余力】</w:t>
        <w:br/>
        <w:t>現時点の時価総額推計: ¥8,640 × 950万株 = 約820億円</w:t>
        <w:br/>
        <w:t>余剰資本50〜150億円 → 自社株買いで6〜18%の規模感</w:t>
        <w:br/>
        <w:t>→ 1回の自社株買いで20〜50億円（2〜6%相当）は十分実施可能</w:t>
      </w:r>
    </w:p>
    <w:p/>
    <w:p>
      <w:pPr>
        <w:pStyle w:val="Heading3"/>
      </w:pPr>
      <w:r>
        <w:rPr>
          <w:rFonts w:ascii="Meiryo UI" w:hAnsi="Meiryo UI"/>
          <w:color w:val="2E74B5"/>
        </w:rPr>
        <w:t>東証低PBR改善要請との文脈</w:t>
      </w:r>
    </w:p>
    <w:p/>
    <w:p>
      <w:pPr>
        <w:shd w:val="clear" w:color="auto" w:fill="F2F2F2"/>
      </w:pPr>
      <w:r>
        <w:rPr>
          <w:rFonts w:ascii="Courier New" w:hAnsi="Courier New"/>
          <w:sz w:val="16"/>
        </w:rPr>
        <w:t>東証プライム低PBR企業への要請（2023年3月以降）:</w:t>
        <w:br/>
        <w:t>→ PBR 1.0倍未満企業に「資本コスト・株価を意識した経営」の開示要求</w:t>
        <w:br/>
        <w:t>→ 福田組PBR 0.80倍は明確な対象</w:t>
        <w:br/>
        <w:br/>
        <w:t>対応パターン予測:</w:t>
        <w:br/>
        <w:t>Option A: 自社株買い発表（市場反応: 即日+5〜10%期待）</w:t>
        <w:br/>
        <w:t>Option B: 増配・DOE目標設定（中期計画更新での発表）</w:t>
        <w:br/>
        <w:t>Option C: 不動産NAV開示強化（IR改善）</w:t>
        <w:br/>
        <w:t>Option D: 資本効率目標（ROE8%以上）の公約</w:t>
        <w:br/>
        <w:br/>
        <w:t>アクティビスト介入リスク:</w:t>
        <w:br/>
        <w:t>→ PBR 0.80倍 × 高自己資本 × 余剰資本 = 介入対象として「理想的」</w:t>
        <w:br/>
        <w:t>→ 国内アクティビスト（オアシス・Silchester等）の介入確率: 中〜高</w:t>
        <w:br/>
        <w:t>→ 介入発表翌日: +10〜20%の株価インパクトは業界事例から合理的</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株価</w:t>
            </w:r>
          </w:p>
        </w:tc>
        <w:tc>
          <w:tcPr>
            <w:tcW w:type="dxa" w:w="3135"/>
          </w:tcPr>
          <w:p>
            <w:r>
              <w:rPr>
                <w:rFonts w:ascii="Meiryo UI" w:hAnsi="Meiryo UI"/>
                <w:sz w:val="18"/>
              </w:rPr>
              <w:t>¥8,640</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12.9倍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PBR</w:t>
            </w:r>
          </w:p>
        </w:tc>
        <w:tc>
          <w:tcPr>
            <w:tcW w:type="dxa" w:w="3135"/>
          </w:tcPr>
          <w:p>
            <w:r>
              <w:rPr>
                <w:rFonts w:ascii="Meiryo UI" w:hAnsi="Meiryo UI"/>
                <w:sz w:val="18"/>
              </w:rPr>
              <w:t>0.80倍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¥670</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¥10,845</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6.4%</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配当利回り（推定）</w:t>
            </w:r>
          </w:p>
        </w:tc>
        <w:tc>
          <w:tcPr>
            <w:tcW w:type="dxa" w:w="3135"/>
          </w:tcPr>
          <w:p>
            <w:r>
              <w:rPr>
                <w:rFonts w:ascii="Meiryo UI" w:hAnsi="Meiryo UI"/>
                <w:sz w:val="18"/>
              </w:rPr>
              <w:t>約2.4〜2.8%</w:t>
            </w:r>
          </w:p>
        </w:tc>
        <w:tc>
          <w:tcPr>
            <w:tcW w:type="dxa" w:w="3135"/>
          </w:tcPr>
          <w:p>
            <w:r>
              <w:rPr>
                <w:rFonts w:ascii="Meiryo UI" w:hAnsi="Meiryo UI"/>
                <w:sz w:val="18"/>
              </w:rPr>
              <w:t>公開情報ベース推計</w:t>
            </w:r>
          </w:p>
        </w:tc>
      </w:tr>
      <w:tr>
        <w:tc>
          <w:tcPr>
            <w:tcW w:type="dxa" w:w="3135"/>
            <w:shd w:val="clear" w:color="auto" w:fill="DDEBF7"/>
          </w:tcPr>
          <w:p>
            <w:r>
              <w:rPr>
                <w:rFonts w:ascii="Meiryo UI" w:hAnsi="Meiryo UI"/>
                <w:sz w:val="18"/>
              </w:rPr>
              <w:t>自己資本比率（推定）</w:t>
            </w:r>
          </w:p>
        </w:tc>
        <w:tc>
          <w:tcPr>
            <w:tcW w:type="dxa" w:w="3135"/>
            <w:shd w:val="clear" w:color="auto" w:fill="DDEBF7"/>
          </w:tcPr>
          <w:p>
            <w:r>
              <w:rPr>
                <w:rFonts w:ascii="Meiryo UI" w:hAnsi="Meiryo UI"/>
                <w:sz w:val="18"/>
              </w:rPr>
              <w:t>40〜50%</w:t>
            </w:r>
          </w:p>
        </w:tc>
        <w:tc>
          <w:tcPr>
            <w:tcW w:type="dxa" w:w="3135"/>
            <w:shd w:val="clear" w:color="auto" w:fill="DDEBF7"/>
          </w:tcPr>
          <w:p>
            <w:r>
              <w:rPr>
                <w:rFonts w:ascii="Meiryo UI" w:hAnsi="Meiryo UI"/>
                <w:sz w:val="18"/>
              </w:rPr>
              <w:t>業界分析・推計</w:t>
            </w:r>
          </w:p>
        </w:tc>
      </w:tr>
    </w:tbl>
    <w:p/>
    <w:p>
      <w:pPr>
        <w:pStyle w:val="Heading2"/>
      </w:pPr>
      <w:r>
        <w:rPr>
          <w:rFonts w:ascii="Meiryo UI" w:hAnsi="Meiryo UI"/>
          <w:color w:val="2E74B5"/>
        </w:rPr>
        <w:t>3-2. 損益構造推計</w:t>
      </w:r>
    </w:p>
    <w:p/>
    <w:p>
      <w:pPr>
        <w:shd w:val="clear" w:color="auto" w:fill="F2F2F2"/>
      </w:pPr>
      <w:r>
        <w:rPr>
          <w:rFonts w:ascii="Courier New" w:hAnsi="Courier New"/>
          <w:sz w:val="16"/>
        </w:rPr>
        <w:t>売上高推計（直近FY）: 約1,350〜1,450億円</w:t>
        <w:br/>
        <w:t>営業利益率推計:       約3.5〜4.5%</w:t>
        <w:br/>
        <w:t>営業利益推計:         約47〜65億円</w:t>
        <w:br/>
        <w:t>経常利益推計:         約50〜70億円</w:t>
        <w:br/>
        <w:t>純利益推計:           EPS¥670 × 株式数950万株 ≈ 約64億円</w:t>
        <w:br/>
        <w:t>FCFマージン推計:      約2〜4%</w:t>
      </w:r>
    </w:p>
    <w:p/>
    <w:p>
      <w:pPr>
        <w:pStyle w:val="Heading2"/>
      </w:pPr>
      <w:r>
        <w:rPr>
          <w:rFonts w:ascii="Meiryo UI" w:hAnsi="Meiryo UI"/>
          <w:color w:val="2E74B5"/>
        </w:rPr>
        <w:t>3-3. バランスシートの健全性</w:t>
      </w:r>
    </w:p>
    <w:p/>
    <w:p>
      <w:pPr>
        <w:shd w:val="clear" w:color="auto" w:fill="F2F2F2"/>
      </w:pPr>
      <w:r>
        <w:rPr>
          <w:rFonts w:ascii="Courier New" w:hAnsi="Courier New"/>
          <w:sz w:val="16"/>
        </w:rPr>
        <w:t>【強みのポイント】</w:t>
        <w:br/>
        <w:t>✓ 自己資本比率 推定40〜50%（業界平均30%超）</w:t>
        <w:br/>
        <w:t>✓ ネットデット: 低水準または実質キャッシュポジション</w:t>
        <w:br/>
        <w:t>✓ D/Eレシオ: 推定0.3〜0.5倍（財務レバレッジ保守的）</w:t>
        <w:br/>
        <w:t>✓ 工事損失引当金の計上（保守的会計処理）</w:t>
        <w:br/>
        <w:br/>
        <w:t>【課題のポイント】</w:t>
        <w:br/>
        <w:t>△ 資本効率（ROE 6.4%）が資本コストとほぼ拮抗</w:t>
        <w:br/>
        <w:t>△ 不動産資産の簿価管理（含み益の非開示）</w:t>
        <w:br/>
        <w:t>△ 現預金の一部は「過剰資本」として市場から認識</w:t>
      </w:r>
    </w:p>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DCF前提条件</w:t>
      </w:r>
    </w:p>
    <w:p/>
    <w:p>
      <w:pPr>
        <w:pStyle w:val="Heading3"/>
      </w:pPr>
      <w:r>
        <w:rPr>
          <w:rFonts w:ascii="Meiryo UI" w:hAnsi="Meiryo UI"/>
          <w:color w:val="2E74B5"/>
        </w:rPr>
        <w:t>基本パラメータ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2.386%</w:t>
            </w:r>
          </w:p>
        </w:tc>
        <w:tc>
          <w:tcPr>
            <w:tcW w:type="dxa" w:w="3135"/>
          </w:tcPr>
          <w:p>
            <w:r>
              <w:rPr>
                <w:rFonts w:ascii="Meiryo UI" w:hAnsi="Meiryo UI"/>
                <w:sz w:val="18"/>
              </w:rPr>
              <w:t>日本10年国債（財務省 R8.4.3）絶対使用</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Japan推計）</w:t>
            </w:r>
          </w:p>
        </w:tc>
      </w:tr>
      <w:tr>
        <w:tc>
          <w:tcPr>
            <w:tcW w:type="dxa" w:w="3135"/>
          </w:tcPr>
          <w:p>
            <w:r>
              <w:rPr>
                <w:rFonts w:ascii="Meiryo UI" w:hAnsi="Meiryo UI"/>
                <w:sz w:val="18"/>
              </w:rPr>
              <w:t>β（ベータ）</w:t>
            </w:r>
          </w:p>
        </w:tc>
        <w:tc>
          <w:tcPr>
            <w:tcW w:type="dxa" w:w="3135"/>
          </w:tcPr>
          <w:p>
            <w:r>
              <w:rPr>
                <w:rFonts w:ascii="Meiryo UI" w:hAnsi="Meiryo UI"/>
                <w:sz w:val="18"/>
              </w:rPr>
              <w:t>0.75</w:t>
            </w:r>
          </w:p>
        </w:tc>
        <w:tc>
          <w:tcPr>
            <w:tcW w:type="dxa" w:w="3135"/>
          </w:tcPr>
          <w:p>
            <w:r>
              <w:rPr>
                <w:rFonts w:ascii="Meiryo UI" w:hAnsi="Meiryo UI"/>
                <w:sz w:val="18"/>
              </w:rPr>
              <w:t>建設業中小・地方ゼネコン平均（市場β推定）</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6.50%</w:t>
            </w:r>
          </w:p>
        </w:tc>
        <w:tc>
          <w:tcPr>
            <w:tcW w:type="dxa" w:w="3135"/>
            <w:shd w:val="clear" w:color="auto" w:fill="DDEBF7"/>
          </w:tcPr>
          <w:p>
            <w:r>
              <w:rPr>
                <w:rFonts w:ascii="Meiryo UI" w:hAnsi="Meiryo UI"/>
                <w:sz w:val="18"/>
              </w:rPr>
              <w:t>= 2.386% + 0.75×5.5% = 6.511%</w:t>
            </w:r>
          </w:p>
        </w:tc>
      </w:tr>
      <w:tr>
        <w:tc>
          <w:tcPr>
            <w:tcW w:type="dxa" w:w="3135"/>
          </w:tcPr>
          <w:p>
            <w:r>
              <w:rPr>
                <w:rFonts w:ascii="Meiryo UI" w:hAnsi="Meiryo UI"/>
                <w:sz w:val="18"/>
              </w:rPr>
              <w:t>税率（Tc）</w:t>
            </w:r>
          </w:p>
        </w:tc>
        <w:tc>
          <w:tcPr>
            <w:tcW w:type="dxa" w:w="3135"/>
          </w:tcPr>
          <w:p>
            <w:r>
              <w:rPr>
                <w:rFonts w:ascii="Meiryo UI" w:hAnsi="Meiryo UI"/>
                <w:sz w:val="18"/>
              </w:rPr>
              <w:t>30%</w:t>
            </w:r>
          </w:p>
        </w:tc>
        <w:tc>
          <w:tcPr>
            <w:tcW w:type="dxa" w:w="3135"/>
          </w:tcPr>
          <w:p>
            <w:r>
              <w:rPr>
                <w:rFonts w:ascii="Meiryo UI" w:hAnsi="Meiryo UI"/>
                <w:sz w:val="18"/>
              </w:rPr>
              <w:t>日本法人実効税率</w:t>
            </w:r>
          </w:p>
        </w:tc>
      </w:tr>
      <w:tr>
        <w:tc>
          <w:tcPr>
            <w:tcW w:type="dxa" w:w="3135"/>
            <w:shd w:val="clear" w:color="auto" w:fill="DDEBF7"/>
          </w:tcPr>
          <w:p>
            <w:r>
              <w:rPr>
                <w:rFonts w:ascii="Meiryo UI" w:hAnsi="Meiryo UI"/>
                <w:sz w:val="18"/>
              </w:rPr>
              <w:t>Rd（借入コスト）</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地方銀行借入金利推計</w:t>
            </w:r>
          </w:p>
        </w:tc>
      </w:tr>
      <w:tr>
        <w:tc>
          <w:tcPr>
            <w:tcW w:type="dxa" w:w="3135"/>
          </w:tcPr>
          <w:p>
            <w:r>
              <w:rPr>
                <w:rFonts w:ascii="Meiryo UI" w:hAnsi="Meiryo UI"/>
                <w:sz w:val="18"/>
              </w:rPr>
              <w:t>D/(D+E)</w:t>
            </w:r>
          </w:p>
        </w:tc>
        <w:tc>
          <w:tcPr>
            <w:tcW w:type="dxa" w:w="3135"/>
          </w:tcPr>
          <w:p>
            <w:r>
              <w:rPr>
                <w:rFonts w:ascii="Meiryo UI" w:hAnsi="Meiryo UI"/>
                <w:sz w:val="18"/>
              </w:rPr>
              <w:t>25%</w:t>
            </w:r>
          </w:p>
        </w:tc>
        <w:tc>
          <w:tcPr>
            <w:tcW w:type="dxa" w:w="3135"/>
          </w:tcPr>
          <w:p>
            <w:r>
              <w:rPr>
                <w:rFonts w:ascii="Meiryo UI" w:hAnsi="Meiryo UI"/>
                <w:sz w:val="18"/>
              </w:rPr>
              <w:t>低レバレッジ構造推計</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75%</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5.15%</w:t>
            </w:r>
          </w:p>
        </w:tc>
        <w:tc>
          <w:tcPr>
            <w:tcW w:type="dxa" w:w="3135"/>
          </w:tcPr>
          <w:p>
            <w:r>
              <w:rPr>
                <w:rFonts w:ascii="Meiryo UI" w:hAnsi="Meiryo UI"/>
                <w:sz w:val="18"/>
              </w:rPr>
              <w:t>下記計算参照</w:t>
            </w:r>
          </w:p>
        </w:tc>
      </w:tr>
      <w:tr>
        <w:tc>
          <w:tcPr>
            <w:tcW w:type="dxa" w:w="3135"/>
            <w:shd w:val="clear" w:color="auto" w:fill="DDEBF7"/>
          </w:tcPr>
          <w:p>
            <w:r>
              <w:rPr>
                <w:rFonts w:ascii="Meiryo UI" w:hAnsi="Meiryo UI"/>
                <w:sz w:val="18"/>
              </w:rPr>
              <w:t>ターミナル成長率（g）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日本建設業長期成長率（保守的）</w:t>
            </w:r>
          </w:p>
        </w:tc>
      </w:tr>
    </w:tbl>
    <w:p/>
    <w:p>
      <w:pPr>
        <w:pStyle w:val="Heading3"/>
      </w:pPr>
      <w:r>
        <w:rPr>
          <w:rFonts w:ascii="Meiryo UI" w:hAnsi="Meiryo UI"/>
          <w:color w:val="2E74B5"/>
        </w:rPr>
        <w:t>WACC計算</w:t>
      </w:r>
    </w:p>
    <w:p/>
    <w:p>
      <w:pPr>
        <w:shd w:val="clear" w:color="auto" w:fill="F2F2F2"/>
      </w:pPr>
      <w:r>
        <w:rPr>
          <w:rFonts w:ascii="Courier New" w:hAnsi="Courier New"/>
          <w:sz w:val="16"/>
        </w:rPr>
        <w:t>Re = 2.386% + 0.75 × 5.5% = 2.386% + 4.125% = 6.511%</w:t>
        <w:br/>
        <w:t>Rd（税引後）= 1.5% × (1 - 0.30) = 1.05%</w:t>
        <w:br/>
        <w:br/>
        <w:t>WACC = 0.75 × 6.511% + 0.25 × 1.05%</w:t>
        <w:br/>
        <w:t xml:space="preserve">     = 4.883% + 0.263%</w:t>
        <w:br/>
        <w:t xml:space="preserve">     = 5.15%</w:t>
      </w:r>
    </w:p>
    <w:p/>
    <w:p>
      <w:pPr>
        <w:pStyle w:val="Heading2"/>
      </w:pPr>
      <w:r>
        <w:rPr>
          <w:rFonts w:ascii="Meiryo UI" w:hAnsi="Meiryo UI"/>
          <w:color w:val="2E74B5"/>
        </w:rPr>
        <w:t>4-2. 3シナリオ別DCFモデル</w:t>
      </w:r>
    </w:p>
    <w:p/>
    <w:p>
      <w:pPr>
        <w:pStyle w:val="Heading3"/>
      </w:pPr>
      <w:r>
        <w:rPr>
          <w:rFonts w:ascii="Meiryo UI" w:hAnsi="Meiryo UI"/>
          <w:color w:val="2E74B5"/>
        </w:rPr>
        <w:t>シナリオA：強気（能登復興×単価改定フル浸透）</w:t>
      </w:r>
    </w:p>
    <w:p/>
    <w:p>
      <w:pPr>
        <w:shd w:val="clear" w:color="auto" w:fill="F2F2F2"/>
      </w:pPr>
      <w:r>
        <w:rPr>
          <w:rFonts w:ascii="Courier New" w:hAnsi="Courier New"/>
          <w:sz w:val="16"/>
        </w:rPr>
        <w:t>前提:</w:t>
        <w:br/>
        <w:t>- 売上高成長率: FY2026 +8%, FY2027 +7%, FY2028 +5%, FY2029 +4%, FY2030 +3%</w:t>
        <w:br/>
        <w:t>- 営業利益率: FY2026→5.5%, FY2027→6.0%, FY2028→6.0%で安定</w:t>
        <w:br/>
        <w:t>- FCFマージン: 4.0〜5.0%</w:t>
        <w:br/>
        <w:br/>
        <w:t>FCF推計（百万円）:</w:t>
        <w:br/>
        <w:t>Year 1（FY2026）: 売上1,566億 × FCF率4.0% = 6,264百万円</w:t>
        <w:br/>
        <w:t>Year 2（FY2027）: 売上1,676億 × FCF率4.5% = 7,542百万円</w:t>
        <w:br/>
        <w:t>Year 3（FY2028）: 売上1,760億 × FCF率5.0% = 8,800百万円</w:t>
        <w:br/>
        <w:t>Year 4（FY2029）: 売上1,830億 × FCF率5.0% = 9,150百万円</w:t>
        <w:br/>
        <w:t>Year 5（FY2030）: 売上1,885億 × FCF率5.0% = 9,425百万円</w:t>
        <w:br/>
        <w:br/>
        <w:t>ターミナルバリュー:</w:t>
        <w:br/>
        <w:t xml:space="preserve">  TV = FCF₅ × (1+g) / (WACC - g)</w:t>
        <w:br/>
        <w:t xml:space="preserve">     = 9,425 × 1.01 / (0.0515 - 0.010)</w:t>
        <w:br/>
        <w:t xml:space="preserve">     = 9,519.25 / 0.0415</w:t>
        <w:br/>
        <w:t xml:space="preserve">     = 229,500百万円</w:t>
        <w:br/>
        <w:br/>
        <w:t>現在価値計算（WACC=5.15%）:</w:t>
        <w:br/>
        <w:t>PV(FCF1) = 6,264 / 1.0515¹  = 5,957</w:t>
        <w:br/>
        <w:t>PV(FCF2) = 7,542 / 1.0515²  = 6,823</w:t>
        <w:br/>
        <w:t>PV(FCF3) = 8,800 / 1.0515³  = 7,590</w:t>
        <w:br/>
        <w:t>PV(FCF4) = 9,150 / 1.0515⁴  = 7,516</w:t>
        <w:br/>
        <w:t>PV(FCF5) = 9,425 / 1.0515⁵  = 7,373</w:t>
        <w:br/>
        <w:t>PV(TV)   = 229,500 / 1.0515⁵ = 179,500</w:t>
        <w:br/>
        <w:br/>
        <w:t>Enterprise Value (EV) = 214,759百万円 ≈ 2,148億円</w:t>
        <w:br/>
        <w:br/>
        <w:t>Equity Value = EV - Net Debt（推定▲50億円=純現金）</w:t>
        <w:br/>
        <w:t xml:space="preserve">             = 2,148億 + 50億 = 2,198億円</w:t>
        <w:br/>
        <w:br/>
        <w:t>一株理論株価（強気）= 2,198億 ÷ 950万株</w:t>
        <w:br/>
        <w:t xml:space="preserve">                   = ¥23,137/株</w:t>
      </w:r>
    </w:p>
    <w:p/>
    <w:p>
      <w:pPr>
        <w:pStyle w:val="Heading3"/>
      </w:pPr>
      <w:r>
        <w:rPr>
          <w:rFonts w:ascii="Meiryo UI" w:hAnsi="Meiryo UI"/>
          <w:color w:val="2E74B5"/>
        </w:rPr>
        <w:t>シナリオB：基本（緩やかな改善）</w:t>
      </w:r>
    </w:p>
    <w:p/>
    <w:p>
      <w:pPr>
        <w:shd w:val="clear" w:color="auto" w:fill="F2F2F2"/>
      </w:pPr>
      <w:r>
        <w:rPr>
          <w:rFonts w:ascii="Courier New" w:hAnsi="Courier New"/>
          <w:sz w:val="16"/>
        </w:rPr>
        <w:t>前提:</w:t>
        <w:br/>
        <w:t>- 売上高成長率: FY2026 +5%, FY2027 +5%, FY2028 +3%, FY2029 +2%, FY2030 +2%</w:t>
        <w:br/>
        <w:t>- 営業利益率: FY2026→4.5%, FY2027→4.8%, FY2028→5.0%で安定</w:t>
        <w:br/>
        <w:t>- FCFマージン: 2.5〜3.5%</w:t>
        <w:br/>
        <w:br/>
        <w:t>FCF推計（百万円）:</w:t>
        <w:br/>
        <w:t>Year 1: 1,418億 × 2.5% = 3,545</w:t>
        <w:br/>
        <w:t>Year 2: 1,489億 × 3.0% = 4,467</w:t>
        <w:br/>
        <w:t>Year 3: 1,534億 × 3.5% = 5,369</w:t>
        <w:br/>
        <w:t>Year 4: 1,565億 × 3.5% = 5,478</w:t>
        <w:br/>
        <w:t>Year 5: 1,596億 × 3.5% = 5,586</w:t>
        <w:br/>
        <w:br/>
        <w:t>ターミナルバリュー:</w:t>
        <w:br/>
        <w:t xml:space="preserve">  TV = 5,586 × 1.01 / (0.0515 - 0.010)</w:t>
        <w:br/>
        <w:t xml:space="preserve">     = 5,642 / 0.0415</w:t>
        <w:br/>
        <w:t xml:space="preserve">     = 135,952百万円</w:t>
        <w:br/>
        <w:br/>
        <w:t>現在価値計算:</w:t>
        <w:br/>
        <w:t>PV(FCF1) = 3,545 / 1.0515  = 3,371</w:t>
        <w:br/>
        <w:t>PV(FCF2) = 4,467 / 1.0515² = 4,042</w:t>
        <w:br/>
        <w:t>PV(FCF3) = 5,369 / 1.0515³ = 4,632</w:t>
        <w:br/>
        <w:t>PV(FCF4) = 5,478 / 1.0515⁴ = 4,499</w:t>
        <w:br/>
        <w:t>PV(FCF5) = 5,586 / 1.0515⁵ = 4,369</w:t>
        <w:br/>
        <w:t>PV(TV)   = 135,952 / 1.0515⁵ = 106,304</w:t>
        <w:br/>
        <w:br/>
        <w:t>Enterprise Value = 127,217百万円 ≈ 1,272億円</w:t>
        <w:br/>
        <w:br/>
        <w:t>Equity Value = 1,272億 + 50億 = 1,322億円</w:t>
        <w:br/>
        <w:br/>
        <w:t>一株理論株価（基本）= 1,322億 ÷ 950万株</w:t>
        <w:br/>
        <w:t xml:space="preserve">                   = ¥13,916/株</w:t>
      </w:r>
    </w:p>
    <w:p/>
    <w:p>
      <w:pPr>
        <w:pStyle w:val="Heading3"/>
      </w:pPr>
      <w:r>
        <w:rPr>
          <w:rFonts w:ascii="Meiryo UI" w:hAnsi="Meiryo UI"/>
          <w:color w:val="2E74B5"/>
        </w:rPr>
        <w:t>シナリオC：弱気（コスト高騰継続・受注競争激化）</w:t>
      </w:r>
    </w:p>
    <w:p/>
    <w:p>
      <w:pPr>
        <w:shd w:val="clear" w:color="auto" w:fill="F2F2F2"/>
      </w:pPr>
      <w:r>
        <w:rPr>
          <w:rFonts w:ascii="Courier New" w:hAnsi="Courier New"/>
          <w:sz w:val="16"/>
        </w:rPr>
        <w:t>前提:</w:t>
        <w:br/>
        <w:t>- 売上高成長率: FY2026 +2%, FY2027 +1%, FY2028 +1%, FY2029 +1%, FY2030 +1%</w:t>
        <w:br/>
        <w:t>- 営業利益率: FY2026→3.0%, FY2027→2.8%（悪化）, FY2028→3.2%</w:t>
        <w:br/>
        <w:t>- FCFマージン: 1.0〜1.5%</w:t>
        <w:br/>
        <w:br/>
        <w:t>FCF推計（百万円）:</w:t>
        <w:br/>
        <w:t>Year 1: 1,377億 × 1.0% = 1,377</w:t>
        <w:br/>
        <w:t>Year 2: 1,391億 × 1.0% = 1,391</w:t>
        <w:br/>
        <w:t>Year 3: 1,405億 × 1.2% = 1,686</w:t>
        <w:br/>
        <w:t>Year 4: 1,419億 × 1.5% = 2,129</w:t>
        <w:br/>
        <w:t>Year 5: 1,433億 × 1.5% = 2,150</w:t>
        <w:br/>
        <w:br/>
        <w:t>ターミナルバリュー:</w:t>
        <w:br/>
        <w:t xml:space="preserve">  TV = 2,150 × 1.01 / (0.0515 - 0.010)</w:t>
        <w:br/>
        <w:t xml:space="preserve">     = 2,172 / 0.0415</w:t>
        <w:br/>
        <w:t xml:space="preserve">     = 52,337百万円</w:t>
        <w:br/>
        <w:br/>
        <w:t>現在価値計算:</w:t>
        <w:br/>
        <w:t>PV(FCF1) = 1,377 / 1.0515  = 1,309</w:t>
        <w:br/>
        <w:t>PV(FCF2) = 1,391 / 1.0515² = 1,259</w:t>
        <w:br/>
        <w:t>PV(FCF3) = 1,686 / 1.0515³ = 1,454</w:t>
        <w:br/>
        <w:t>PV(FCF4) = 2,129 / 1.0515⁴ = 1,748</w:t>
        <w:br/>
        <w:t>PV(FCF5) = 2,150 / 1.0515⁵ = 1,682</w:t>
        <w:br/>
        <w:t>PV(TV)   = 52,337 / 1.0515⁵ = 40,941</w:t>
        <w:br/>
        <w:br/>
        <w:t>Enterprise Value = 48,393百万円 ≈ 484億円</w:t>
        <w:br/>
        <w:br/>
        <w:t>Equity Value = 484億 + 50億 = 534億円</w:t>
        <w:br/>
        <w:br/>
        <w:t>一株理論株価（弱気）= 534億 ÷ 950万株</w:t>
        <w:br/>
        <w:t xml:space="preserve">                   = ¥5,621/株</w:t>
      </w:r>
    </w:p>
    <w:p/>
    <w:p>
      <w:pPr>
        <w:pStyle w:val="Heading2"/>
      </w:pPr>
      <w:r>
        <w:rPr>
          <w:rFonts w:ascii="Meiryo UI" w:hAnsi="Meiryo UI"/>
          <w:color w:val="2E74B5"/>
        </w:rPr>
        <w:t>4-3. シナリオ加重DCF理論株価</w:t>
      </w:r>
    </w:p>
    <w:p/>
    <w:p>
      <w:pPr>
        <w:shd w:val="clear" w:color="auto" w:fill="F2F2F2"/>
      </w:pPr>
      <w:r>
        <w:rPr>
          <w:rFonts w:ascii="Courier New" w:hAnsi="Courier New"/>
          <w:sz w:val="16"/>
        </w:rPr>
        <w:t>シナリオ加重:</w:t>
        <w:br/>
        <w:t xml:space="preserve">  強気 (25%):  ¥23,137 × 0.25 = ¥5,784</w:t>
        <w:br/>
        <w:t xml:space="preserve">  基本 (55%):  ¥13,916 × 0.55 = ¥7,654</w:t>
        <w:br/>
        <w:t xml:space="preserve">  弱気 (20%):  ¥ 5,621 × 0.20 = ¥1,124</w:t>
        <w:br/>
        <w:t xml:space="preserve">  ──────────────────────────────</w:t>
        <w:br/>
        <w:t xml:space="preserve">  加重平均理論株価 = ¥14,562</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バリュエーション統合（マルチプル×DCF）</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ウエイト</w:t>
            </w:r>
          </w:p>
        </w:tc>
        <w:tc>
          <w:tcPr>
            <w:tcW w:type="dxa" w:w="2351"/>
            <w:shd w:val="clear" w:color="auto" w:fill="2E74B5"/>
          </w:tcPr>
          <w:p>
            <w:r>
              <w:rPr>
                <w:rFonts w:ascii="Meiryo UI" w:hAnsi="Meiryo UI"/>
                <w:b/>
                <w:color w:val="FFFFFF"/>
                <w:sz w:val="18"/>
              </w:rPr>
              <w:t>加重値</w:t>
            </w:r>
          </w:p>
        </w:tc>
      </w:tr>
      <w:tr>
        <w:tc>
          <w:tcPr>
            <w:tcW w:type="dxa" w:w="2351"/>
          </w:tcPr>
          <w:p>
            <w:r>
              <w:rPr>
                <w:rFonts w:ascii="Meiryo UI" w:hAnsi="Meiryo UI"/>
                <w:sz w:val="18"/>
              </w:rPr>
              <w:t>DCF（加重平均）</w:t>
            </w:r>
          </w:p>
        </w:tc>
        <w:tc>
          <w:tcPr>
            <w:tcW w:type="dxa" w:w="2351"/>
          </w:tcPr>
          <w:p>
            <w:r>
              <w:rPr>
                <w:rFonts w:ascii="Meiryo UI" w:hAnsi="Meiryo UI"/>
                <w:sz w:val="18"/>
              </w:rPr>
              <w:t>¥14,562</w:t>
            </w:r>
          </w:p>
        </w:tc>
        <w:tc>
          <w:tcPr>
            <w:tcW w:type="dxa" w:w="2351"/>
          </w:tcPr>
          <w:p>
            <w:r>
              <w:rPr>
                <w:rFonts w:ascii="Meiryo UI" w:hAnsi="Meiryo UI"/>
                <w:sz w:val="18"/>
              </w:rPr>
              <w:t>40%</w:t>
            </w:r>
          </w:p>
        </w:tc>
        <w:tc>
          <w:tcPr>
            <w:tcW w:type="dxa" w:w="2351"/>
          </w:tcPr>
          <w:p>
            <w:r>
              <w:rPr>
                <w:rFonts w:ascii="Meiryo UI" w:hAnsi="Meiryo UI"/>
                <w:sz w:val="18"/>
              </w:rPr>
              <w:t>¥5,825</w:t>
            </w:r>
          </w:p>
        </w:tc>
      </w:tr>
      <w:tr>
        <w:tc>
          <w:tcPr>
            <w:tcW w:type="dxa" w:w="2351"/>
            <w:shd w:val="clear" w:color="auto" w:fill="DDEBF7"/>
          </w:tcPr>
          <w:p>
            <w:r>
              <w:rPr>
                <w:rFonts w:ascii="Meiryo UI" w:hAnsi="Meiryo UI"/>
                <w:sz w:val="18"/>
              </w:rPr>
              <w:t>DCF基本シナリオ</w:t>
            </w:r>
          </w:p>
        </w:tc>
        <w:tc>
          <w:tcPr>
            <w:tcW w:type="dxa" w:w="2351"/>
            <w:shd w:val="clear" w:color="auto" w:fill="DDEBF7"/>
          </w:tcPr>
          <w:p>
            <w:r>
              <w:rPr>
                <w:rFonts w:ascii="Meiryo UI" w:hAnsi="Meiryo UI"/>
                <w:sz w:val="18"/>
              </w:rPr>
              <w:t>¥13,916</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¥2,783</w:t>
            </w:r>
          </w:p>
        </w:tc>
      </w:tr>
      <w:tr>
        <w:tc>
          <w:tcPr>
            <w:tcW w:type="dxa" w:w="2351"/>
          </w:tcPr>
          <w:p>
            <w:r>
              <w:rPr>
                <w:rFonts w:ascii="Meiryo UI" w:hAnsi="Meiryo UI"/>
                <w:sz w:val="18"/>
              </w:rPr>
              <w:t>PBR 1.0倍（BPS）</w:t>
            </w:r>
          </w:p>
        </w:tc>
        <w:tc>
          <w:tcPr>
            <w:tcW w:type="dxa" w:w="2351"/>
          </w:tcPr>
          <w:p>
            <w:r>
              <w:rPr>
                <w:rFonts w:ascii="Meiryo UI" w:hAnsi="Meiryo UI"/>
                <w:sz w:val="18"/>
              </w:rPr>
              <w:t>¥10,845</w:t>
            </w:r>
          </w:p>
        </w:tc>
        <w:tc>
          <w:tcPr>
            <w:tcW w:type="dxa" w:w="2351"/>
          </w:tcPr>
          <w:p>
            <w:r>
              <w:rPr>
                <w:rFonts w:ascii="Meiryo UI" w:hAnsi="Meiryo UI"/>
                <w:sz w:val="18"/>
              </w:rPr>
              <w:t>25%</w:t>
            </w:r>
          </w:p>
        </w:tc>
        <w:tc>
          <w:tcPr>
            <w:tcW w:type="dxa" w:w="2351"/>
          </w:tcPr>
          <w:p>
            <w:r>
              <w:rPr>
                <w:rFonts w:ascii="Meiryo UI" w:hAnsi="Meiryo UI"/>
                <w:sz w:val="18"/>
              </w:rPr>
              <w:t>¥2,711</w:t>
            </w:r>
          </w:p>
        </w:tc>
      </w:tr>
      <w:tr>
        <w:tc>
          <w:tcPr>
            <w:tcW w:type="dxa" w:w="2351"/>
            <w:shd w:val="clear" w:color="auto" w:fill="DDEBF7"/>
          </w:tcPr>
          <w:p>
            <w:r>
              <w:rPr>
                <w:rFonts w:ascii="Meiryo UI" w:hAnsi="Meiryo UI"/>
                <w:sz w:val="18"/>
              </w:rPr>
              <w:t>PER 15倍×EPS</w:t>
            </w:r>
          </w:p>
        </w:tc>
        <w:tc>
          <w:tcPr>
            <w:tcW w:type="dxa" w:w="2351"/>
            <w:shd w:val="clear" w:color="auto" w:fill="DDEBF7"/>
          </w:tcPr>
          <w:p>
            <w:r>
              <w:rPr>
                <w:rFonts w:ascii="Meiryo UI" w:hAnsi="Meiryo UI"/>
                <w:sz w:val="18"/>
              </w:rPr>
              <w:t>¥10,050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¥1,508</w:t>
            </w:r>
          </w:p>
        </w:tc>
      </w:tr>
      <w:tr>
        <w:tc>
          <w:tcPr>
            <w:tcW w:type="dxa" w:w="2351"/>
          </w:tcPr>
          <w:p>
            <w:r>
              <w:rPr>
                <w:rFonts w:ascii="Meiryo UI" w:hAnsi="Meiryo UI"/>
                <w:sz w:val="18"/>
              </w:rPr>
              <w:t>統合理論株価</w:t>
            </w:r>
          </w:p>
        </w:tc>
        <w:tc>
          <w:tcPr>
            <w:tcW w:type="dxa" w:w="2351"/>
          </w:tcPr>
          <w:p>
            <w:r>
              <w:rPr>
                <w:rFonts w:ascii="Meiryo UI" w:hAnsi="Meiryo UI"/>
                <w:sz w:val="18"/>
              </w:rPr>
              <w:t>¥12,827</w:t>
            </w:r>
          </w:p>
        </w:tc>
        <w:tc>
          <w:tcPr>
            <w:tcW w:type="dxa" w:w="2351"/>
          </w:tcPr>
          <w:p>
            <w:r>
              <w:rPr>
                <w:rFonts w:ascii="Meiryo UI" w:hAnsi="Meiryo UI"/>
                <w:sz w:val="18"/>
              </w:rPr>
              <w:t>100%</w:t>
            </w:r>
          </w:p>
        </w:tc>
        <w:tc>
          <w:tcPr>
            <w:tcW w:type="dxa" w:w="2351"/>
          </w:tcPr>
          <w:p>
            <w:r>
              <w:rPr>
                <w:rFonts w:ascii="Meiryo UI" w:hAnsi="Meiryo UI"/>
                <w:sz w:val="18"/>
              </w:rPr>
              <w:t>¥12,827</w:t>
            </w:r>
          </w:p>
        </w:tc>
      </w:tr>
    </w:tbl>
    <w:p/>
    <w:p>
      <w:pPr>
        <w:pStyle w:val="Heading2"/>
      </w:pPr>
      <w:r>
        <w:rPr>
          <w:rFonts w:ascii="Meiryo UI" w:hAnsi="Meiryo UI"/>
          <w:color w:val="2E74B5"/>
        </w:rPr>
        <w:t>5-2. 安全域（Margin of Safety）の設定</w:t>
      </w:r>
    </w:p>
    <w:p/>
    <w:p>
      <w:pPr>
        <w:shd w:val="clear" w:color="auto" w:fill="F2F2F2"/>
      </w:pPr>
      <w:r>
        <w:rPr>
          <w:rFonts w:ascii="Courier New" w:hAnsi="Courier New"/>
          <w:sz w:val="16"/>
        </w:rPr>
        <w:t>統合理論株価: ¥12,827</w:t>
        <w:br/>
        <w:t>安全域バッファ: ▲15%（建設業特有の受注変動リスク・小型株流動性）</w:t>
        <w:br/>
        <w:t>→ 保守的理論株価: ¥12,827 × 0.85 = ¥10,903</w:t>
        <w:br/>
        <w:br/>
        <w:t>現在株価: ¥8,640</w:t>
        <w:br/>
        <w:t>統合理論株価比: +48.5%の上値余地</w:t>
        <w:br/>
        <w:t>保守的理論株価比: +26.2%の上値余地</w:t>
        <w:br/>
        <w:br/>
        <w:t>BPS対比（最低限の安全域）:</w:t>
        <w:br/>
        <w:t xml:space="preserve">  現在株価¥8,640 &lt; BPS¥10,845</w:t>
        <w:br/>
        <w:t xml:space="preserve">  → 清算価値以下での取引 = 安全マージン確保済み</w:t>
      </w:r>
    </w:p>
    <w:p/>
    <w:p>
      <w:pPr>
        <w:pStyle w:val="Heading2"/>
      </w:pPr>
      <w:r>
        <w:rPr>
          <w:rFonts w:ascii="Meiryo UI" w:hAnsi="Meiryo UI"/>
          <w:color w:val="2E74B5"/>
        </w:rPr>
        <w:t>5-3. 投資判断</w:t>
      </w:r>
    </w:p>
    <w:p/>
    <w:p>
      <w:pPr>
        <w:shd w:val="clear" w:color="auto" w:fill="F2F2F2"/>
      </w:pPr>
      <w:r>
        <w:rPr>
          <w:rFonts w:ascii="Courier New" w:hAnsi="Courier New"/>
          <w:sz w:val="16"/>
        </w:rPr>
        <w:t>╔══════════════════════════════════════════════════════╗</w:t>
        <w:br/>
        <w:t>║                                                      ║</w:t>
        <w:br/>
        <w:t>║   投資判断: 【買い（BUY）】                            ║</w:t>
        <w:br/>
        <w:t>║                                                      ║</w:t>
        <w:br/>
        <w:t>║   現在株価:    ¥8,640                                 ║</w:t>
        <w:br/>
        <w:t>║   統合理論株価: ¥12,827                               ║</w:t>
        <w:br/>
        <w:t>║   上値余地:    +48.5%                                 ║</w:t>
        <w:br/>
        <w:t>║   保守的目標株価: ¥10,903（+26.2%）                   ║</w:t>
        <w:br/>
        <w:t>║   ターゲット株価（12ヶ月）: ¥11,500〜¥13,500          ║</w:t>
        <w:br/>
        <w:t>║                                                      ║</w:t>
        <w:br/>
        <w:t>║   根拠: PBR0.80倍＜1.0倍＋含み益NAV＋能登復興カタリスト ║</w:t>
        <w:br/>
        <w:t>║         DCF基本シナリオ¥13,916 &gt; 現在株価¥8,640       ║</w:t>
        <w:br/>
        <w:t>║         自社株買い・増配余力→東証要請対応期待          ║</w:t>
        <w:br/>
        <w:t>╚══════════════════════════════════════════════════════╝</w:t>
      </w:r>
    </w:p>
    <w:p/>
    <w:p>
      <w:r>
        <w:t>──────────────────────────────────────────────────</w:t>
      </w:r>
    </w:p>
    <w:p/>
    <w:p>
      <w:pPr>
        <w:pStyle w:val="Heading1"/>
      </w:pPr>
      <w:r>
        <w:rPr>
          <w:rFonts w:ascii="Meiryo UI" w:hAnsi="Meiryo UI"/>
          <w:color w:val="1F3864"/>
        </w:rPr>
        <w:t>6. メインシナリオ vs リスクシナリオ</w:t>
      </w:r>
    </w:p>
    <w:p/>
    <w:p>
      <w:pPr>
        <w:pStyle w:val="Heading2"/>
      </w:pPr>
      <w:r>
        <w:rPr>
          <w:rFonts w:ascii="Meiryo UI" w:hAnsi="Meiryo UI"/>
          <w:color w:val="2E74B5"/>
        </w:rPr>
        <w:t>6-1. 強気シナリオ（Bull Case / 確率25%）</w:t>
      </w:r>
    </w:p>
    <w:p/>
    <w:p>
      <w:pPr>
        <w:shd w:val="clear" w:color="auto" w:fill="F2F2F2"/>
      </w:pPr>
      <w:r>
        <w:rPr>
          <w:rFonts w:ascii="Courier New" w:hAnsi="Courier New"/>
          <w:sz w:val="16"/>
        </w:rPr>
        <w:t>【トリガー条件】</w:t>
        <w:br/>
        <w:t>- 能登復興工事の大型受注（年100億円以上）</w:t>
        <w:br/>
        <w:t>- アクティビスト介入→自社株買い50億円発表</w:t>
        <w:br/>
        <w:t>- 北陸新幹線関連土木工事参画</w:t>
        <w:br/>
        <w:t>- 建設コスト安定化→営業利益率6%超回復</w:t>
        <w:br/>
        <w:t>- 東証低PBR改善要請に対するROE8%目標公約</w:t>
        <w:br/>
        <w:br/>
        <w:t>【想定株価レンジ】</w:t>
        <w:br/>
        <w:t>12ヶ月: ¥14,000〜¥16,000</w:t>
        <w:br/>
        <w:t>24ヶ月: ¥18,000〜¥23,000</w:t>
      </w:r>
    </w:p>
    <w:p/>
    <w:p>
      <w:pPr>
        <w:pStyle w:val="Heading2"/>
      </w:pPr>
      <w:r>
        <w:rPr>
          <w:rFonts w:ascii="Meiryo UI" w:hAnsi="Meiryo UI"/>
          <w:color w:val="2E74B5"/>
        </w:rPr>
        <w:t>6-2. 基本シナリオ（Base Case / 確率55%）</w:t>
      </w:r>
    </w:p>
    <w:p/>
    <w:p>
      <w:pPr>
        <w:shd w:val="clear" w:color="auto" w:fill="F2F2F2"/>
      </w:pPr>
      <w:r>
        <w:rPr>
          <w:rFonts w:ascii="Courier New" w:hAnsi="Courier New"/>
          <w:sz w:val="16"/>
        </w:rPr>
        <w:t>【トリガー条件】</w:t>
        <w:br/>
        <w:t>- 能登復興工事の着実な受注積み上げ</w:t>
        <w:br/>
        <w:t>- 公共工事単価改定の浸透→利益率4.5〜5.0%回復</w:t>
        <w:br/>
        <w:t>- 漸進的な増配（配当性向35〜40%へ）</w:t>
        <w:br/>
        <w:t>- 自社株買い小規模実施（20〜30億円）</w:t>
        <w:br/>
        <w:t>- ROE 7〜8%への改善軌道</w:t>
        <w:br/>
        <w:br/>
        <w:t>【想定株価レンジ】</w:t>
        <w:br/>
        <w:t>12ヶ月: ¥10,500〜¥12,500</w:t>
        <w:br/>
        <w:t>24ヶ月: ¥12,000〜¥14,000</w:t>
      </w:r>
    </w:p>
    <w:p/>
    <w:p>
      <w:pPr>
        <w:pStyle w:val="Heading2"/>
      </w:pPr>
      <w:r>
        <w:rPr>
          <w:rFonts w:ascii="Meiryo UI" w:hAnsi="Meiryo UI"/>
          <w:color w:val="2E74B5"/>
        </w:rPr>
        <w:t>6-3. 弱気シナリオ（Bear Case / 確率20%）</w:t>
      </w:r>
    </w:p>
    <w:p/>
    <w:p>
      <w:pPr>
        <w:shd w:val="clear" w:color="auto" w:fill="F2F2F2"/>
      </w:pPr>
      <w:r>
        <w:rPr>
          <w:rFonts w:ascii="Courier New" w:hAnsi="Courier New"/>
          <w:sz w:val="16"/>
        </w:rPr>
        <w:t>【トリガー条件】</w:t>
        <w:br/>
        <w:t>- 大型工事での採算悪化（資材高騰×固定価格契約の損失計上）</w:t>
        <w:br/>
        <w:t>- 受注競争激化（スーパーゼネコンの北陸進出）</w:t>
        <w:br/>
        <w:t>- 労務費高騰の加速→工期延長×コスト超過</w:t>
        <w:br/>
        <w:t>- 建設需要の想定外落ち込み（景気後退）</w:t>
        <w:br/>
        <w:t>- 純資産毀損（工事損失引当金の積み増し）</w:t>
        <w:br/>
        <w:br/>
        <w:t>【想定株価レンジ】</w:t>
        <w:br/>
        <w:t>12ヶ月: ¥6,500〜¥8,000</w:t>
        <w:br/>
        <w:t>損切りライン: ¥7,500（BPS対比31%ディスカウント水準）</w:t>
      </w:r>
    </w:p>
    <w:p/>
    <w:p>
      <w:pPr>
        <w:pStyle w:val="Heading2"/>
      </w:pPr>
      <w:r>
        <w:rPr>
          <w:rFonts w:ascii="Meiryo UI" w:hAnsi="Meiryo UI"/>
          <w:color w:val="2E74B5"/>
        </w:rPr>
        <w:t>6-4. 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w:t>
            </w:r>
          </w:p>
        </w:tc>
        <w:tc>
          <w:tcPr>
            <w:tcW w:type="dxa" w:w="2351"/>
            <w:shd w:val="clear" w:color="auto" w:fill="2E74B5"/>
          </w:tcPr>
          <w:p>
            <w:r>
              <w:rPr>
                <w:rFonts w:ascii="Meiryo UI" w:hAnsi="Meiryo UI"/>
                <w:b/>
                <w:color w:val="FFFFFF"/>
                <w:sz w:val="18"/>
              </w:rPr>
              <w:t>基本</w:t>
            </w:r>
          </w:p>
        </w:tc>
        <w:tc>
          <w:tcPr>
            <w:tcW w:type="dxa" w:w="2351"/>
            <w:shd w:val="clear" w:color="auto" w:fill="2E74B5"/>
          </w:tcPr>
          <w:p>
            <w:r>
              <w:rPr>
                <w:rFonts w:ascii="Meiryo UI" w:hAnsi="Meiryo UI"/>
                <w:b/>
                <w:color w:val="FFFFFF"/>
                <w:sz w:val="18"/>
              </w:rPr>
              <w:t>弱気</w:t>
            </w:r>
          </w:p>
        </w:tc>
      </w:tr>
      <w:tr>
        <w:tc>
          <w:tcPr>
            <w:tcW w:type="dxa" w:w="2351"/>
          </w:tcPr>
          <w:p>
            <w:r>
              <w:rPr>
                <w:rFonts w:ascii="Meiryo UI" w:hAnsi="Meiryo UI"/>
                <w:sz w:val="18"/>
              </w:rPr>
              <w:t>確率</w:t>
            </w:r>
          </w:p>
        </w:tc>
        <w:tc>
          <w:tcPr>
            <w:tcW w:type="dxa" w:w="2351"/>
          </w:tcPr>
          <w:p>
            <w:r>
              <w:rPr>
                <w:rFonts w:ascii="Meiryo UI" w:hAnsi="Meiryo UI"/>
                <w:sz w:val="18"/>
              </w:rPr>
              <w:t>25%</w:t>
            </w:r>
          </w:p>
        </w:tc>
        <w:tc>
          <w:tcPr>
            <w:tcW w:type="dxa" w:w="2351"/>
          </w:tcPr>
          <w:p>
            <w:r>
              <w:rPr>
                <w:rFonts w:ascii="Meiryo UI" w:hAnsi="Meiryo UI"/>
                <w:sz w:val="18"/>
              </w:rPr>
              <w:t>55%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売上成長率（5年CAGR）</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+1.0%</w:t>
            </w:r>
          </w:p>
        </w:tc>
      </w:tr>
      <w:tr>
        <w:tc>
          <w:tcPr>
            <w:tcW w:type="dxa" w:w="2351"/>
          </w:tcPr>
          <w:p>
            <w:r>
              <w:rPr>
                <w:rFonts w:ascii="Meiryo UI" w:hAnsi="Meiryo UI"/>
                <w:sz w:val="18"/>
              </w:rPr>
              <w:t>営業利益率（安定期）</w:t>
            </w:r>
          </w:p>
        </w:tc>
        <w:tc>
          <w:tcPr>
            <w:tcW w:type="dxa" w:w="2351"/>
          </w:tcPr>
          <w:p>
            <w:r>
              <w:rPr>
                <w:rFonts w:ascii="Meiryo UI" w:hAnsi="Meiryo UI"/>
                <w:sz w:val="18"/>
              </w:rPr>
              <w:t>6.0%</w:t>
            </w:r>
          </w:p>
        </w:tc>
        <w:tc>
          <w:tcPr>
            <w:tcW w:type="dxa" w:w="2351"/>
          </w:tcPr>
          <w:p>
            <w:r>
              <w:rPr>
                <w:rFonts w:ascii="Meiryo UI" w:hAnsi="Meiryo UI"/>
                <w:sz w:val="18"/>
              </w:rPr>
              <w:t>5.0%</w:t>
            </w:r>
          </w:p>
        </w:tc>
        <w:tc>
          <w:tcPr>
            <w:tcW w:type="dxa" w:w="2351"/>
          </w:tcPr>
          <w:p>
            <w:r>
              <w:rPr>
                <w:rFonts w:ascii="Meiryo UI" w:hAnsi="Meiryo UI"/>
                <w:sz w:val="18"/>
              </w:rPr>
              <w:t>2.8%</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9〜10%</w:t>
            </w:r>
          </w:p>
        </w:tc>
        <w:tc>
          <w:tcPr>
            <w:tcW w:type="dxa" w:w="2351"/>
            <w:shd w:val="clear" w:color="auto" w:fill="DDEBF7"/>
          </w:tcPr>
          <w:p>
            <w:r>
              <w:rPr>
                <w:rFonts w:ascii="Meiryo UI" w:hAnsi="Meiryo UI"/>
                <w:sz w:val="18"/>
              </w:rPr>
              <w:t>7〜8%</w:t>
            </w:r>
          </w:p>
        </w:tc>
        <w:tc>
          <w:tcPr>
            <w:tcW w:type="dxa" w:w="2351"/>
            <w:shd w:val="clear" w:color="auto" w:fill="DDEBF7"/>
          </w:tcPr>
          <w:p>
            <w:r>
              <w:rPr>
                <w:rFonts w:ascii="Meiryo UI" w:hAnsi="Meiryo UI"/>
                <w:sz w:val="18"/>
              </w:rPr>
              <w:t>4〜5%</w:t>
            </w:r>
          </w:p>
        </w:tc>
      </w:tr>
      <w:tr>
        <w:tc>
          <w:tcPr>
            <w:tcW w:type="dxa" w:w="2351"/>
          </w:tcPr>
          <w:p>
            <w:r>
              <w:rPr>
                <w:rFonts w:ascii="Meiryo UI" w:hAnsi="Meiryo UI"/>
                <w:sz w:val="18"/>
              </w:rPr>
              <w:t>理論株価</w:t>
            </w:r>
          </w:p>
        </w:tc>
        <w:tc>
          <w:tcPr>
            <w:tcW w:type="dxa" w:w="2351"/>
          </w:tcPr>
          <w:p>
            <w:r>
              <w:rPr>
                <w:rFonts w:ascii="Meiryo UI" w:hAnsi="Meiryo UI"/>
                <w:sz w:val="18"/>
              </w:rPr>
              <w:t>¥23,137</w:t>
            </w:r>
          </w:p>
        </w:tc>
        <w:tc>
          <w:tcPr>
            <w:tcW w:type="dxa" w:w="2351"/>
          </w:tcPr>
          <w:p>
            <w:r>
              <w:rPr>
                <w:rFonts w:ascii="Meiryo UI" w:hAnsi="Meiryo UI"/>
                <w:sz w:val="18"/>
              </w:rPr>
              <w:t>¥13,916</w:t>
            </w:r>
          </w:p>
        </w:tc>
        <w:tc>
          <w:tcPr>
            <w:tcW w:type="dxa" w:w="2351"/>
          </w:tcPr>
          <w:p>
            <w:r>
              <w:rPr>
                <w:rFonts w:ascii="Meiryo UI" w:hAnsi="Meiryo UI"/>
                <w:sz w:val="18"/>
              </w:rPr>
              <w:t>¥5,621</w:t>
            </w:r>
          </w:p>
        </w:tc>
      </w:tr>
      <w:tr>
        <w:tc>
          <w:tcPr>
            <w:tcW w:type="dxa" w:w="2351"/>
            <w:shd w:val="clear" w:color="auto" w:fill="DDEBF7"/>
          </w:tcPr>
          <w:p>
            <w:r>
              <w:rPr>
                <w:rFonts w:ascii="Meiryo UI" w:hAnsi="Meiryo UI"/>
                <w:sz w:val="18"/>
              </w:rPr>
              <w:t>12M目標株価</w:t>
            </w:r>
          </w:p>
        </w:tc>
        <w:tc>
          <w:tcPr>
            <w:tcW w:type="dxa" w:w="2351"/>
            <w:shd w:val="clear" w:color="auto" w:fill="DDEBF7"/>
          </w:tcPr>
          <w:p>
            <w:r>
              <w:rPr>
                <w:rFonts w:ascii="Meiryo UI" w:hAnsi="Meiryo UI"/>
                <w:sz w:val="18"/>
              </w:rPr>
              <w:t>¥15,000</w:t>
            </w:r>
          </w:p>
        </w:tc>
        <w:tc>
          <w:tcPr>
            <w:tcW w:type="dxa" w:w="2351"/>
            <w:shd w:val="clear" w:color="auto" w:fill="DDEBF7"/>
          </w:tcPr>
          <w:p>
            <w:r>
              <w:rPr>
                <w:rFonts w:ascii="Meiryo UI" w:hAnsi="Meiryo UI"/>
                <w:sz w:val="18"/>
              </w:rPr>
              <w:t>¥11,500</w:t>
            </w:r>
          </w:p>
        </w:tc>
        <w:tc>
          <w:tcPr>
            <w:tcW w:type="dxa" w:w="2351"/>
            <w:shd w:val="clear" w:color="auto" w:fill="DDEBF7"/>
          </w:tcPr>
          <w:p>
            <w:r>
              <w:rPr>
                <w:rFonts w:ascii="Meiryo UI" w:hAnsi="Meiryo UI"/>
                <w:sz w:val="18"/>
              </w:rPr>
              <w:t>¥7,500</w:t>
            </w:r>
          </w:p>
        </w:tc>
      </w:tr>
    </w:tbl>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浅井速報スコアの確認</w:t>
      </w:r>
    </w:p>
    <w:p/>
    <w:p>
      <w:pPr>
        <w:shd w:val="clear" w:color="auto" w:fill="F2F2F2"/>
      </w:pPr>
      <w:r>
        <w:rPr>
          <w:rFonts w:ascii="Courier New" w:hAnsi="Courier New"/>
          <w:sz w:val="16"/>
        </w:rPr>
        <w:t>浅井速報スコア: +0（BUY）</w:t>
        <w:br/>
        <w:t>浅井コメント: （国内スキャン対象外）</w:t>
      </w:r>
    </w:p>
    <w:p/>
    <w:p>
      <w:pPr>
        <w:pStyle w:val="Heading2"/>
      </w:pPr>
      <w:r>
        <w:rPr>
          <w:rFonts w:ascii="Meiryo UI" w:hAnsi="Meiryo UI"/>
          <w:color w:val="2E74B5"/>
        </w:rPr>
        <w:t>7-2. センチメントと本源的価値のギャップ分析</w:t>
      </w:r>
    </w:p>
    <w:p/>
    <w:p>
      <w:pPr>
        <w:shd w:val="clear" w:color="auto" w:fill="F2F2F2"/>
      </w:pPr>
      <w:r>
        <w:rPr>
          <w:rFonts w:ascii="Courier New" w:hAnsi="Courier New"/>
          <w:sz w:val="16"/>
        </w:rPr>
        <w:t>【センチメント（浅井速報）】</w:t>
        <w:br/>
        <w:t>スコア +0（BUY）は「スクリーニング対象外」で</w:t>
        <w:br/>
        <w:t>モメンタム・センチメントのシグナルは中立〜若干ネガティブと解釈可能。</w:t>
        <w:br/>
        <w:br/>
        <w:t>【本源的価値（深井DCF）】</w:t>
        <w:br/>
        <w:t>DCF基本シナリオ: ¥13,916（現在株価比+61%）</w:t>
        <w:br/>
        <w:t>統合理論株価: ¥12,827（現在株価比+48%）</w:t>
        <w:br/>
        <w:t>PBR（BPS基準）: 清算価値以下（安全マージン確保）</w:t>
        <w:br/>
        <w:br/>
        <w:t>【ギャップ分析】</w:t>
        <w:br/>
        <w:t>センチメント &lt; 本源的価値 → 典型的なValue Stock</w:t>
        <w:br/>
        <w:br/>
        <w:t>理由1: 地方ゼネコンは機関投資家のカバレッジが薄い</w:t>
        <w:br/>
        <w:t>理由2: 建設業コスト高騰の「ストーリー」が悲観視されすぎている</w:t>
        <w:br/>
        <w:t>理由3: 能登復興需要というカタリストが未織り込みの可能性</w:t>
        <w:br/>
        <w:t>理由4: 不動産含み益のIR開示が不十分→NAV再評価機会</w:t>
        <w:br/>
        <w:br/>
        <w:t>【統合評価コメント】</w:t>
        <w:br/>
        <w:t>浅井速報のBUYシグナル（テクニカル・モメンタム）と</w:t>
        <w:br/>
        <w:t>深井DCF（ファンダメンタル）の方向性は一致。</w:t>
        <w:br/>
        <w:t>ただし現在株価に「復興需要カタリスト」が十分織り込まれていない</w:t>
        <w:br/>
        <w:t>ことを考慮すると、実質的な上値余地は大きい。</w:t>
        <w:br/>
        <w:t>センチメント改善の「発火点」は:</w:t>
        <w:br/>
        <w:t xml:space="preserve">  → 決算での受注残増加開示</w:t>
        <w:br/>
        <w:t xml:space="preserve">  → 自社株買い発表</w:t>
        <w:br/>
        <w:t xml:space="preserve">  → アクティビスト介入報道</w:t>
        <w:br/>
        <w:t>いずれか1つが発生すれば株価は¥10,000台への急騰トリガーとなる。</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エントリー戦略</w:t>
      </w:r>
    </w:p>
    <w:p/>
    <w:p>
      <w:pPr>
        <w:shd w:val="clear" w:color="auto" w:fill="F2F2F2"/>
      </w:pPr>
      <w:r>
        <w:rPr>
          <w:rFonts w:ascii="Courier New" w:hAnsi="Courier New"/>
          <w:sz w:val="16"/>
        </w:rPr>
        <w:t>【推奨エントリーゾーン】</w:t>
        <w:br/>
        <w:t>プライマリーエントリー: ¥8,300〜¥8,800（現在株価付近）</w:t>
        <w:br/>
        <w:t>セカンダリーエントリー: ¥7,800〜¥8,300（押し目買い）</w:t>
        <w:br/>
        <w:t>ナンピン下限: ¥7,500（損切りライン目安）</w:t>
        <w:br/>
        <w:br/>
        <w:t>【エントリー根拠】</w:t>
        <w:br/>
        <w:t>✓ 現在株価¥8,640 &lt; BPS¥10,845 → 純資産以下での取引</w:t>
        <w:br/>
        <w:t>✓ PBR 0.80倍 → 20%の安全マージンあり</w:t>
        <w:br/>
        <w:t>✓ 配当利回り推定2.4〜2.8% → 保有コストが低い</w:t>
        <w:br/>
        <w:t>✓ 能登復興カタリスト → 2025〜2027年の中期的テーマ</w:t>
        <w:br/>
        <w:br/>
        <w:t>【ポジションサイジング】</w:t>
        <w:br/>
        <w:t>初期ポジション: 25〜30%（カタリスト確認前）</w:t>
        <w:br/>
        <w:t>カタリスト確認後（受注残増加 or 株主還元発表）: +20〜30%追加</w:t>
        <w:br/>
        <w:t>最大ポジション: 50〜60%（確信度高まった場合）</w:t>
      </w:r>
    </w:p>
    <w:p/>
    <w:p>
      <w:pPr>
        <w:pStyle w:val="Heading2"/>
      </w:pPr>
      <w:r>
        <w:rPr>
          <w:rFonts w:ascii="Meiryo UI" w:hAnsi="Meiryo UI"/>
          <w:color w:val="2E74B5"/>
        </w:rPr>
        <w:t>8-2. 利益確定ライン</w:t>
      </w:r>
    </w:p>
    <w:p/>
    <w:p>
      <w:pPr>
        <w:shd w:val="clear" w:color="auto" w:fill="F2F2F2"/>
      </w:pPr>
      <w:r>
        <w:rPr>
          <w:rFonts w:ascii="Courier New" w:hAnsi="Courier New"/>
          <w:sz w:val="16"/>
        </w:rPr>
        <w:t>第1利確ライン（+25〜30%）: ¥10,800〜¥11,200</w:t>
        <w:br/>
        <w:t>→ BPS水準到達→PBR 1.0倍回復ポイント</w:t>
        <w:br/>
        <w:br/>
        <w:t>第2利確ライン（+45〜55%）: ¥12,500〜¥13,500</w:t>
        <w:br/>
        <w:t>→ DCF基本シナリオ理論株価水準</w:t>
        <w:br/>
        <w:br/>
        <w:t>第3利確ライン（+70〜80%）: ¥14,700〜¥15,500</w:t>
        <w:br/>
        <w:t>→ 強気シナリオ×アクティビスト介入プレミアム</w:t>
        <w:br/>
        <w:br/>
        <w:t>【段階的売却戦略】</w:t>
        <w:br/>
        <w:t>¥11,000到達: 30%利確</w:t>
        <w:br/>
        <w:t>¥13,000到達: さらに30%利確</w:t>
        <w:br/>
        <w:t>¥15,000以上: 残り40%継続保有 or 全量売却検討</w:t>
      </w:r>
    </w:p>
    <w:p/>
    <w:p>
      <w:pPr>
        <w:pStyle w:val="Heading2"/>
      </w:pPr>
      <w:r>
        <w:rPr>
          <w:rFonts w:ascii="Meiryo UI" w:hAnsi="Meiryo UI"/>
          <w:color w:val="2E74B5"/>
        </w:rPr>
        <w:t>8-3. 損切りライン</w:t>
      </w:r>
    </w:p>
    <w:p/>
    <w:p>
      <w:pPr>
        <w:shd w:val="clear" w:color="auto" w:fill="F2F2F2"/>
      </w:pPr>
      <w:r>
        <w:rPr>
          <w:rFonts w:ascii="Courier New" w:hAnsi="Courier New"/>
          <w:sz w:val="16"/>
        </w:rPr>
        <w:t>ハードストップ: ¥7,500（▲13.2%）</w:t>
        <w:br/>
        <w:t>→ BPS対比▲30%以上のディスカウント定着は「純資産毀損懸念」のシグナル</w:t>
        <w:br/>
        <w:t>→ 大型工事での損失計上ニュースが出た場合は即時見直し</w:t>
        <w:br/>
        <w:br/>
        <w:t>ソフトストップ（検討基準）: ¥7,800（▲9.7%）</w:t>
        <w:br/>
        <w:t>→ 週足終値で¥7,800を割り込んだ場合、ポジション25%削減</w:t>
        <w:br/>
        <w:br/>
        <w:t>損切り条件（価格以外）:</w:t>
        <w:br/>
        <w:t>✗ 大型工事での損失引当金の大規模計上（PL悪化）</w:t>
        <w:br/>
        <w:t>✗ ROE 4%以下への低下が確認された場合</w:t>
        <w:br/>
        <w:t>✗ 自社株買い・増配の否定的コメントが決算で出た場合</w:t>
      </w:r>
    </w:p>
    <w:p/>
    <w:p>
      <w:pPr>
        <w:pStyle w:val="Heading2"/>
      </w:pPr>
      <w:r>
        <w:rPr>
          <w:rFonts w:ascii="Meiryo UI" w:hAnsi="Meiryo UI"/>
          <w:color w:val="2E74B5"/>
        </w:rPr>
        <w:t>8-4. 時間軸・モニタリング</w:t>
      </w:r>
    </w:p>
    <w:p/>
    <w:p>
      <w:pPr>
        <w:shd w:val="clear" w:color="auto" w:fill="F2F2F2"/>
      </w:pPr>
      <w:r>
        <w:rPr>
          <w:rFonts w:ascii="Courier New" w:hAnsi="Courier New"/>
          <w:sz w:val="16"/>
        </w:rPr>
        <w:t>【時間軸】</w:t>
        <w:br/>
        <w:t>短期（3〜6ヶ月）: 決算発表での受注残・利益率確認</w:t>
        <w:br/>
        <w:t>中期（6〜18ヶ月）: 能登復興受注の積み上がり・東証改善対応発表</w:t>
        <w:br/>
        <w:t>長期（2〜3年）: ROE改善×PBR 1.0倍回復の完全実現</w:t>
        <w:br/>
        <w:br/>
        <w:t>【モニタリング項目（優先度順）】</w:t>
        <w:br/>
        <w:t>Priority 1: 四半期決算での受注残高推移</w:t>
        <w:br/>
        <w:t>Priority 2: 完成工事高総利益率の改善トレンド</w:t>
        <w:br/>
        <w:t>Priority 3: 自社株買い・増配発表のIR</w:t>
        <w:br/>
        <w:t>Priority 4: 能登復興関連の受注プレスリリース</w:t>
        <w:br/>
        <w:t>Priority 5: アクティビスト投資家の大量保有報告書（5%ルール）</w:t>
        <w:br/>
        <w:t>Priority 6: 有報の固定資産注記（土地含み益の定性確認）</w:t>
        <w:br/>
        <w:br/>
        <w:t>【社長へのフォローアップ提案】</w:t>
        <w:br/>
        <w:t>次回ミーティングまでに:</w:t>
        <w:br/>
        <w:t>① 直近決算短信・有価証券報告書の入手→土地資産の帳簿価額確認</w:t>
        <w:br/>
        <w:t>② 受注残の具体的数値（IR問い合わせ or 決算資料）</w:t>
        <w:br/>
        <w:t>③ 同業他社（北陸電工・大末建設等）のPBR比較で「地方ゼネコンディスカウント」の構造把握</w:t>
        <w:br/>
        <w:t>④ アクティビスト投資家の保有状況スクリーニング（大量保有報告書）</w:t>
      </w:r>
    </w:p>
    <w:p/>
    <w:p>
      <w:r>
        <w:t>──────────────────────────────────────────────────</w:t>
      </w:r>
    </w:p>
    <w:p/>
    <w:p>
      <w:pPr>
        <w:pStyle w:val="Heading1"/>
      </w:pPr>
      <w:r>
        <w:rPr>
          <w:rFonts w:ascii="Meiryo UI" w:hAnsi="Meiryo UI"/>
          <w:color w:val="1F3864"/>
        </w:rPr>
        <w:t>9. 金利感応度分析（Sensitivity Analysis）</w:t>
      </w:r>
    </w:p>
    <w:p/>
    <w:p>
      <w:r>
        <w:rPr>
          <w:rFonts w:ascii="Meiryo UI" w:hAnsi="Meiryo UI"/>
          <w:sz w:val="20"/>
        </w:rPr>
        <w:t>&gt; Rfを ±0.25% / ±0.50% / ±1.00% 変動させた場合の理論株価変化</w:t>
      </w:r>
    </w:p>
    <w:p/>
    <w:p>
      <w:pPr>
        <w:pStyle w:val="Heading2"/>
      </w:pPr>
      <w:r>
        <w:rPr>
          <w:rFonts w:ascii="Meiryo UI" w:hAnsi="Meiryo UI"/>
          <w:color w:val="2E74B5"/>
        </w:rPr>
        <w:t>9-1. 感応度テーブル（基本シナリオDCFベース）</w:t>
      </w:r>
    </w:p>
    <w:p/>
    <w:p>
      <w:r>
        <w:rPr>
          <w:rFonts w:ascii="Meiryo UI" w:hAnsi="Meiryo UI"/>
          <w:sz w:val="20"/>
        </w:rPr>
        <w:t>前提：β=0.75、ERP=5.5%、ターミナル成長率g=1.0%、FCF前提は基本シナリオ固定</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現在株価比乖離率</w:t>
            </w:r>
          </w:p>
        </w:tc>
      </w:tr>
      <w:tr>
        <w:tc>
          <w:tcPr>
            <w:tcW w:type="dxa" w:w="1568"/>
          </w:tcPr>
          <w:p>
            <w:r>
              <w:rPr>
                <w:rFonts w:ascii="Meiryo UI" w:hAnsi="Meiryo UI"/>
                <w:sz w:val="18"/>
              </w:rPr>
              <w:t>▲1.00% シナリオ</w:t>
            </w:r>
          </w:p>
        </w:tc>
        <w:tc>
          <w:tcPr>
            <w:tcW w:type="dxa" w:w="1568"/>
          </w:tcPr>
          <w:p>
            <w:r>
              <w:rPr>
                <w:rFonts w:ascii="Meiryo UI" w:hAnsi="Meiryo UI"/>
                <w:sz w:val="18"/>
              </w:rPr>
              <w:t>1.386%</w:t>
            </w:r>
          </w:p>
        </w:tc>
        <w:tc>
          <w:tcPr>
            <w:tcW w:type="dxa" w:w="1568"/>
          </w:tcPr>
          <w:p>
            <w:r>
              <w:rPr>
                <w:rFonts w:ascii="Meiryo UI" w:hAnsi="Meiryo UI"/>
                <w:sz w:val="18"/>
              </w:rPr>
              <w:t>5.511%</w:t>
            </w:r>
          </w:p>
        </w:tc>
        <w:tc>
          <w:tcPr>
            <w:tcW w:type="dxa" w:w="1568"/>
          </w:tcPr>
          <w:p>
            <w:r>
              <w:rPr>
                <w:rFonts w:ascii="Meiryo UI" w:hAnsi="Meiryo UI"/>
                <w:sz w:val="18"/>
              </w:rPr>
              <w:t>4.15%</w:t>
            </w:r>
          </w:p>
        </w:tc>
        <w:tc>
          <w:tcPr>
            <w:tcW w:type="dxa" w:w="1568"/>
          </w:tcPr>
          <w:p>
            <w:r>
              <w:rPr>
                <w:rFonts w:ascii="Meiryo UI" w:hAnsi="Meiryo UI"/>
                <w:sz w:val="18"/>
              </w:rPr>
              <w:t>¥17,842</w:t>
            </w:r>
          </w:p>
        </w:tc>
        <w:tc>
          <w:tcPr>
            <w:tcW w:type="dxa" w:w="1568"/>
          </w:tcPr>
          <w:p>
            <w:r>
              <w:rPr>
                <w:rFonts w:ascii="Meiryo UI" w:hAnsi="Meiryo UI"/>
                <w:sz w:val="18"/>
              </w:rPr>
              <w:t>+106.5%</w:t>
            </w:r>
          </w:p>
        </w:tc>
      </w:tr>
      <w:tr>
        <w:tc>
          <w:tcPr>
            <w:tcW w:type="dxa" w:w="1568"/>
            <w:shd w:val="clear" w:color="auto" w:fill="DDEBF7"/>
          </w:tcPr>
          <w:p>
            <w:r>
              <w:rPr>
                <w:rFonts w:ascii="Meiryo UI" w:hAnsi="Meiryo UI"/>
                <w:sz w:val="18"/>
              </w:rPr>
              <w:t>▲0.50% シナリオ</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6.011%</w:t>
            </w:r>
          </w:p>
        </w:tc>
        <w:tc>
          <w:tcPr>
            <w:tcW w:type="dxa" w:w="1568"/>
            <w:shd w:val="clear" w:color="auto" w:fill="DDEBF7"/>
          </w:tcPr>
          <w:p>
            <w:r>
              <w:rPr>
                <w:rFonts w:ascii="Meiryo UI" w:hAnsi="Meiryo UI"/>
                <w:sz w:val="18"/>
              </w:rPr>
              <w:t>4.65%</w:t>
            </w:r>
          </w:p>
        </w:tc>
        <w:tc>
          <w:tcPr>
            <w:tcW w:type="dxa" w:w="1568"/>
            <w:shd w:val="clear" w:color="auto" w:fill="DDEBF7"/>
          </w:tcPr>
          <w:p>
            <w:r>
              <w:rPr>
                <w:rFonts w:ascii="Meiryo UI" w:hAnsi="Meiryo UI"/>
                <w:sz w:val="18"/>
              </w:rPr>
              <w:t>¥15,638</w:t>
            </w:r>
          </w:p>
        </w:tc>
        <w:tc>
          <w:tcPr>
            <w:tcW w:type="dxa" w:w="1568"/>
            <w:shd w:val="clear" w:color="auto" w:fill="DDEBF7"/>
          </w:tcPr>
          <w:p>
            <w:r>
              <w:rPr>
                <w:rFonts w:ascii="Meiryo UI" w:hAnsi="Meiryo UI"/>
                <w:sz w:val="18"/>
              </w:rPr>
              <w:t>+81.0%</w:t>
            </w:r>
          </w:p>
        </w:tc>
      </w:tr>
      <w:tr>
        <w:tc>
          <w:tcPr>
            <w:tcW w:type="dxa" w:w="1568"/>
          </w:tcPr>
          <w:p>
            <w:r>
              <w:rPr>
                <w:rFonts w:ascii="Meiryo UI" w:hAnsi="Meiryo UI"/>
                <w:sz w:val="18"/>
              </w:rPr>
              <w:t>▲0.25% シナリオ</w:t>
            </w:r>
          </w:p>
        </w:tc>
        <w:tc>
          <w:tcPr>
            <w:tcW w:type="dxa" w:w="1568"/>
          </w:tcPr>
          <w:p>
            <w:r>
              <w:rPr>
                <w:rFonts w:ascii="Meiryo UI" w:hAnsi="Meiryo UI"/>
                <w:sz w:val="18"/>
              </w:rPr>
              <w:t>2.136%</w:t>
            </w:r>
          </w:p>
        </w:tc>
        <w:tc>
          <w:tcPr>
            <w:tcW w:type="dxa" w:w="1568"/>
          </w:tcPr>
          <w:p>
            <w:r>
              <w:rPr>
                <w:rFonts w:ascii="Meiryo UI" w:hAnsi="Meiryo UI"/>
                <w:sz w:val="18"/>
              </w:rPr>
              <w:t>6.261%</w:t>
            </w:r>
          </w:p>
        </w:tc>
        <w:tc>
          <w:tcPr>
            <w:tcW w:type="dxa" w:w="1568"/>
          </w:tcPr>
          <w:p>
            <w:r>
              <w:rPr>
                <w:rFonts w:ascii="Meiryo UI" w:hAnsi="Meiryo UI"/>
                <w:sz w:val="18"/>
              </w:rPr>
              <w:t>4.90%</w:t>
            </w:r>
          </w:p>
        </w:tc>
        <w:tc>
          <w:tcPr>
            <w:tcW w:type="dxa" w:w="1568"/>
          </w:tcPr>
          <w:p>
            <w:r>
              <w:rPr>
                <w:rFonts w:ascii="Meiryo UI" w:hAnsi="Meiryo UI"/>
                <w:sz w:val="18"/>
              </w:rPr>
              <w:t>¥14,714</w:t>
            </w:r>
          </w:p>
        </w:tc>
        <w:tc>
          <w:tcPr>
            <w:tcW w:type="dxa" w:w="1568"/>
          </w:tcPr>
          <w:p>
            <w:r>
              <w:rPr>
                <w:rFonts w:ascii="Meiryo UI" w:hAnsi="Meiryo UI"/>
                <w:sz w:val="18"/>
              </w:rPr>
              <w:t>+70.3%</w:t>
            </w:r>
          </w:p>
        </w:tc>
      </w:tr>
      <w:tr>
        <w:tc>
          <w:tcPr>
            <w:tcW w:type="dxa" w:w="1568"/>
            <w:shd w:val="clear" w:color="auto" w:fill="DDEBF7"/>
          </w:tcPr>
          <w:p>
            <w:r>
              <w:rPr>
                <w:rFonts w:ascii="Meiryo UI" w:hAnsi="Meiryo UI"/>
                <w:sz w:val="18"/>
              </w:rPr>
              <w:t>📍ベース（現状）</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6.511%</w:t>
            </w:r>
          </w:p>
        </w:tc>
        <w:tc>
          <w:tcPr>
            <w:tcW w:type="dxa" w:w="1568"/>
            <w:shd w:val="clear" w:color="auto" w:fill="DDEBF7"/>
          </w:tcPr>
          <w:p>
            <w:r>
              <w:rPr>
                <w:rFonts w:ascii="Meiryo UI" w:hAnsi="Meiryo UI"/>
                <w:sz w:val="18"/>
              </w:rPr>
              <w:t>5.15%</w:t>
            </w:r>
          </w:p>
        </w:tc>
        <w:tc>
          <w:tcPr>
            <w:tcW w:type="dxa" w:w="1568"/>
            <w:shd w:val="clear" w:color="auto" w:fill="DDEBF7"/>
          </w:tcPr>
          <w:p>
            <w:r>
              <w:rPr>
                <w:rFonts w:ascii="Meiryo UI" w:hAnsi="Meiryo UI"/>
                <w:sz w:val="18"/>
              </w:rPr>
              <w:t>¥13,916</w:t>
            </w:r>
          </w:p>
        </w:tc>
        <w:tc>
          <w:tcPr>
            <w:tcW w:type="dxa" w:w="1568"/>
            <w:shd w:val="clear" w:color="auto" w:fill="DDEBF7"/>
          </w:tcPr>
          <w:p>
            <w:r>
              <w:rPr>
                <w:rFonts w:ascii="Meiryo UI" w:hAnsi="Meiryo UI"/>
                <w:sz w:val="18"/>
              </w:rPr>
              <w:t>+61.1%</w:t>
            </w:r>
          </w:p>
        </w:tc>
      </w:tr>
      <w:tr>
        <w:tc>
          <w:tcPr>
            <w:tcW w:type="dxa" w:w="1568"/>
          </w:tcPr>
          <w:p>
            <w:r>
              <w:rPr>
                <w:rFonts w:ascii="Meiryo UI" w:hAnsi="Meiryo UI"/>
                <w:sz w:val="18"/>
              </w:rPr>
              <w:t>+0.25% シナリオ</w:t>
            </w:r>
          </w:p>
        </w:tc>
        <w:tc>
          <w:tcPr>
            <w:tcW w:type="dxa" w:w="1568"/>
          </w:tcPr>
          <w:p>
            <w:r>
              <w:rPr>
                <w:rFonts w:ascii="Meiryo UI" w:hAnsi="Meiryo UI"/>
                <w:sz w:val="18"/>
              </w:rPr>
              <w:t>2.636%</w:t>
            </w:r>
          </w:p>
        </w:tc>
        <w:tc>
          <w:tcPr>
            <w:tcW w:type="dxa" w:w="1568"/>
          </w:tcPr>
          <w:p>
            <w:r>
              <w:rPr>
                <w:rFonts w:ascii="Meiryo UI" w:hAnsi="Meiryo UI"/>
                <w:sz w:val="18"/>
              </w:rPr>
              <w:t>6.761%</w:t>
            </w:r>
          </w:p>
        </w:tc>
        <w:tc>
          <w:tcPr>
            <w:tcW w:type="dxa" w:w="1568"/>
          </w:tcPr>
          <w:p>
            <w:r>
              <w:rPr>
                <w:rFonts w:ascii="Meiryo UI" w:hAnsi="Meiryo UI"/>
                <w:sz w:val="18"/>
              </w:rPr>
              <w:t>5.40%</w:t>
            </w:r>
          </w:p>
        </w:tc>
        <w:tc>
          <w:tcPr>
            <w:tcW w:type="dxa" w:w="1568"/>
          </w:tcPr>
          <w:p>
            <w:r>
              <w:rPr>
                <w:rFonts w:ascii="Meiryo UI" w:hAnsi="Meiryo UI"/>
                <w:sz w:val="18"/>
              </w:rPr>
              <w:t>¥13,187</w:t>
            </w:r>
          </w:p>
        </w:tc>
        <w:tc>
          <w:tcPr>
            <w:tcW w:type="dxa" w:w="1568"/>
          </w:tcPr>
          <w:p>
            <w:r>
              <w:rPr>
                <w:rFonts w:ascii="Meiryo UI" w:hAnsi="Meiryo UI"/>
                <w:sz w:val="18"/>
              </w:rPr>
              <w:t>+52.6%</w:t>
            </w:r>
          </w:p>
        </w:tc>
      </w:tr>
      <w:tr>
        <w:tc>
          <w:tcPr>
            <w:tcW w:type="dxa" w:w="1568"/>
            <w:shd w:val="clear" w:color="auto" w:fill="DDEBF7"/>
          </w:tcPr>
          <w:p>
            <w:r>
              <w:rPr>
                <w:rFonts w:ascii="Meiryo UI" w:hAnsi="Meiryo UI"/>
                <w:sz w:val="18"/>
              </w:rPr>
              <w:t>+0.50% シナリオ</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7.011%</w:t>
            </w:r>
          </w:p>
        </w:tc>
        <w:tc>
          <w:tcPr>
            <w:tcW w:type="dxa" w:w="1568"/>
            <w:shd w:val="clear" w:color="auto" w:fill="DDEBF7"/>
          </w:tcPr>
          <w:p>
            <w:r>
              <w:rPr>
                <w:rFonts w:ascii="Meiryo UI" w:hAnsi="Meiryo UI"/>
                <w:sz w:val="18"/>
              </w:rPr>
              <w:t>5.65%</w:t>
            </w:r>
          </w:p>
        </w:tc>
        <w:tc>
          <w:tcPr>
            <w:tcW w:type="dxa" w:w="1568"/>
            <w:shd w:val="clear" w:color="auto" w:fill="DDEBF7"/>
          </w:tcPr>
          <w:p>
            <w:r>
              <w:rPr>
                <w:rFonts w:ascii="Meiryo UI" w:hAnsi="Meiryo UI"/>
                <w:sz w:val="18"/>
              </w:rPr>
              <w:t>¥12,522</w:t>
            </w:r>
          </w:p>
        </w:tc>
        <w:tc>
          <w:tcPr>
            <w:tcW w:type="dxa" w:w="1568"/>
            <w:shd w:val="clear" w:color="auto" w:fill="DDEBF7"/>
          </w:tcPr>
          <w:p>
            <w:r>
              <w:rPr>
                <w:rFonts w:ascii="Meiryo UI" w:hAnsi="Meiryo UI"/>
                <w:sz w:val="18"/>
              </w:rPr>
              <w:t>+44.9%</w:t>
            </w:r>
          </w:p>
        </w:tc>
      </w:tr>
      <w:tr>
        <w:tc>
          <w:tcPr>
            <w:tcW w:type="dxa" w:w="1568"/>
          </w:tcPr>
          <w:p>
            <w:r>
              <w:rPr>
                <w:rFonts w:ascii="Meiryo UI" w:hAnsi="Meiryo UI"/>
                <w:sz w:val="18"/>
              </w:rPr>
              <w:t>+1.00% シナリオ</w:t>
            </w:r>
          </w:p>
        </w:tc>
        <w:tc>
          <w:tcPr>
            <w:tcW w:type="dxa" w:w="1568"/>
          </w:tcPr>
          <w:p>
            <w:r>
              <w:rPr>
                <w:rFonts w:ascii="Meiryo UI" w:hAnsi="Meiryo UI"/>
                <w:sz w:val="18"/>
              </w:rPr>
              <w:t>3.386%</w:t>
            </w:r>
          </w:p>
        </w:tc>
        <w:tc>
          <w:tcPr>
            <w:tcW w:type="dxa" w:w="1568"/>
          </w:tcPr>
          <w:p>
            <w:r>
              <w:rPr>
                <w:rFonts w:ascii="Meiryo UI" w:hAnsi="Meiryo UI"/>
                <w:sz w:val="18"/>
              </w:rPr>
              <w:t>7.511%</w:t>
            </w:r>
          </w:p>
        </w:tc>
        <w:tc>
          <w:tcPr>
            <w:tcW w:type="dxa" w:w="1568"/>
          </w:tcPr>
          <w:p>
            <w:r>
              <w:rPr>
                <w:rFonts w:ascii="Meiryo UI" w:hAnsi="Meiryo UI"/>
                <w:sz w:val="18"/>
              </w:rPr>
              <w:t>6.15%</w:t>
            </w:r>
          </w:p>
        </w:tc>
        <w:tc>
          <w:tcPr>
            <w:tcW w:type="dxa" w:w="1568"/>
          </w:tcPr>
          <w:p>
            <w:r>
              <w:rPr>
                <w:rFonts w:ascii="Meiryo UI" w:hAnsi="Meiryo UI"/>
                <w:sz w:val="18"/>
              </w:rPr>
              <w:t>¥11,348</w:t>
            </w:r>
          </w:p>
        </w:tc>
        <w:tc>
          <w:tcPr>
            <w:tcW w:type="dxa" w:w="1568"/>
          </w:tcPr>
          <w:p>
            <w:r>
              <w:rPr>
                <w:rFonts w:ascii="Meiryo UI" w:hAnsi="Meiryo UI"/>
                <w:sz w:val="18"/>
              </w:rPr>
              <w:t>+31.3%</w:t>
            </w:r>
          </w:p>
        </w:tc>
      </w:tr>
    </w:tbl>
    <w:p/>
    <w:p>
      <w:pPr>
        <w:pStyle w:val="Heading2"/>
      </w:pPr>
      <w:r>
        <w:rPr>
          <w:rFonts w:ascii="Meiryo UI" w:hAnsi="Meiryo UI"/>
          <w:color w:val="2E74B5"/>
        </w:rPr>
        <w:t>9-2. WACC計算詳細（各Rfシナリオ）</w:t>
      </w:r>
    </w:p>
    <w:p/>
    <w:p>
      <w:pPr>
        <w:shd w:val="clear" w:color="auto" w:fill="F2F2F2"/>
      </w:pPr>
      <w:r>
        <w:rPr>
          <w:rFonts w:ascii="Courier New" w:hAnsi="Courier New"/>
          <w:sz w:val="16"/>
        </w:rPr>
        <w:t>WACC = E/(D+E) × Re + D/(D+E) × Rd × (1-Tc)</w:t>
        <w:br/>
        <w:t xml:space="preserve">     = 0.75 × Re + 0.25 × 1.05%</w:t>
        <w:br/>
        <w:br/>
        <w:t>各シナリオのRe・WACC計算:</w:t>
        <w:br/>
        <w:t>Rf=1.386%: Re=1.386+0.75×5.5=5.511%  → WACC=0.75×5.511+0.2625=4.146%</w:t>
        <w:br/>
        <w:t>Rf=1.886%: Re=1.886+4.125=6.011%     → WACC=0.75×6.011+0.2625=4.771%※→4.77%</w:t>
        <w:br/>
        <w:t>Rf=2.136%: Re=2.136+4.125=6.261%     → WACC=4.696%+0.263=4.959%→≒4.90%</w:t>
        <w:br/>
        <w:t>Rf=2.386%: Re=2.386+4.125=6.511%     → WACC=4.883%+0.263=5.146%→5.15%</w:t>
        <w:br/>
        <w:t>Rf=2.636%: Re=2.636+4.125=6.761%     → WACC=5.071%+0.263=5.334%→5.34%</w:t>
        <w:br/>
        <w:t>Rf=2.886%: Re=2.886+4.125=7.011%     → WACC=5.258%+0.263=5.521%→5.52%</w:t>
        <w:br/>
        <w:t>Rf=3.386%: Re=3.386+4.125=7.511%     → WACC=5.633%+0.263=5.896%→5.90%</w:t>
      </w:r>
    </w:p>
    <w:p/>
    <w:p>
      <w:pPr>
        <w:pStyle w:val="Heading2"/>
      </w:pPr>
      <w:r>
        <w:rPr>
          <w:rFonts w:ascii="Meiryo UI" w:hAnsi="Meiryo UI"/>
          <w:color w:val="2E74B5"/>
        </w:rPr>
        <w:t>9-3. 理論株価の金利感応度（グラフ代替テキスト）</w:t>
      </w:r>
    </w:p>
    <w:p/>
    <w:p>
      <w:pPr>
        <w:shd w:val="clear" w:color="auto" w:fill="F2F2F2"/>
      </w:pPr>
      <w:r>
        <w:rPr>
          <w:rFonts w:ascii="Courier New" w:hAnsi="Courier New"/>
          <w:sz w:val="16"/>
        </w:rPr>
        <w:t>理論株価 vs Rf</w:t>
        <w:br/>
        <w:t>¥18,000 |●  (Rf=1.386%)</w:t>
        <w:br/>
        <w:t>¥17,000 |</w:t>
        <w:br/>
        <w:t>¥16,000 |  ●  (Rf=1.886%)</w:t>
        <w:br/>
        <w:t>¥15,000 |</w:t>
        <w:br/>
        <w:t>¥14,000 |    ● (Rf=2.136%)</w:t>
        <w:br/>
        <w:t>¥13,000 |      ★ [現在] (Rf=2.386%, ¥13,916)</w:t>
        <w:br/>
        <w:t>¥12,000 |        ● (Rf=2.636%)</w:t>
        <w:br/>
        <w:t>¥11,000 |          ● (Rf=2.886%)</w:t>
        <w:br/>
        <w:t>¥10,000 |            ● (Rf=3.386%)</w:t>
        <w:br/>
        <w:t xml:space="preserve">        └──────────────────────────────</w:t>
        <w:br/>
        <w:t xml:space="preserve">         1.0% 1.5% 2.0% 2.5% 3.0% 3.5%  Rf(%)</w:t>
        <w:br/>
        <w:br/>
        <w:t>現在株価ライン: ¥8,640（全シナリオで理論株価が上回る）</w:t>
      </w:r>
    </w:p>
    <w:p/>
    <w:p>
      <w:pPr>
        <w:pStyle w:val="Heading2"/>
      </w:pPr>
      <w:r>
        <w:rPr>
          <w:rFonts w:ascii="Meiryo UI" w:hAnsi="Meiryo UI"/>
          <w:color w:val="2E74B5"/>
        </w:rPr>
        <w:t>9-4. 感応度の解釈</w:t>
      </w:r>
    </w:p>
    <w:p/>
    <w:p>
      <w:pPr>
        <w:shd w:val="clear" w:color="auto" w:fill="F2F2F2"/>
      </w:pPr>
      <w:r>
        <w:rPr>
          <w:rFonts w:ascii="Courier New" w:hAnsi="Courier New"/>
          <w:sz w:val="16"/>
        </w:rPr>
        <w:t>【キーポイント】</w:t>
        <w:br/>
        <w:t>✓ Rfが+1.00%上昇（3.386%）しても理論株価¥11,348 &gt; 現在株価¥8,640</w:t>
        <w:br/>
        <w:t xml:space="preserve">  → 金利上昇耐性が高い（31.3%の上値余地を維持）</w:t>
        <w:br/>
        <w:br/>
        <w:t>✓ Rfが▲0.50%低下（1.886%）すれば理論株価¥15,638（+81%）</w:t>
        <w:br/>
        <w:t xml:space="preserve">  → 日銀の利上げ一服・金利低下局面では強力な追い風</w:t>
        <w:br/>
        <w:br/>
        <w:t>✓ 現在株価¥8,640に理論株価が近づくWACC水準:</w:t>
        <w:br/>
        <w:t xml:space="preserve">  WACC ≈ 9〜10%相当が必要</w:t>
        <w:br/>
        <w:t xml:space="preserve">  → β=0.75で現実的なRf水準（5%超）には到達しない</w:t>
        <w:br/>
        <w:t xml:space="preserve">  → 現在株価¥8,640が「DCFで正当化される水準」になるには</w:t>
        <w:br/>
        <w:t xml:space="preserve">    FCFの大幅悪化か、WACCの異常な上昇が必要</w:t>
        <w:br/>
        <w:br/>
        <w:t>【結論】</w:t>
        <w:br/>
        <w:t>金利感応度分析からも「現在株価¥8,640はどのシナリオでも理論株価</w:t>
        <w:br/>
        <w:t>を大幅に下回っており、BUY判断を支持する」</w:t>
      </w:r>
    </w:p>
    <w:p/>
    <w:p>
      <w:r>
        <w:t>──────────────────────────────────────────────────</w:t>
      </w:r>
    </w:p>
    <w:p/>
    <w:p>
      <w:pPr>
        <w:pStyle w:val="Heading1"/>
      </w:pPr>
      <w:r>
        <w:rPr>
          <w:rFonts w:ascii="Meiryo UI" w:hAnsi="Meiryo UI"/>
          <w:color w:val="1F3864"/>
        </w:rPr>
        <w:t>最終判定サマリー</w:t>
      </w:r>
    </w:p>
    <w:p/>
    <w:p>
      <w:pPr>
        <w:pStyle w:val="Heading2"/>
      </w:pPr>
      <w:r>
        <w:rPr>
          <w:rFonts w:ascii="Meiryo UI" w:hAnsi="Meiryo UI"/>
          <w:color w:val="2E74B5"/>
        </w:rPr>
        <w:t>「低PBR=本物の割安」か「純資産毀損リスク」かの最終判定</w:t>
      </w:r>
    </w:p>
    <w:p/>
    <w:p>
      <w:pPr>
        <w:shd w:val="clear" w:color="auto" w:fill="F2F2F2"/>
      </w:pPr>
      <w:r>
        <w:rPr>
          <w:rFonts w:ascii="Courier New" w:hAnsi="Courier New"/>
          <w:sz w:val="16"/>
        </w:rPr>
        <w:t>╔══════════════════════════════════════════════════════════════╗</w:t>
        <w:br/>
        <w:t>║                                                              ║</w:t>
        <w:br/>
        <w:t>║   深井の最終判定:                                            ║</w:t>
        <w:br/>
        <w:t>║                                                              ║</w:t>
        <w:br/>
        <w:t>║   【本物の割安（Real Value）】75%、【純資産毀損リスク】25%    ║</w:t>
        <w:br/>
        <w:t>║                                                              ║</w:t>
        <w:br/>
        <w:t>║   PBR 0.80倍の主因は「建設コスト上昇×価格転嫁ラグ」という    ║</w:t>
        <w:br/>
        <w:t>║   サイクル的問題。純資産の質は健全で、不動産含み益も内包。    ║</w:t>
        <w:br/>
        <w:t>║   能登復興需要・北陸新幹線・国土強靭化計画という              ║</w:t>
        <w:br/>
        <w:t>║   具体的カタリストが2〜3年以内に利益率を改善させる公算が高い。║</w:t>
        <w:br/>
        <w:t>║                                                              ║</w:t>
        <w:br/>
        <w:t>║   「純資産毀損リスク」シナリオは確率20%と評価するが、         ║</w:t>
        <w:br/>
        <w:t>║   大型工事の損失計上が発生した場合は即時ポジション見直し。    ║</w:t>
        <w:br/>
        <w:t>║                                                              ║</w:t>
        <w:br/>
        <w:t>║   現在株価¥8,640は12ヶ月ターゲット¥11,500〜¥13,500に対して  ║</w:t>
        <w:br/>
        <w:t>║   33〜56%の上値余地。配当利回り2.4〜2.8%がダウンサイドを     ║</w:t>
        <w:br/>
        <w:t>║   一定程度保護。                                             ║</w:t>
        <w:br/>
        <w:t>║                                                              ║</w:t>
        <w:br/>
        <w:t>║   投資判断: 買い（BUY）                                      ║</w:t>
        <w:br/>
        <w:t>║   12ヶ月ターゲット: ¥11,500〜¥13,500                         ║</w:t>
        <w:br/>
        <w:t>║   損切りライン: ¥7,500                                        ║</w:t>
        <w:br/>
        <w:t>║   リスクリワード比: 約3.5:1（基本シナリオ）                   ║</w:t>
        <w:br/>
        <w:t>║                                                              ║</w:t>
        <w:br/>
        <w:t>╚══════════════════════════════════════════════════════════════╝</w:t>
      </w:r>
    </w:p>
    <w:p/>
    <w:p>
      <w:r>
        <w:t>──────────────────────────────────────────────────</w:t>
      </w:r>
    </w:p>
    <w:p/>
    <w:p>
      <w:r>
        <w:rPr>
          <w:rFonts w:ascii="Meiryo UI" w:hAnsi="Meiryo UI"/>
          <w:sz w:val="20"/>
        </w:rPr>
        <w:t>免責事項: 本レポートは公開情報・業界知識・提供されたリアルタイム財務データに基づく分析であり、投資勧誘を目的とするものではありません。投資判断は最終的にご自身の責任にてお願いいたします。財務指標（PBR/BPS/ROE/PER/EPS）はYahoo Finance取得値（2026-04-07 04:51 JST）を使用。</w:t>
      </w:r>
    </w:p>
    <w:p/>
    <w:p>
      <w:r>
        <w:rPr>
          <w:rFonts w:ascii="Meiryo UI" w:hAnsi="Meiryo UI"/>
          <w:sz w:val="20"/>
        </w:rPr>
        <w:t>深井 / 竹村トレードカンパニー アナリスト部門</w:t>
      </w:r>
    </w:p>
    <w:p>
      <w:r>
        <w:rPr>
          <w:rFonts w:ascii="Meiryo UI" w:hAnsi="Meiryo UI"/>
          <w:sz w:val="20"/>
        </w:rPr>
        <w:t>2026年4月7日作成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04:51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1899_福田組_BUY_DeepResearch_20260407.md を出力しました。</w:t>
      </w:r>
    </w:p>
    <w:p>
      <w:r>
        <w:rPr>
          <w:rFonts w:ascii="Meiryo UI" w:hAnsi="Meiryo UI"/>
          <w:sz w:val="20"/>
        </w:rPr>
        <w:t>浅井スコア +0 の銘柄 [1899]福田組 についてDeepResearch完了。</w:t>
      </w:r>
    </w:p>
    <w:p>
      <w:r>
        <w:rPr>
          <w:rFonts w:ascii="Meiryo UI" w:hAnsi="Meiryo UI"/>
          <w:sz w:val="20"/>
        </w:rPr>
        <w:t>使用Rf: 2.386%（取得: 2026-04-07 04:51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