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[1911] 住友林業</w:t>
      </w:r>
    </w:p>
    <w:p/>
    <w:p/>
    <w:p>
      <w:pPr>
        <w:jc w:val="center"/>
      </w:pPr>
      <w:r>
        <w:rPr>
          <w:rFonts w:ascii="Meiryo UI" w:hAnsi="Meiryo UI"/>
          <w:sz w:val="24"/>
        </w:rPr>
        <w:t>アナリスト：深井</w:t>
      </w:r>
    </w:p>
    <w:p>
      <w:pPr>
        <w:jc w:val="center"/>
      </w:pPr>
      <w:r>
        <w:rPr>
          <w:rFonts w:ascii="Meiryo UI" w:hAnsi="Meiryo UI"/>
          <w:sz w:val="24"/>
        </w:rPr>
        <w:t>分析日：2026-04-13</w:t>
      </w:r>
    </w:p>
    <w:p>
      <w:r>
        <w:br w:type="page"/>
      </w:r>
    </w:p>
    <w:p>
      <w:pPr>
        <w:pStyle w:val="Heading1"/>
      </w:pPr>
      <w:r>
        <w:rPr>
          <w:rFonts w:ascii="Meiryo UI" w:hAnsi="Meiryo UI"/>
          <w:color w:val="1F3864"/>
        </w:rPr>
        <w:t>深井 DeepResearchレポート — [1911] 住友林業</w:t>
      </w:r>
    </w:p>
    <w:p>
      <w:r>
        <w:rPr>
          <w:rFonts w:ascii="Meiryo UI" w:hAnsi="Meiryo UI"/>
          <w:sz w:val="20"/>
        </w:rPr>
        <w:t>作成日: 2026-04-13  |  アナリスト: 深井  |  分類: HOLD</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住友林業（1911.T）DeepResearch レポート</w:t>
      </w:r>
    </w:p>
    <w:p>
      <w:pPr>
        <w:pStyle w:val="Heading3"/>
      </w:pPr>
      <w:r>
        <w:rPr>
          <w:rFonts w:ascii="Meiryo UI" w:hAnsi="Meiryo UI"/>
          <w:color w:val="2E74B5"/>
        </w:rPr>
        <w:t>作成日: 2026年4月13日 / アナリスト: 深井（竹村トレードカンパニー）</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w:t>
            </w:r>
          </w:p>
        </w:tc>
        <w:tc>
          <w:tcPr>
            <w:tcW w:type="dxa" w:w="4703"/>
          </w:tcPr>
          <w:p>
            <w:r>
              <w:rPr>
                <w:rFonts w:ascii="Meiryo UI" w:hAnsi="Meiryo UI"/>
                <w:sz w:val="18"/>
              </w:rPr>
              <w:t>HOLD（条件付き） — ホルムズ封鎖長期化シナリオ下では建材コスト急騰が営業利益を▲15〜25%圧迫するが、北米・豪州住宅事業の利益貢献とBPS¥2,026に対するPBR0.71倍の割安水準がバッファ。売るには惜しく、フルBUYには早い局面。</w:t>
            </w:r>
          </w:p>
        </w:tc>
      </w:tr>
      <w:tr>
        <w:tc>
          <w:tcPr>
            <w:tcW w:type="dxa" w:w="4703"/>
            <w:shd w:val="clear" w:color="auto" w:fill="DDEBF7"/>
          </w:tcPr>
          <w:p>
            <w:r>
              <w:rPr>
                <w:rFonts w:ascii="Meiryo UI" w:hAnsi="Meiryo UI"/>
                <w:sz w:val="18"/>
              </w:rPr>
              <w:t>理論株価 vs 現在値</w:t>
            </w:r>
          </w:p>
        </w:tc>
        <w:tc>
          <w:tcPr>
            <w:tcW w:type="dxa" w:w="4703"/>
            <w:shd w:val="clear" w:color="auto" w:fill="DDEBF7"/>
          </w:tcPr>
          <w:p>
            <w:r>
              <w:rPr>
                <w:rFonts w:ascii="Meiryo UI" w:hAnsi="Meiryo UI"/>
                <w:sz w:val="18"/>
              </w:rPr>
              <w:t>FV ¥1,820〜¥2,050（基本シナリオ中央値¥1,930）/ 現在 ¥1,440 → 乖離率+34%（中央値）</w:t>
            </w:r>
          </w:p>
        </w:tc>
      </w:tr>
      <w:tr>
        <w:tc>
          <w:tcPr>
            <w:tcW w:type="dxa" w:w="4703"/>
          </w:tcPr>
          <w:p>
            <w:r>
              <w:rPr>
                <w:rFonts w:ascii="Meiryo UI" w:hAnsi="Meiryo UI"/>
                <w:sz w:val="18"/>
              </w:rPr>
              <w:t>核心リスク（最大の毒）</w:t>
            </w:r>
          </w:p>
        </w:tc>
        <w:tc>
          <w:tcPr>
            <w:tcW w:type="dxa" w:w="4703"/>
          </w:tcPr>
          <w:p>
            <w:r>
              <w:rPr>
                <w:rFonts w:ascii="Meiryo UI" w:hAnsi="Meiryo UI"/>
                <w:sz w:val="18"/>
              </w:rPr>
              <w:t>ホルムズ封鎖長期化によるナフサ→接着剤・断熱材・ユニットバス部材の供給断絶＋TOTOユニットバス受注停止が重なった場合、国内注文住宅の引渡遅延→キャンセル急増→FY26下期に受注残が急速蒸発するシナリオ。1棟あたり粗利が¥5〜8万円消滅リスク。</w:t>
            </w:r>
          </w:p>
        </w:tc>
      </w:tr>
      <w:tr>
        <w:tc>
          <w:tcPr>
            <w:tcW w:type="dxa" w:w="4703"/>
            <w:shd w:val="clear" w:color="auto" w:fill="DDEBF7"/>
          </w:tcPr>
          <w:p>
            <w:r>
              <w:rPr>
                <w:rFonts w:ascii="Meiryo UI" w:hAnsi="Meiryo UI"/>
                <w:sz w:val="18"/>
              </w:rPr>
              <w:t>社長への一言</w:t>
            </w:r>
          </w:p>
        </w:tc>
        <w:tc>
          <w:tcPr>
            <w:tcW w:type="dxa" w:w="4703"/>
            <w:shd w:val="clear" w:color="auto" w:fill="DDEBF7"/>
          </w:tcPr>
          <w:p>
            <w:r>
              <w:rPr>
                <w:rFonts w:ascii="Meiryo UI" w:hAnsi="Meiryo UI"/>
                <w:sz w:val="18"/>
              </w:rPr>
              <w:t>「材料が高くなって売れるか」→ 即座にキャンセルにはならないが、秋以降の引渡遅延リスクが本物。今は¥1,440で新規買いせず、¥1,250〜¥1,300の押し目でBUY準備・損切りは¥1,150。決算（2026年5月中旬予定）でTOTO代替調達進捗とコスト転嫁率を確認してから第1トランシェ40%エントリー推奨。</w:t>
            </w:r>
          </w:p>
        </w:tc>
      </w:tr>
    </w:tbl>
    <w:p/>
    <w:p>
      <w:r>
        <w:t>──────────────────────────────────────────────────</w:t>
      </w:r>
    </w:p>
    <w:p/>
    <w:p>
      <w:pPr>
        <w:pStyle w:val="Heading2"/>
      </w:pPr>
      <w:r>
        <w:rPr>
          <w:rFonts w:ascii="Meiryo UI" w:hAnsi="Meiryo UI"/>
          <w:color w:val="2E74B5"/>
        </w:rPr>
        <w:t>セクション0：損益の「毒」と「薬」＋QonQ変調分析</w:t>
      </w:r>
    </w:p>
    <w:p/>
    <w:p>
      <w:pPr>
        <w:pStyle w:val="Heading3"/>
      </w:pPr>
      <w:r>
        <w:rPr>
          <w:rFonts w:ascii="Meiryo UI" w:hAnsi="Meiryo UI"/>
          <w:color w:val="2E74B5"/>
        </w:rPr>
        <w:t>0-A. 損益の「毒」と「薬」の仕分け（Good/Bad分析）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金額・規模（推計）</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北米住宅（Forestar/ウィルトン等）の営業利益貢献</w:t>
            </w:r>
          </w:p>
        </w:tc>
        <w:tc>
          <w:tcPr>
            <w:tcW w:type="dxa" w:w="1881"/>
          </w:tcPr>
          <w:p>
            <w:r>
              <w:rPr>
                <w:rFonts w:ascii="Meiryo UI" w:hAnsi="Meiryo UI"/>
                <w:sz w:val="18"/>
              </w:rPr>
              <w:t>連結営業利益の約35〜40%を北米・豪州が占める</w:t>
            </w:r>
          </w:p>
        </w:tc>
        <w:tc>
          <w:tcPr>
            <w:tcW w:type="dxa" w:w="1881"/>
          </w:tcPr>
          <w:p>
            <w:r>
              <w:rPr>
                <w:rFonts w:ascii="Meiryo UI" w:hAnsi="Meiryo UI"/>
                <w:sz w:val="18"/>
              </w:rPr>
              <w:t>構造的</w:t>
            </w:r>
          </w:p>
        </w:tc>
        <w:tc>
          <w:tcPr>
            <w:tcW w:type="dxa" w:w="1881"/>
          </w:tcPr>
          <w:p>
            <w:r>
              <w:rPr>
                <w:rFonts w:ascii="Meiryo UI" w:hAnsi="Meiryo UI"/>
                <w:sz w:val="18"/>
              </w:rPr>
              <w:t>円安×北米住宅需要が続く限り稼ぎ頭。為替が135円台でも黒字維持。</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BPS¥2,026×PBR0.71倍の割安バッファ</w:t>
            </w:r>
          </w:p>
        </w:tc>
        <w:tc>
          <w:tcPr>
            <w:tcW w:type="dxa" w:w="1881"/>
            <w:shd w:val="clear" w:color="auto" w:fill="DDEBF7"/>
          </w:tcPr>
          <w:p>
            <w:r>
              <w:rPr>
                <w:rFonts w:ascii="Meiryo UI" w:hAnsi="Meiryo UI"/>
                <w:sz w:val="18"/>
              </w:rPr>
              <w:t>簿価対比▲29%で放置、解散価値余裕</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最悪でも純資産がクッション。大崩れしにくい。</w:t>
            </w:r>
          </w:p>
        </w:tc>
      </w:tr>
      <w:tr>
        <w:tc>
          <w:tcPr>
            <w:tcW w:type="dxa" w:w="1881"/>
          </w:tcPr>
          <w:p>
            <w:r>
              <w:rPr>
                <w:rFonts w:ascii="Meiryo UI" w:hAnsi="Meiryo UI"/>
                <w:sz w:val="18"/>
              </w:rPr>
              <w:t>💊 薬</w:t>
            </w:r>
          </w:p>
        </w:tc>
        <w:tc>
          <w:tcPr>
            <w:tcW w:type="dxa" w:w="1881"/>
          </w:tcPr>
          <w:p>
            <w:r>
              <w:rPr>
                <w:rFonts w:ascii="Meiryo UI" w:hAnsi="Meiryo UI"/>
                <w:sz w:val="18"/>
              </w:rPr>
              <w:t>不動産・山林保有（含み益NAV）</w:t>
            </w:r>
          </w:p>
        </w:tc>
        <w:tc>
          <w:tcPr>
            <w:tcW w:type="dxa" w:w="1881"/>
          </w:tcPr>
          <w:p>
            <w:r>
              <w:rPr>
                <w:rFonts w:ascii="Meiryo UI" w:hAnsi="Meiryo UI"/>
                <w:sz w:val="18"/>
              </w:rPr>
              <w:t>後述§7参照、±500〜800億円レンジ</w:t>
            </w:r>
          </w:p>
        </w:tc>
        <w:tc>
          <w:tcPr>
            <w:tcW w:type="dxa" w:w="1881"/>
          </w:tcPr>
          <w:p>
            <w:r>
              <w:rPr>
                <w:rFonts w:ascii="Meiryo UI" w:hAnsi="Meiryo UI"/>
                <w:sz w:val="18"/>
              </w:rPr>
              <w:t>構造的</w:t>
            </w:r>
          </w:p>
        </w:tc>
        <w:tc>
          <w:tcPr>
            <w:tcW w:type="dxa" w:w="1881"/>
          </w:tcPr>
          <w:p>
            <w:r>
              <w:rPr>
                <w:rFonts w:ascii="Meiryo UI" w:hAnsi="Meiryo UI"/>
                <w:sz w:val="18"/>
              </w:rPr>
              <w:t>土地・山林は売れる資産。株価が下がっても本質価値は別。</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BIGFRAME工法の木造特化（CLT/集成材主体）</w:t>
            </w:r>
          </w:p>
        </w:tc>
        <w:tc>
          <w:tcPr>
            <w:tcW w:type="dxa" w:w="1881"/>
            <w:shd w:val="clear" w:color="auto" w:fill="DDEBF7"/>
          </w:tcPr>
          <w:p>
            <w:r>
              <w:rPr>
                <w:rFonts w:ascii="Meiryo UI" w:hAnsi="Meiryo UI"/>
                <w:sz w:val="18"/>
              </w:rPr>
              <w:t>接着剤使用量を他社比▲20〜30%削減可能構造</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石油由来接着剤依存度が競合より低い。ナフサ高の影響が相対的に小さい。</w:t>
            </w:r>
          </w:p>
        </w:tc>
      </w:tr>
      <w:tr>
        <w:tc>
          <w:tcPr>
            <w:tcW w:type="dxa" w:w="1881"/>
          </w:tcPr>
          <w:p>
            <w:r>
              <w:rPr>
                <w:rFonts w:ascii="Meiryo UI" w:hAnsi="Meiryo UI"/>
                <w:sz w:val="18"/>
              </w:rPr>
              <w:t>💊 薬</w:t>
            </w:r>
          </w:p>
        </w:tc>
        <w:tc>
          <w:tcPr>
            <w:tcW w:type="dxa" w:w="1881"/>
          </w:tcPr>
          <w:p>
            <w:r>
              <w:rPr>
                <w:rFonts w:ascii="Meiryo UI" w:hAnsi="Meiryo UI"/>
                <w:sz w:val="18"/>
              </w:rPr>
              <w:t>木材原料の自社山林（国内外）保有</w:t>
            </w:r>
          </w:p>
        </w:tc>
        <w:tc>
          <w:tcPr>
            <w:tcW w:type="dxa" w:w="1881"/>
          </w:tcPr>
          <w:p>
            <w:r>
              <w:rPr>
                <w:rFonts w:ascii="Meiryo UI" w:hAnsi="Meiryo UI"/>
                <w:sz w:val="18"/>
              </w:rPr>
              <w:t>国内約6万ha、豪州約8万ha</w:t>
            </w:r>
          </w:p>
        </w:tc>
        <w:tc>
          <w:tcPr>
            <w:tcW w:type="dxa" w:w="1881"/>
          </w:tcPr>
          <w:p>
            <w:r>
              <w:rPr>
                <w:rFonts w:ascii="Meiryo UI" w:hAnsi="Meiryo UI"/>
                <w:sz w:val="18"/>
              </w:rPr>
              <w:t>構造的</w:t>
            </w:r>
          </w:p>
        </w:tc>
        <w:tc>
          <w:tcPr>
            <w:tcW w:type="dxa" w:w="1881"/>
          </w:tcPr>
          <w:p>
            <w:r>
              <w:rPr>
                <w:rFonts w:ascii="Meiryo UI" w:hAnsi="Meiryo UI"/>
                <w:sz w:val="18"/>
              </w:rPr>
              <w:t>木材価格高騰の恩恵を受ける側。コスト高と収益増が一部相殺。</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ナフサ→有機溶剤高騰による接着剤・塗料コスト上昇</w:t>
            </w:r>
          </w:p>
        </w:tc>
        <w:tc>
          <w:tcPr>
            <w:tcW w:type="dxa" w:w="1881"/>
            <w:shd w:val="clear" w:color="auto" w:fill="DDEBF7"/>
          </w:tcPr>
          <w:p>
            <w:r>
              <w:rPr>
                <w:rFonts w:ascii="Meiryo UI" w:hAnsi="Meiryo UI"/>
                <w:sz w:val="18"/>
              </w:rPr>
              <w:t>国内住宅セグメント営業利益に▲5〜10%影響（後述§1詳細）</w:t>
            </w:r>
          </w:p>
        </w:tc>
        <w:tc>
          <w:tcPr>
            <w:tcW w:type="dxa" w:w="1881"/>
            <w:shd w:val="clear" w:color="auto" w:fill="DDEBF7"/>
          </w:tcPr>
          <w:p>
            <w:r>
              <w:rPr>
                <w:rFonts w:ascii="Meiryo UI" w:hAnsi="Meiryo UI"/>
                <w:sz w:val="18"/>
              </w:rPr>
              <w:t>一過性〜構造的（6〜18ヶ月）</w:t>
            </w:r>
          </w:p>
        </w:tc>
        <w:tc>
          <w:tcPr>
            <w:tcW w:type="dxa" w:w="1881"/>
            <w:shd w:val="clear" w:color="auto" w:fill="DDEBF7"/>
          </w:tcPr>
          <w:p>
            <w:r>
              <w:rPr>
                <w:rFonts w:ascii="Meiryo UI" w:hAnsi="Meiryo UI"/>
                <w:sz w:val="18"/>
              </w:rPr>
              <w:t>ホルムズが詰まっている間は続く。これが一番痛い。</w:t>
            </w:r>
          </w:p>
        </w:tc>
      </w:tr>
      <w:tr>
        <w:tc>
          <w:tcPr>
            <w:tcW w:type="dxa" w:w="1881"/>
          </w:tcPr>
          <w:p>
            <w:r>
              <w:rPr>
                <w:rFonts w:ascii="Meiryo UI" w:hAnsi="Meiryo UI"/>
                <w:sz w:val="18"/>
              </w:rPr>
              <w:t>☠️ 毒</w:t>
            </w:r>
          </w:p>
        </w:tc>
        <w:tc>
          <w:tcPr>
            <w:tcW w:type="dxa" w:w="1881"/>
          </w:tcPr>
          <w:p>
            <w:r>
              <w:rPr>
                <w:rFonts w:ascii="Meiryo UI" w:hAnsi="Meiryo UI"/>
                <w:sz w:val="18"/>
              </w:rPr>
              <w:t>TOTOユニットバス受注停止による引渡遅延</w:t>
            </w:r>
          </w:p>
        </w:tc>
        <w:tc>
          <w:tcPr>
            <w:tcW w:type="dxa" w:w="1881"/>
          </w:tcPr>
          <w:p>
            <w:r>
              <w:rPr>
                <w:rFonts w:ascii="Meiryo UI" w:hAnsi="Meiryo UI"/>
                <w:sz w:val="18"/>
              </w:rPr>
              <w:t>年間受注の推定15〜20%相当の棟数影響</w:t>
            </w:r>
          </w:p>
        </w:tc>
        <w:tc>
          <w:tcPr>
            <w:tcW w:type="dxa" w:w="1881"/>
          </w:tcPr>
          <w:p>
            <w:r>
              <w:rPr>
                <w:rFonts w:ascii="Meiryo UI" w:hAnsi="Meiryo UI"/>
                <w:sz w:val="18"/>
              </w:rPr>
              <w:t>一過性（3〜6ヶ月で代替or解消）</w:t>
            </w:r>
          </w:p>
        </w:tc>
        <w:tc>
          <w:tcPr>
            <w:tcW w:type="dxa" w:w="1881"/>
          </w:tcPr>
          <w:p>
            <w:r>
              <w:rPr>
                <w:rFonts w:ascii="Meiryo UI" w:hAnsi="Meiryo UI"/>
                <w:sz w:val="18"/>
              </w:rPr>
              <w:t>今すぐキャンセルにはならないが、秋の引渡が詰まる。顧客の信頼を損なうリスク。</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輸入木材・合板価格上昇（ウッドショック再来リスク）</w:t>
            </w:r>
          </w:p>
        </w:tc>
        <w:tc>
          <w:tcPr>
            <w:tcW w:type="dxa" w:w="1881"/>
            <w:shd w:val="clear" w:color="auto" w:fill="DDEBF7"/>
          </w:tcPr>
          <w:p>
            <w:r>
              <w:rPr>
                <w:rFonts w:ascii="Meiryo UI" w:hAnsi="Meiryo UI"/>
                <w:sz w:val="18"/>
              </w:rPr>
              <w:t>合板価格+15〜25%シナリオで▲数十億円コスト増</w:t>
            </w:r>
          </w:p>
        </w:tc>
        <w:tc>
          <w:tcPr>
            <w:tcW w:type="dxa" w:w="1881"/>
            <w:shd w:val="clear" w:color="auto" w:fill="DDEBF7"/>
          </w:tcPr>
          <w:p>
            <w:r>
              <w:rPr>
                <w:rFonts w:ascii="Meiryo UI" w:hAnsi="Meiryo UI"/>
                <w:sz w:val="18"/>
              </w:rPr>
              <w:t>構造的（需給次第）</w:t>
            </w:r>
          </w:p>
        </w:tc>
        <w:tc>
          <w:tcPr>
            <w:tcW w:type="dxa" w:w="1881"/>
            <w:shd w:val="clear" w:color="auto" w:fill="DDEBF7"/>
          </w:tcPr>
          <w:p>
            <w:r>
              <w:rPr>
                <w:rFonts w:ascii="Meiryo UI" w:hAnsi="Meiryo UI"/>
                <w:sz w:val="18"/>
              </w:rPr>
              <w:t>2021年のウッドショックの再来。前回は価格転嫁に1〜2年かかった。</w:t>
            </w:r>
          </w:p>
        </w:tc>
      </w:tr>
      <w:tr>
        <w:tc>
          <w:tcPr>
            <w:tcW w:type="dxa" w:w="1881"/>
          </w:tcPr>
          <w:p>
            <w:r>
              <w:rPr>
                <w:rFonts w:ascii="Meiryo UI" w:hAnsi="Meiryo UI"/>
                <w:sz w:val="18"/>
              </w:rPr>
              <w:t>☠️ 毒</w:t>
            </w:r>
          </w:p>
        </w:tc>
        <w:tc>
          <w:tcPr>
            <w:tcW w:type="dxa" w:w="1881"/>
          </w:tcPr>
          <w:p>
            <w:r>
              <w:rPr>
                <w:rFonts w:ascii="Meiryo UI" w:hAnsi="Meiryo UI"/>
                <w:sz w:val="18"/>
              </w:rPr>
              <w:t>住宅着工数の構造的減少（人口・金利）</w:t>
            </w:r>
          </w:p>
        </w:tc>
        <w:tc>
          <w:tcPr>
            <w:tcW w:type="dxa" w:w="1881"/>
          </w:tcPr>
          <w:p>
            <w:r>
              <w:rPr>
                <w:rFonts w:ascii="Meiryo UI" w:hAnsi="Meiryo UI"/>
                <w:sz w:val="18"/>
              </w:rPr>
              <w:t>2025年度着工85万戸前後→2026年度は80万戸割れリスク</w:t>
            </w:r>
          </w:p>
        </w:tc>
        <w:tc>
          <w:tcPr>
            <w:tcW w:type="dxa" w:w="1881"/>
          </w:tcPr>
          <w:p>
            <w:r>
              <w:rPr>
                <w:rFonts w:ascii="Meiryo UI" w:hAnsi="Meiryo UI"/>
                <w:sz w:val="18"/>
              </w:rPr>
              <w:t>構造的</w:t>
            </w:r>
          </w:p>
        </w:tc>
        <w:tc>
          <w:tcPr>
            <w:tcW w:type="dxa" w:w="1881"/>
          </w:tcPr>
          <w:p>
            <w:r>
              <w:rPr>
                <w:rFonts w:ascii="Meiryo UI" w:hAnsi="Meiryo UI"/>
                <w:sz w:val="18"/>
              </w:rPr>
              <w:t>注文住宅の市場自体が縮んでいる。高い家を高く売るしかない。</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円安継続時の輸入建材コスト増（北米材・豪州材も円換算）</w:t>
            </w:r>
          </w:p>
        </w:tc>
        <w:tc>
          <w:tcPr>
            <w:tcW w:type="dxa" w:w="1881"/>
            <w:shd w:val="clear" w:color="auto" w:fill="DDEBF7"/>
          </w:tcPr>
          <w:p>
            <w:r>
              <w:rPr>
                <w:rFonts w:ascii="Meiryo UI" w:hAnsi="Meiryo UI"/>
                <w:sz w:val="18"/>
              </w:rPr>
              <w:t>USD/JPY150円想定でコスト+10〜15%</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稼ぎも円安で増えるが、仕入れコストも円安で増える。相殺が微妙。</w:t>
            </w:r>
          </w:p>
        </w:tc>
      </w:tr>
    </w:tbl>
    <w:p/>
    <w:p>
      <w:r>
        <w:rPr>
          <w:rFonts w:ascii="Meiryo UI" w:hAnsi="Meiryo UI"/>
          <w:sz w:val="20"/>
        </w:rPr>
        <w:t>【実力ベース純利益・EPS推計】</w:t>
      </w:r>
    </w:p>
    <w:p/>
    <w:p>
      <w:pPr>
        <w:pStyle w:val="ListBullet"/>
      </w:pPr>
      <w:r>
        <w:rPr>
          <w:rFonts w:ascii="Meiryo UI" w:hAnsi="Meiryo UI"/>
          <w:sz w:val="20"/>
        </w:rPr>
        <w:t>公式報告ベース: EPS ¥174（PER8.3倍の前提値）</w:t>
      </w:r>
    </w:p>
    <w:p>
      <w:pPr>
        <w:pStyle w:val="ListBullet"/>
      </w:pPr>
      <w:r>
        <w:rPr>
          <w:rFonts w:ascii="Meiryo UI" w:hAnsi="Meiryo UI"/>
          <w:sz w:val="20"/>
        </w:rPr>
        <w:t>毒（TOTO停止影響・ナフサコスト急騰）を除いた実力ベースEPS: ¥190〜¥210</w:t>
      </w:r>
    </w:p>
    <w:p>
      <w:pPr>
        <w:pStyle w:val="ListBullet"/>
      </w:pPr>
      <w:r>
        <w:rPr>
          <w:rFonts w:ascii="Meiryo UI" w:hAnsi="Meiryo UI"/>
          <w:sz w:val="20"/>
        </w:rPr>
        <w:t>一過性コスト吸収後の"正常化EPS": +¥16〜36（+9〜21%）の上振れ余地</w:t>
      </w:r>
    </w:p>
    <w:p>
      <w:pPr>
        <w:pStyle w:val="ListBullet"/>
      </w:pPr>
      <w:r>
        <w:rPr>
          <w:rFonts w:ascii="Meiryo UI" w:hAnsi="Meiryo UI"/>
          <w:sz w:val="20"/>
        </w:rPr>
        <w:t>ただしホルムズ長期化シナリオではこの推計が逆方向に走るリスクに留意</w:t>
      </w:r>
    </w:p>
    <w:p/>
    <w:p>
      <w:r>
        <w:t>──────────────────────────────────────────────────</w:t>
      </w:r>
    </w:p>
    <w:p/>
    <w:p>
      <w:pPr>
        <w:pStyle w:val="Heading3"/>
      </w:pPr>
      <w:r>
        <w:rPr>
          <w:rFonts w:ascii="Meiryo UI" w:hAnsi="Meiryo UI"/>
          <w:color w:val="2E74B5"/>
        </w:rPr>
        <w:t>0-B. 直近四半期（QonQ）変調分析</w:t>
      </w:r>
    </w:p>
    <w:p/>
    <w:p>
      <w:r>
        <w:rPr>
          <w:rFonts w:ascii="Meiryo UI" w:hAnsi="Meiryo UI"/>
          <w:sz w:val="20"/>
        </w:rPr>
        <w:t>&gt; ⚠️ 住友林業は四半期開示の粒度が限定的（セグメント別四半期開示はH1/H2ベースが主）。以下はH1（4月〜9月）→H2（10月〜3月）比較＋FY25通期推計ベースで代替。</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 FY25（4〜9月推計）</w:t>
            </w:r>
          </w:p>
        </w:tc>
        <w:tc>
          <w:tcPr>
            <w:tcW w:type="dxa" w:w="1881"/>
            <w:shd w:val="clear" w:color="auto" w:fill="2E74B5"/>
          </w:tcPr>
          <w:p>
            <w:r>
              <w:rPr>
                <w:rFonts w:ascii="Meiryo UI" w:hAnsi="Meiryo UI"/>
                <w:b/>
                <w:color w:val="FFFFFF"/>
                <w:sz w:val="18"/>
              </w:rPr>
              <w:t>H2 FY25（10〜3月推計）</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売上高（連結）</w:t>
            </w:r>
          </w:p>
        </w:tc>
        <w:tc>
          <w:tcPr>
            <w:tcW w:type="dxa" w:w="1881"/>
          </w:tcPr>
          <w:p>
            <w:r>
              <w:rPr>
                <w:rFonts w:ascii="Meiryo UI" w:hAnsi="Meiryo UI"/>
                <w:sz w:val="18"/>
              </w:rPr>
              <w:t>約¥8,500億円</w:t>
            </w:r>
          </w:p>
        </w:tc>
        <w:tc>
          <w:tcPr>
            <w:tcW w:type="dxa" w:w="1881"/>
          </w:tcPr>
          <w:p>
            <w:r>
              <w:rPr>
                <w:rFonts w:ascii="Meiryo UI" w:hAnsi="Meiryo UI"/>
                <w:sz w:val="18"/>
              </w:rPr>
              <w:t>約¥8,800億円</w:t>
            </w:r>
          </w:p>
        </w:tc>
        <w:tc>
          <w:tcPr>
            <w:tcW w:type="dxa" w:w="1881"/>
          </w:tcPr>
          <w:p>
            <w:r>
              <w:rPr>
                <w:rFonts w:ascii="Meiryo UI" w:hAnsi="Meiryo UI"/>
                <w:sz w:val="18"/>
              </w:rPr>
              <w:t>+3.5%</w:t>
            </w:r>
          </w:p>
        </w:tc>
        <w:tc>
          <w:tcPr>
            <w:tcW w:type="dxa" w:w="1881"/>
          </w:tcPr>
          <w:p>
            <w:r>
              <w:rPr>
                <w:rFonts w:ascii="Meiryo UI" w:hAnsi="Meiryo UI"/>
                <w:sz w:val="18"/>
              </w:rPr>
              <w:t>季節性（下期に引渡集中）</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約5.8%</w:t>
            </w:r>
          </w:p>
        </w:tc>
        <w:tc>
          <w:tcPr>
            <w:tcW w:type="dxa" w:w="1881"/>
            <w:shd w:val="clear" w:color="auto" w:fill="DDEBF7"/>
          </w:tcPr>
          <w:p>
            <w:r>
              <w:rPr>
                <w:rFonts w:ascii="Meiryo UI" w:hAnsi="Meiryo UI"/>
                <w:sz w:val="18"/>
              </w:rPr>
              <w:t>約6.2%</w:t>
            </w:r>
          </w:p>
        </w:tc>
        <w:tc>
          <w:tcPr>
            <w:tcW w:type="dxa" w:w="1881"/>
            <w:shd w:val="clear" w:color="auto" w:fill="DDEBF7"/>
          </w:tcPr>
          <w:p>
            <w:r>
              <w:rPr>
                <w:rFonts w:ascii="Meiryo UI" w:hAnsi="Meiryo UI"/>
                <w:sz w:val="18"/>
              </w:rPr>
              <w:t>+0.4pt</w:t>
            </w:r>
          </w:p>
        </w:tc>
        <w:tc>
          <w:tcPr>
            <w:tcW w:type="dxa" w:w="1881"/>
            <w:shd w:val="clear" w:color="auto" w:fill="DDEBF7"/>
          </w:tcPr>
          <w:p>
            <w:r>
              <w:rPr>
                <w:rFonts w:ascii="Meiryo UI" w:hAnsi="Meiryo UI"/>
                <w:sz w:val="18"/>
              </w:rPr>
              <w:t>季節性＋価格転嫁進展</w:t>
            </w:r>
          </w:p>
        </w:tc>
      </w:tr>
      <w:tr>
        <w:tc>
          <w:tcPr>
            <w:tcW w:type="dxa" w:w="1881"/>
          </w:tcPr>
          <w:p>
            <w:r>
              <w:rPr>
                <w:rFonts w:ascii="Meiryo UI" w:hAnsi="Meiryo UI"/>
                <w:sz w:val="18"/>
              </w:rPr>
              <w:t>国内注文住宅受注棟数</w:t>
            </w:r>
          </w:p>
        </w:tc>
        <w:tc>
          <w:tcPr>
            <w:tcW w:type="dxa" w:w="1881"/>
          </w:tcPr>
          <w:p>
            <w:r>
              <w:rPr>
                <w:rFonts w:ascii="Meiryo UI" w:hAnsi="Meiryo UI"/>
                <w:sz w:val="18"/>
              </w:rPr>
              <w:t>前年比▲3〜5%</w:t>
            </w:r>
          </w:p>
        </w:tc>
        <w:tc>
          <w:tcPr>
            <w:tcW w:type="dxa" w:w="1881"/>
          </w:tcPr>
          <w:p>
            <w:r>
              <w:rPr>
                <w:rFonts w:ascii="Meiryo UI" w:hAnsi="Meiryo UI"/>
                <w:sz w:val="18"/>
              </w:rPr>
              <w:t>前年比▲6〜8%</w:t>
            </w:r>
          </w:p>
        </w:tc>
        <w:tc>
          <w:tcPr>
            <w:tcW w:type="dxa" w:w="1881"/>
          </w:tcPr>
          <w:p>
            <w:r>
              <w:rPr>
                <w:rFonts w:ascii="Meiryo UI" w:hAnsi="Meiryo UI"/>
                <w:sz w:val="18"/>
              </w:rPr>
              <w:t>悪化傾向</w:t>
            </w:r>
          </w:p>
        </w:tc>
        <w:tc>
          <w:tcPr>
            <w:tcW w:type="dxa" w:w="1881"/>
          </w:tcPr>
          <w:p>
            <w:r>
              <w:rPr>
                <w:rFonts w:ascii="Meiryo UI" w:hAnsi="Meiryo UI"/>
                <w:sz w:val="18"/>
              </w:rPr>
              <w:t>構造的（金利・人口）</w:t>
            </w:r>
          </w:p>
        </w:tc>
      </w:tr>
      <w:tr>
        <w:tc>
          <w:tcPr>
            <w:tcW w:type="dxa" w:w="1881"/>
            <w:shd w:val="clear" w:color="auto" w:fill="DDEBF7"/>
          </w:tcPr>
          <w:p>
            <w:r>
              <w:rPr>
                <w:rFonts w:ascii="Meiryo UI" w:hAnsi="Meiryo UI"/>
                <w:sz w:val="18"/>
              </w:rPr>
              <w:t>北米住宅利益貢献</w:t>
            </w:r>
          </w:p>
        </w:tc>
        <w:tc>
          <w:tcPr>
            <w:tcW w:type="dxa" w:w="1881"/>
            <w:shd w:val="clear" w:color="auto" w:fill="DDEBF7"/>
          </w:tcPr>
          <w:p>
            <w:r>
              <w:rPr>
                <w:rFonts w:ascii="Meiryo UI" w:hAnsi="Meiryo UI"/>
                <w:sz w:val="18"/>
              </w:rPr>
              <w:t>増加傾向（USD高）</w:t>
            </w:r>
          </w:p>
        </w:tc>
        <w:tc>
          <w:tcPr>
            <w:tcW w:type="dxa" w:w="1881"/>
            <w:shd w:val="clear" w:color="auto" w:fill="DDEBF7"/>
          </w:tcPr>
          <w:p>
            <w:r>
              <w:rPr>
                <w:rFonts w:ascii="Meiryo UI" w:hAnsi="Meiryo UI"/>
                <w:sz w:val="18"/>
              </w:rPr>
              <w:t>微減（米住宅着工弱含み）</w:t>
            </w:r>
          </w:p>
        </w:tc>
        <w:tc>
          <w:tcPr>
            <w:tcW w:type="dxa" w:w="1881"/>
            <w:shd w:val="clear" w:color="auto" w:fill="DDEBF7"/>
          </w:tcPr>
          <w:p>
            <w:r>
              <w:rPr>
                <w:rFonts w:ascii="Meiryo UI" w:hAnsi="Meiryo UI"/>
                <w:sz w:val="18"/>
              </w:rPr>
              <w:t>▲2%</w:t>
            </w:r>
          </w:p>
        </w:tc>
        <w:tc>
          <w:tcPr>
            <w:tcW w:type="dxa" w:w="1881"/>
            <w:shd w:val="clear" w:color="auto" w:fill="DDEBF7"/>
          </w:tcPr>
          <w:p>
            <w:r>
              <w:rPr>
                <w:rFonts w:ascii="Meiryo UI" w:hAnsi="Meiryo UI"/>
                <w:sz w:val="18"/>
              </w:rPr>
              <w:t>一過性（米金利高止まり）</w:t>
            </w:r>
          </w:p>
        </w:tc>
      </w:tr>
      <w:tr>
        <w:tc>
          <w:tcPr>
            <w:tcW w:type="dxa" w:w="1881"/>
          </w:tcPr>
          <w:p>
            <w:r>
              <w:rPr>
                <w:rFonts w:ascii="Meiryo UI" w:hAnsi="Meiryo UI"/>
                <w:sz w:val="18"/>
              </w:rPr>
              <w:t>受注残高消化スピード</w:t>
            </w:r>
          </w:p>
        </w:tc>
        <w:tc>
          <w:tcPr>
            <w:tcW w:type="dxa" w:w="1881"/>
          </w:tcPr>
          <w:p>
            <w:r>
              <w:rPr>
                <w:rFonts w:ascii="Meiryo UI" w:hAnsi="Meiryo UI"/>
                <w:sz w:val="18"/>
              </w:rPr>
              <w:t>標準（6〜8ヶ月）</w:t>
            </w:r>
          </w:p>
        </w:tc>
        <w:tc>
          <w:tcPr>
            <w:tcW w:type="dxa" w:w="1881"/>
          </w:tcPr>
          <w:p>
            <w:r>
              <w:rPr>
                <w:rFonts w:ascii="Meiryo UI" w:hAnsi="Meiryo UI"/>
                <w:sz w:val="18"/>
              </w:rPr>
              <w:t>やや遅延（7〜9ヶ月）</w:t>
            </w:r>
          </w:p>
        </w:tc>
        <w:tc>
          <w:tcPr>
            <w:tcW w:type="dxa" w:w="1881"/>
          </w:tcPr>
          <w:p>
            <w:r>
              <w:rPr>
                <w:rFonts w:ascii="Meiryo UI" w:hAnsi="Meiryo UI"/>
                <w:sz w:val="18"/>
              </w:rPr>
              <w:t>遅延傾向</w:t>
            </w:r>
          </w:p>
        </w:tc>
        <w:tc>
          <w:tcPr>
            <w:tcW w:type="dxa" w:w="1881"/>
          </w:tcPr>
          <w:p>
            <w:r>
              <w:rPr>
                <w:rFonts w:ascii="Meiryo UI" w:hAnsi="Meiryo UI"/>
                <w:sz w:val="18"/>
              </w:rPr>
              <w:t>⚠️TOTO等供給遅延の前兆</w:t>
            </w:r>
          </w:p>
        </w:tc>
      </w:tr>
      <w:tr>
        <w:tc>
          <w:tcPr>
            <w:tcW w:type="dxa" w:w="1881"/>
            <w:shd w:val="clear" w:color="auto" w:fill="DDEBF7"/>
          </w:tcPr>
          <w:p>
            <w:r>
              <w:rPr>
                <w:rFonts w:ascii="Meiryo UI" w:hAnsi="Meiryo UI"/>
                <w:sz w:val="18"/>
              </w:rPr>
              <w:t>建材・木材コスト</w:t>
            </w:r>
          </w:p>
        </w:tc>
        <w:tc>
          <w:tcPr>
            <w:tcW w:type="dxa" w:w="1881"/>
            <w:shd w:val="clear" w:color="auto" w:fill="DDEBF7"/>
          </w:tcPr>
          <w:p>
            <w:r>
              <w:rPr>
                <w:rFonts w:ascii="Meiryo UI" w:hAnsi="Meiryo UI"/>
                <w:sz w:val="18"/>
              </w:rPr>
              <w:t>安定〜微増</w:t>
            </w:r>
          </w:p>
        </w:tc>
        <w:tc>
          <w:tcPr>
            <w:tcW w:type="dxa" w:w="1881"/>
            <w:shd w:val="clear" w:color="auto" w:fill="DDEBF7"/>
          </w:tcPr>
          <w:p>
            <w:r>
              <w:rPr>
                <w:rFonts w:ascii="Meiryo UI" w:hAnsi="Meiryo UI"/>
                <w:sz w:val="18"/>
              </w:rPr>
              <w:t>急上昇（4Q末より）</w:t>
            </w:r>
          </w:p>
        </w:tc>
        <w:tc>
          <w:tcPr>
            <w:tcW w:type="dxa" w:w="1881"/>
            <w:shd w:val="clear" w:color="auto" w:fill="DDEBF7"/>
          </w:tcPr>
          <w:p>
            <w:r>
              <w:rPr>
                <w:rFonts w:ascii="Meiryo UI" w:hAnsi="Meiryo UI"/>
                <w:sz w:val="18"/>
              </w:rPr>
              <w:t>+8〜12%</w:t>
            </w:r>
          </w:p>
        </w:tc>
        <w:tc>
          <w:tcPr>
            <w:tcW w:type="dxa" w:w="1881"/>
            <w:shd w:val="clear" w:color="auto" w:fill="DDEBF7"/>
          </w:tcPr>
          <w:p>
            <w:r>
              <w:rPr>
                <w:rFonts w:ascii="Meiryo UI" w:hAnsi="Meiryo UI"/>
                <w:sz w:val="18"/>
              </w:rPr>
              <w:t>構造的（ホルムズリスク顕在化）</w:t>
            </w:r>
          </w:p>
        </w:tc>
      </w:tr>
      <w:tr>
        <w:tc>
          <w:tcPr>
            <w:tcW w:type="dxa" w:w="1881"/>
          </w:tcPr>
          <w:p>
            <w:r>
              <w:rPr>
                <w:rFonts w:ascii="Meiryo UI" w:hAnsi="Meiryo UI"/>
                <w:sz w:val="18"/>
              </w:rPr>
              <w:t>特記事項</w:t>
            </w:r>
          </w:p>
        </w:tc>
        <w:tc>
          <w:tcPr>
            <w:tcW w:type="dxa" w:w="1881"/>
          </w:tcPr>
          <w:p>
            <w:r>
              <w:rPr>
                <w:rFonts w:ascii="Meiryo UI" w:hAnsi="Meiryo UI"/>
                <w:sz w:val="18"/>
              </w:rPr>
              <w:t>豪州住宅が好調でH1を支えた</w:t>
            </w:r>
          </w:p>
        </w:tc>
        <w:tc>
          <w:tcPr>
            <w:tcW w:type="dxa" w:w="1881"/>
          </w:tcPr>
          <w:p>
            <w:r>
              <w:rPr>
                <w:rFonts w:ascii="Meiryo UI" w:hAnsi="Meiryo UI"/>
                <w:sz w:val="18"/>
              </w:rPr>
              <w:t>4Q以降にTOTO問題・ナフサ高が顕在化</w:t>
            </w:r>
          </w:p>
        </w:tc>
        <w:tc>
          <w:tcPr>
            <w:tcW w:type="dxa" w:w="1881"/>
          </w:tcPr>
          <w:p>
            <w:r>
              <w:rPr>
                <w:rFonts w:ascii="Meiryo UI" w:hAnsi="Meiryo UI"/>
                <w:sz w:val="18"/>
              </w:rPr>
              <w:t>—</w:t>
            </w:r>
          </w:p>
        </w:tc>
        <w:tc>
          <w:tcPr>
            <w:tcW w:type="dxa" w:w="1881"/>
          </w:tcPr>
          <w:p>
            <w:r>
              <w:rPr>
                <w:rFonts w:ascii="Meiryo UI" w:hAnsi="Meiryo UI"/>
                <w:sz w:val="18"/>
              </w:rPr>
              <w:t>⚠️H2末〜FY26 Q1がリスクの本番</w:t>
            </w:r>
          </w:p>
        </w:tc>
      </w:tr>
    </w:tbl>
    <w:p/>
    <w:p>
      <w:r>
        <w:rPr>
          <w:rFonts w:ascii="Meiryo UI" w:hAnsi="Meiryo UI"/>
          <w:sz w:val="20"/>
        </w:rPr>
        <w:t>&gt; 結論: H2末（2026年1〜3月）以降にコスト高と供給遅延が重なり始めており、FY26はQ1・Q2が最も厳しい数字になる可能性が高い。今がボトム付近か、まだ下があるかを見極めるのが最重要。</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住友林業の事業構成（セグメント別）</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売上高構成比（推計）</w:t>
            </w:r>
          </w:p>
        </w:tc>
        <w:tc>
          <w:tcPr>
            <w:tcW w:type="dxa" w:w="2351"/>
            <w:shd w:val="clear" w:color="auto" w:fill="2E74B5"/>
          </w:tcPr>
          <w:p>
            <w:r>
              <w:rPr>
                <w:rFonts w:ascii="Meiryo UI" w:hAnsi="Meiryo UI"/>
                <w:b/>
                <w:color w:val="FFFFFF"/>
                <w:sz w:val="18"/>
              </w:rPr>
              <w:t>営業利益構成比（推計）</w:t>
            </w:r>
          </w:p>
        </w:tc>
        <w:tc>
          <w:tcPr>
            <w:tcW w:type="dxa" w:w="2351"/>
            <w:shd w:val="clear" w:color="auto" w:fill="2E74B5"/>
          </w:tcPr>
          <w:p>
            <w:r>
              <w:rPr>
                <w:rFonts w:ascii="Meiryo UI" w:hAnsi="Meiryo UI"/>
                <w:b/>
                <w:color w:val="FFFFFF"/>
                <w:sz w:val="18"/>
              </w:rPr>
              <w:t>特徴</w:t>
            </w:r>
          </w:p>
        </w:tc>
      </w:tr>
      <w:tr>
        <w:tc>
          <w:tcPr>
            <w:tcW w:type="dxa" w:w="2351"/>
          </w:tcPr>
          <w:p>
            <w:r>
              <w:rPr>
                <w:rFonts w:ascii="Meiryo UI" w:hAnsi="Meiryo UI"/>
                <w:sz w:val="18"/>
              </w:rPr>
              <w:t>国内住宅・建築</w:t>
            </w:r>
          </w:p>
        </w:tc>
        <w:tc>
          <w:tcPr>
            <w:tcW w:type="dxa" w:w="2351"/>
          </w:tcPr>
          <w:p>
            <w:r>
              <w:rPr>
                <w:rFonts w:ascii="Meiryo UI" w:hAnsi="Meiryo UI"/>
                <w:sz w:val="18"/>
              </w:rPr>
              <w:t>約35%</w:t>
            </w:r>
          </w:p>
        </w:tc>
        <w:tc>
          <w:tcPr>
            <w:tcW w:type="dxa" w:w="2351"/>
          </w:tcPr>
          <w:p>
            <w:r>
              <w:rPr>
                <w:rFonts w:ascii="Meiryo UI" w:hAnsi="Meiryo UI"/>
                <w:sz w:val="18"/>
              </w:rPr>
              <w:t>約25%</w:t>
            </w:r>
          </w:p>
        </w:tc>
        <w:tc>
          <w:tcPr>
            <w:tcW w:type="dxa" w:w="2351"/>
          </w:tcPr>
          <w:p>
            <w:r>
              <w:rPr>
                <w:rFonts w:ascii="Meiryo UI" w:hAnsi="Meiryo UI"/>
                <w:sz w:val="18"/>
              </w:rPr>
              <w:t>注文住宅BIGFRAME工法、分譲住宅</w:t>
            </w:r>
          </w:p>
        </w:tc>
      </w:tr>
      <w:tr>
        <w:tc>
          <w:tcPr>
            <w:tcW w:type="dxa" w:w="2351"/>
            <w:shd w:val="clear" w:color="auto" w:fill="DDEBF7"/>
          </w:tcPr>
          <w:p>
            <w:r>
              <w:rPr>
                <w:rFonts w:ascii="Meiryo UI" w:hAnsi="Meiryo UI"/>
                <w:sz w:val="18"/>
              </w:rPr>
              <w:t>海外住宅（北米）</w:t>
            </w:r>
          </w:p>
        </w:tc>
        <w:tc>
          <w:tcPr>
            <w:tcW w:type="dxa" w:w="2351"/>
            <w:shd w:val="clear" w:color="auto" w:fill="DDEBF7"/>
          </w:tcPr>
          <w:p>
            <w:r>
              <w:rPr>
                <w:rFonts w:ascii="Meiryo UI" w:hAnsi="Meiryo UI"/>
                <w:sz w:val="18"/>
              </w:rPr>
              <w:t>約30%</w:t>
            </w:r>
          </w:p>
        </w:tc>
        <w:tc>
          <w:tcPr>
            <w:tcW w:type="dxa" w:w="2351"/>
            <w:shd w:val="clear" w:color="auto" w:fill="DDEBF7"/>
          </w:tcPr>
          <w:p>
            <w:r>
              <w:rPr>
                <w:rFonts w:ascii="Meiryo UI" w:hAnsi="Meiryo UI"/>
                <w:sz w:val="18"/>
              </w:rPr>
              <w:t>約35%</w:t>
            </w:r>
          </w:p>
        </w:tc>
        <w:tc>
          <w:tcPr>
            <w:tcW w:type="dxa" w:w="2351"/>
            <w:shd w:val="clear" w:color="auto" w:fill="DDEBF7"/>
          </w:tcPr>
          <w:p>
            <w:r>
              <w:rPr>
                <w:rFonts w:ascii="Meiryo UI" w:hAnsi="Meiryo UI"/>
                <w:sz w:val="18"/>
              </w:rPr>
              <w:t>Forestar Group連結、米国戸建て</w:t>
            </w:r>
          </w:p>
        </w:tc>
      </w:tr>
      <w:tr>
        <w:tc>
          <w:tcPr>
            <w:tcW w:type="dxa" w:w="2351"/>
          </w:tcPr>
          <w:p>
            <w:r>
              <w:rPr>
                <w:rFonts w:ascii="Meiryo UI" w:hAnsi="Meiryo UI"/>
                <w:sz w:val="18"/>
              </w:rPr>
              <w:t>海外住宅（豪州）</w:t>
            </w:r>
          </w:p>
        </w:tc>
        <w:tc>
          <w:tcPr>
            <w:tcW w:type="dxa" w:w="2351"/>
          </w:tcPr>
          <w:p>
            <w:r>
              <w:rPr>
                <w:rFonts w:ascii="Meiryo UI" w:hAnsi="Meiryo UI"/>
                <w:sz w:val="18"/>
              </w:rPr>
              <w:t>約15%</w:t>
            </w:r>
          </w:p>
        </w:tc>
        <w:tc>
          <w:tcPr>
            <w:tcW w:type="dxa" w:w="2351"/>
          </w:tcPr>
          <w:p>
            <w:r>
              <w:rPr>
                <w:rFonts w:ascii="Meiryo UI" w:hAnsi="Meiryo UI"/>
                <w:sz w:val="18"/>
              </w:rPr>
              <w:t>約18%</w:t>
            </w:r>
          </w:p>
        </w:tc>
        <w:tc>
          <w:tcPr>
            <w:tcW w:type="dxa" w:w="2351"/>
          </w:tcPr>
          <w:p>
            <w:r>
              <w:rPr>
                <w:rFonts w:ascii="Meiryo UI" w:hAnsi="Meiryo UI"/>
                <w:sz w:val="18"/>
              </w:rPr>
              <w:t>Henley Properties等</w:t>
            </w:r>
          </w:p>
        </w:tc>
      </w:tr>
      <w:tr>
        <w:tc>
          <w:tcPr>
            <w:tcW w:type="dxa" w:w="2351"/>
            <w:shd w:val="clear" w:color="auto" w:fill="DDEBF7"/>
          </w:tcPr>
          <w:p>
            <w:r>
              <w:rPr>
                <w:rFonts w:ascii="Meiryo UI" w:hAnsi="Meiryo UI"/>
                <w:sz w:val="18"/>
              </w:rPr>
              <w:t>木材建材流通</w:t>
            </w:r>
          </w:p>
        </w:tc>
        <w:tc>
          <w:tcPr>
            <w:tcW w:type="dxa" w:w="2351"/>
            <w:shd w:val="clear" w:color="auto" w:fill="DDEBF7"/>
          </w:tcPr>
          <w:p>
            <w:r>
              <w:rPr>
                <w:rFonts w:ascii="Meiryo UI" w:hAnsi="Meiryo UI"/>
                <w:sz w:val="18"/>
              </w:rPr>
              <w:t>約12%</w:t>
            </w:r>
          </w:p>
        </w:tc>
        <w:tc>
          <w:tcPr>
            <w:tcW w:type="dxa" w:w="2351"/>
            <w:shd w:val="clear" w:color="auto" w:fill="DDEBF7"/>
          </w:tcPr>
          <w:p>
            <w:r>
              <w:rPr>
                <w:rFonts w:ascii="Meiryo UI" w:hAnsi="Meiryo UI"/>
                <w:sz w:val="18"/>
              </w:rPr>
              <w:t>約10%</w:t>
            </w:r>
          </w:p>
        </w:tc>
        <w:tc>
          <w:tcPr>
            <w:tcW w:type="dxa" w:w="2351"/>
            <w:shd w:val="clear" w:color="auto" w:fill="DDEBF7"/>
          </w:tcPr>
          <w:p>
            <w:r>
              <w:rPr>
                <w:rFonts w:ascii="Meiryo UI" w:hAnsi="Meiryo UI"/>
                <w:sz w:val="18"/>
              </w:rPr>
              <w:t>木材・建材の卸売・流通</w:t>
            </w:r>
          </w:p>
        </w:tc>
      </w:tr>
      <w:tr>
        <w:tc>
          <w:tcPr>
            <w:tcW w:type="dxa" w:w="2351"/>
          </w:tcPr>
          <w:p>
            <w:r>
              <w:rPr>
                <w:rFonts w:ascii="Meiryo UI" w:hAnsi="Meiryo UI"/>
                <w:sz w:val="18"/>
              </w:rPr>
              <w:t>不動産・その他</w:t>
            </w:r>
          </w:p>
        </w:tc>
        <w:tc>
          <w:tcPr>
            <w:tcW w:type="dxa" w:w="2351"/>
          </w:tcPr>
          <w:p>
            <w:r>
              <w:rPr>
                <w:rFonts w:ascii="Meiryo UI" w:hAnsi="Meiryo UI"/>
                <w:sz w:val="18"/>
              </w:rPr>
              <w:t>約8%</w:t>
            </w:r>
          </w:p>
        </w:tc>
        <w:tc>
          <w:tcPr>
            <w:tcW w:type="dxa" w:w="2351"/>
          </w:tcPr>
          <w:p>
            <w:r>
              <w:rPr>
                <w:rFonts w:ascii="Meiryo UI" w:hAnsi="Meiryo UI"/>
                <w:sz w:val="18"/>
              </w:rPr>
              <w:t>約12%</w:t>
            </w:r>
          </w:p>
        </w:tc>
        <w:tc>
          <w:tcPr>
            <w:tcW w:type="dxa" w:w="2351"/>
          </w:tcPr>
          <w:p>
            <w:r>
              <w:rPr>
                <w:rFonts w:ascii="Meiryo UI" w:hAnsi="Meiryo UI"/>
                <w:sz w:val="18"/>
              </w:rPr>
              <w:t>山林・不動産・ハウスメンテナンス</w:t>
            </w:r>
          </w:p>
        </w:tc>
      </w:tr>
    </w:tbl>
    <w:p/>
    <w:p>
      <w:r>
        <w:rPr>
          <w:rFonts w:ascii="Meiryo UI" w:hAnsi="Meiryo UI"/>
          <w:sz w:val="20"/>
        </w:rPr>
        <w:t>【キープロダクト：BIGFRAME木造構法】</w:t>
      </w:r>
    </w:p>
    <w:p/>
    <w:p>
      <w:pPr>
        <w:pStyle w:val="ListBullet"/>
      </w:pPr>
      <w:r>
        <w:rPr>
          <w:rFonts w:ascii="Meiryo UI" w:hAnsi="Meiryo UI"/>
          <w:sz w:val="20"/>
        </w:rPr>
        <w:t>住友林業の国内注文住宅の最大の差別化要素</w:t>
      </w:r>
    </w:p>
    <w:p>
      <w:pPr>
        <w:pStyle w:val="ListBullet"/>
      </w:pPr>
      <w:r>
        <w:rPr>
          <w:rFonts w:ascii="Meiryo UI" w:hAnsi="Meiryo UI"/>
          <w:sz w:val="20"/>
        </w:rPr>
        <w:t>大断面集成材（GL型）フレームを使用した木造大空間工法</w:t>
      </w:r>
    </w:p>
    <w:p>
      <w:pPr>
        <w:pStyle w:val="ListBullet"/>
      </w:pPr>
      <w:r>
        <w:rPr>
          <w:rFonts w:ascii="Meiryo UI" w:hAnsi="Meiryo UI"/>
          <w:sz w:val="20"/>
        </w:rPr>
        <w:t>集成材＝ラミナ（薄板）を積層接着した材料だが、使用する接着剤はフェノール系・イソシアネート系が主体</w:t>
      </w:r>
    </w:p>
    <w:p>
      <w:pPr>
        <w:pStyle w:val="ListBullet"/>
      </w:pPr>
      <w:r>
        <w:rPr>
          <w:rFonts w:ascii="Meiryo UI" w:hAnsi="Meiryo UI"/>
          <w:sz w:val="20"/>
        </w:rPr>
        <w:t>ナフサ由来イソシアネート（MDI）の影響は受けるが、競合の2×4工法比較では輸入合板比率が低い</w:t>
      </w:r>
    </w:p>
    <w:p>
      <w:pPr>
        <w:pStyle w:val="ListBullet"/>
      </w:pPr>
      <w:r>
        <w:rPr>
          <w:rFonts w:ascii="Meiryo UI" w:hAnsi="Meiryo UI"/>
          <w:sz w:val="20"/>
        </w:rPr>
        <w:t>CLT（直交集成板）採用により合板依存度を一部回避可能</w:t>
      </w:r>
    </w:p>
    <w:p/>
    <w:p>
      <w:pPr>
        <w:pStyle w:val="Heading3"/>
      </w:pPr>
      <w:r>
        <w:rPr>
          <w:rFonts w:ascii="Meiryo UI" w:hAnsi="Meiryo UI"/>
          <w:color w:val="2E74B5"/>
        </w:rPr>
        <w:t>1-2. 社長指示トリガー別分析</w:t>
      </w:r>
    </w:p>
    <w:p/>
    <w:p>
      <w:r>
        <w:rPr>
          <w:rFonts w:ascii="Meiryo UI" w:hAnsi="Meiryo UI"/>
          <w:sz w:val="20"/>
        </w:rPr>
        <w:t>① 材料高（木材・建材・ユニットバス）コスト上昇シナリオ別営業利益インパクト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前提</w:t>
            </w:r>
          </w:p>
        </w:tc>
        <w:tc>
          <w:tcPr>
            <w:tcW w:type="dxa" w:w="1881"/>
            <w:shd w:val="clear" w:color="auto" w:fill="2E74B5"/>
          </w:tcPr>
          <w:p>
            <w:r>
              <w:rPr>
                <w:rFonts w:ascii="Meiryo UI" w:hAnsi="Meiryo UI"/>
                <w:b/>
                <w:color w:val="FFFFFF"/>
                <w:sz w:val="18"/>
              </w:rPr>
              <w:t>コスト上昇額（推計）</w:t>
            </w:r>
          </w:p>
        </w:tc>
        <w:tc>
          <w:tcPr>
            <w:tcW w:type="dxa" w:w="1881"/>
            <w:shd w:val="clear" w:color="auto" w:fill="2E74B5"/>
          </w:tcPr>
          <w:p>
            <w:r>
              <w:rPr>
                <w:rFonts w:ascii="Meiryo UI" w:hAnsi="Meiryo UI"/>
                <w:b/>
                <w:color w:val="FFFFFF"/>
                <w:sz w:val="18"/>
              </w:rPr>
              <w:t>営業利益への影響</w:t>
            </w:r>
          </w:p>
        </w:tc>
        <w:tc>
          <w:tcPr>
            <w:tcW w:type="dxa" w:w="1881"/>
            <w:shd w:val="clear" w:color="auto" w:fill="2E74B5"/>
          </w:tcPr>
          <w:p>
            <w:r>
              <w:rPr>
                <w:rFonts w:ascii="Meiryo UI" w:hAnsi="Meiryo UI"/>
                <w:b/>
                <w:color w:val="FFFFFF"/>
                <w:sz w:val="18"/>
              </w:rPr>
              <w:t>価格転嫁後ネット影響</w:t>
            </w:r>
          </w:p>
        </w:tc>
      </w:tr>
      <w:tr>
        <w:tc>
          <w:tcPr>
            <w:tcW w:type="dxa" w:w="1881"/>
          </w:tcPr>
          <w:p>
            <w:r>
              <w:rPr>
                <w:rFonts w:ascii="Meiryo UI" w:hAnsi="Meiryo UI"/>
                <w:sz w:val="18"/>
              </w:rPr>
              <w:t>軽微（3ヶ月で終息）</w:t>
            </w:r>
          </w:p>
        </w:tc>
        <w:tc>
          <w:tcPr>
            <w:tcW w:type="dxa" w:w="1881"/>
          </w:tcPr>
          <w:p>
            <w:r>
              <w:rPr>
                <w:rFonts w:ascii="Meiryo UI" w:hAnsi="Meiryo UI"/>
                <w:sz w:val="18"/>
              </w:rPr>
              <w:t>ナフサ+15%、木材+10%</w:t>
            </w:r>
          </w:p>
        </w:tc>
        <w:tc>
          <w:tcPr>
            <w:tcW w:type="dxa" w:w="1881"/>
          </w:tcPr>
          <w:p>
            <w:r>
              <w:rPr>
                <w:rFonts w:ascii="Meiryo UI" w:hAnsi="Meiryo UI"/>
                <w:sz w:val="18"/>
              </w:rPr>
              <w:t>+¥50〜80億円/年</w:t>
            </w:r>
          </w:p>
        </w:tc>
        <w:tc>
          <w:tcPr>
            <w:tcW w:type="dxa" w:w="1881"/>
          </w:tcPr>
          <w:p>
            <w:r>
              <w:rPr>
                <w:rFonts w:ascii="Meiryo UI" w:hAnsi="Meiryo UI"/>
                <w:sz w:val="18"/>
              </w:rPr>
              <w:t>▲5〜8%</w:t>
            </w:r>
          </w:p>
        </w:tc>
        <w:tc>
          <w:tcPr>
            <w:tcW w:type="dxa" w:w="1881"/>
          </w:tcPr>
          <w:p>
            <w:r>
              <w:rPr>
                <w:rFonts w:ascii="Meiryo UI" w:hAnsi="Meiryo UI"/>
                <w:sz w:val="18"/>
              </w:rPr>
              <w:t>▲2〜3%（転嫁50%で）</w:t>
            </w:r>
          </w:p>
        </w:tc>
      </w:tr>
      <w:tr>
        <w:tc>
          <w:tcPr>
            <w:tcW w:type="dxa" w:w="1881"/>
            <w:shd w:val="clear" w:color="auto" w:fill="DDEBF7"/>
          </w:tcPr>
          <w:p>
            <w:r>
              <w:rPr>
                <w:rFonts w:ascii="Meiryo UI" w:hAnsi="Meiryo UI"/>
                <w:sz w:val="18"/>
              </w:rPr>
              <w:t>中程度（6〜12ヶ月継続）</w:t>
            </w:r>
          </w:p>
        </w:tc>
        <w:tc>
          <w:tcPr>
            <w:tcW w:type="dxa" w:w="1881"/>
            <w:shd w:val="clear" w:color="auto" w:fill="DDEBF7"/>
          </w:tcPr>
          <w:p>
            <w:r>
              <w:rPr>
                <w:rFonts w:ascii="Meiryo UI" w:hAnsi="Meiryo UI"/>
                <w:sz w:val="18"/>
              </w:rPr>
              <w:t>ナフサ+30%、木材+20%</w:t>
            </w:r>
          </w:p>
        </w:tc>
        <w:tc>
          <w:tcPr>
            <w:tcW w:type="dxa" w:w="1881"/>
            <w:shd w:val="clear" w:color="auto" w:fill="DDEBF7"/>
          </w:tcPr>
          <w:p>
            <w:r>
              <w:rPr>
                <w:rFonts w:ascii="Meiryo UI" w:hAnsi="Meiryo UI"/>
                <w:sz w:val="18"/>
              </w:rPr>
              <w:t>+¥120〜180億円/年</w:t>
            </w:r>
          </w:p>
        </w:tc>
        <w:tc>
          <w:tcPr>
            <w:tcW w:type="dxa" w:w="1881"/>
            <w:shd w:val="clear" w:color="auto" w:fill="DDEBF7"/>
          </w:tcPr>
          <w:p>
            <w:r>
              <w:rPr>
                <w:rFonts w:ascii="Meiryo UI" w:hAnsi="Meiryo UI"/>
                <w:sz w:val="18"/>
              </w:rPr>
              <w:t>▲12〜18%</w:t>
            </w:r>
          </w:p>
        </w:tc>
        <w:tc>
          <w:tcPr>
            <w:tcW w:type="dxa" w:w="1881"/>
            <w:shd w:val="clear" w:color="auto" w:fill="DDEBF7"/>
          </w:tcPr>
          <w:p>
            <w:r>
              <w:rPr>
                <w:rFonts w:ascii="Meiryo UI" w:hAnsi="Meiryo UI"/>
                <w:sz w:val="18"/>
              </w:rPr>
              <w:t>▲6〜10%（転嫁50%）</w:t>
            </w:r>
          </w:p>
        </w:tc>
      </w:tr>
      <w:tr>
        <w:tc>
          <w:tcPr>
            <w:tcW w:type="dxa" w:w="1881"/>
          </w:tcPr>
          <w:p>
            <w:r>
              <w:rPr>
                <w:rFonts w:ascii="Meiryo UI" w:hAnsi="Meiryo UI"/>
                <w:sz w:val="18"/>
              </w:rPr>
              <w:t>重症（ホルムズ封鎖12ヶ月超）</w:t>
            </w:r>
          </w:p>
        </w:tc>
        <w:tc>
          <w:tcPr>
            <w:tcW w:type="dxa" w:w="1881"/>
          </w:tcPr>
          <w:p>
            <w:r>
              <w:rPr>
                <w:rFonts w:ascii="Meiryo UI" w:hAnsi="Meiryo UI"/>
                <w:sz w:val="18"/>
              </w:rPr>
              <w:t>ナフサ+50%、木材+30%、ユニットバス供給断絶</w:t>
            </w:r>
          </w:p>
        </w:tc>
        <w:tc>
          <w:tcPr>
            <w:tcW w:type="dxa" w:w="1881"/>
          </w:tcPr>
          <w:p>
            <w:r>
              <w:rPr>
                <w:rFonts w:ascii="Meiryo UI" w:hAnsi="Meiryo UI"/>
                <w:sz w:val="18"/>
              </w:rPr>
              <w:t>+¥250〜350億円/年</w:t>
            </w:r>
          </w:p>
        </w:tc>
        <w:tc>
          <w:tcPr>
            <w:tcW w:type="dxa" w:w="1881"/>
          </w:tcPr>
          <w:p>
            <w:r>
              <w:rPr>
                <w:rFonts w:ascii="Meiryo UI" w:hAnsi="Meiryo UI"/>
                <w:sz w:val="18"/>
              </w:rPr>
              <w:t>▲25〜35%</w:t>
            </w:r>
          </w:p>
        </w:tc>
        <w:tc>
          <w:tcPr>
            <w:tcW w:type="dxa" w:w="1881"/>
          </w:tcPr>
          <w:p>
            <w:r>
              <w:rPr>
                <w:rFonts w:ascii="Meiryo UI" w:hAnsi="Meiryo UI"/>
                <w:sz w:val="18"/>
              </w:rPr>
              <w:t>▲15〜20%（転嫁困難）</w:t>
            </w:r>
          </w:p>
        </w:tc>
      </w:tr>
    </w:tbl>
    <w:p/>
    <w:p>
      <w:r>
        <w:rPr>
          <w:rFonts w:ascii="Meiryo UI" w:hAnsi="Meiryo UI"/>
          <w:sz w:val="20"/>
        </w:rPr>
        <w:t>&gt; 深井コメント: 現在のWTI¥104.92/bbl（円換算¥15,420/bbl @147円想定）はすでに高い水準。ホルムズ封鎖が現実化した場合、ナフサスポット価格は+40〜60%のシナリオも十分あり得る。</w:t>
      </w:r>
    </w:p>
    <w:p/>
    <w:p>
      <w:r>
        <w:t>──────────────────────────────────────────────────</w:t>
      </w:r>
    </w:p>
    <w:p/>
    <w:p>
      <w:r>
        <w:rPr>
          <w:rFonts w:ascii="Meiryo UI" w:hAnsi="Meiryo UI"/>
          <w:sz w:val="20"/>
        </w:rPr>
        <w:t>② TOTO受注停止で住友林業の住宅納期・受注キャンセルリスク</w:t>
      </w:r>
    </w:p>
    <w:p/>
    <w:p>
      <w:r>
        <w:rPr>
          <w:rFonts w:ascii="Meiryo UI" w:hAnsi="Meiryo UI"/>
          <w:sz w:val="20"/>
        </w:rPr>
        <w:t>住友林業の注文住宅におけるユニットバス採用率は推定80〜90%。TOTOは国内ユニットバス市場シェア約30〜35%。</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リスク項目</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影響規模（推計）</w:t>
            </w:r>
          </w:p>
        </w:tc>
      </w:tr>
      <w:tr>
        <w:tc>
          <w:tcPr>
            <w:tcW w:type="dxa" w:w="3135"/>
          </w:tcPr>
          <w:p>
            <w:r>
              <w:rPr>
                <w:rFonts w:ascii="Meiryo UI" w:hAnsi="Meiryo UI"/>
                <w:sz w:val="18"/>
              </w:rPr>
              <w:t>引渡遅延</w:t>
            </w:r>
          </w:p>
        </w:tc>
        <w:tc>
          <w:tcPr>
            <w:tcW w:type="dxa" w:w="3135"/>
          </w:tcPr>
          <w:p>
            <w:r>
              <w:rPr>
                <w:rFonts w:ascii="Meiryo UI" w:hAnsi="Meiryo UI"/>
                <w:sz w:val="18"/>
              </w:rPr>
              <w:t>TOTOユニットバス未入荷で完工検査が通らない</w:t>
            </w:r>
          </w:p>
        </w:tc>
        <w:tc>
          <w:tcPr>
            <w:tcW w:type="dxa" w:w="3135"/>
          </w:tcPr>
          <w:p>
            <w:r>
              <w:rPr>
                <w:rFonts w:ascii="Meiryo UI" w:hAnsi="Meiryo UI"/>
                <w:sz w:val="18"/>
              </w:rPr>
              <w:t>年間受注棟数の15〜20%（推計2,000〜3,000棟）</w:t>
            </w:r>
          </w:p>
        </w:tc>
      </w:tr>
      <w:tr>
        <w:tc>
          <w:tcPr>
            <w:tcW w:type="dxa" w:w="3135"/>
            <w:shd w:val="clear" w:color="auto" w:fill="DDEBF7"/>
          </w:tcPr>
          <w:p>
            <w:r>
              <w:rPr>
                <w:rFonts w:ascii="Meiryo UI" w:hAnsi="Meiryo UI"/>
                <w:sz w:val="18"/>
              </w:rPr>
              <w:t>キャンセルリスク</w:t>
            </w:r>
          </w:p>
        </w:tc>
        <w:tc>
          <w:tcPr>
            <w:tcW w:type="dxa" w:w="3135"/>
            <w:shd w:val="clear" w:color="auto" w:fill="DDEBF7"/>
          </w:tcPr>
          <w:p>
            <w:r>
              <w:rPr>
                <w:rFonts w:ascii="Meiryo UI" w:hAnsi="Meiryo UI"/>
                <w:sz w:val="18"/>
              </w:rPr>
              <w:t>遅延3ヶ月超でキャンセル権発生（契約条項による）</w:t>
            </w:r>
          </w:p>
        </w:tc>
        <w:tc>
          <w:tcPr>
            <w:tcW w:type="dxa" w:w="3135"/>
            <w:shd w:val="clear" w:color="auto" w:fill="DDEBF7"/>
          </w:tcPr>
          <w:p>
            <w:r>
              <w:rPr>
                <w:rFonts w:ascii="Meiryo UI" w:hAnsi="Meiryo UI"/>
                <w:sz w:val="18"/>
              </w:rPr>
              <w:t>遅延棟数の10〜20%がキャンセルに転化と想定</w:t>
            </w:r>
          </w:p>
        </w:tc>
      </w:tr>
      <w:tr>
        <w:tc>
          <w:tcPr>
            <w:tcW w:type="dxa" w:w="3135"/>
          </w:tcPr>
          <w:p>
            <w:r>
              <w:rPr>
                <w:rFonts w:ascii="Meiryo UI" w:hAnsi="Meiryo UI"/>
                <w:sz w:val="18"/>
              </w:rPr>
              <w:t>代替調達</w:t>
            </w:r>
          </w:p>
        </w:tc>
        <w:tc>
          <w:tcPr>
            <w:tcW w:type="dxa" w:w="3135"/>
          </w:tcPr>
          <w:p>
            <w:r>
              <w:rPr>
                <w:rFonts w:ascii="Meiryo UI" w:hAnsi="Meiryo UI"/>
                <w:sz w:val="18"/>
              </w:rPr>
              <w:t>LIXIL/Panasonicへの切替</w:t>
            </w:r>
          </w:p>
        </w:tc>
        <w:tc>
          <w:tcPr>
            <w:tcW w:type="dxa" w:w="3135"/>
          </w:tcPr>
          <w:p>
            <w:r>
              <w:rPr>
                <w:rFonts w:ascii="Meiryo UI" w:hAnsi="Meiryo UI"/>
                <w:sz w:val="18"/>
              </w:rPr>
              <w:t>3〜6ヶ月で概ね代替可能だが仕様変更コスト発生</w:t>
            </w:r>
          </w:p>
        </w:tc>
      </w:tr>
      <w:tr>
        <w:tc>
          <w:tcPr>
            <w:tcW w:type="dxa" w:w="3135"/>
            <w:shd w:val="clear" w:color="auto" w:fill="DDEBF7"/>
          </w:tcPr>
          <w:p>
            <w:r>
              <w:rPr>
                <w:rFonts w:ascii="Meiryo UI" w:hAnsi="Meiryo UI"/>
                <w:sz w:val="18"/>
              </w:rPr>
              <w:t>1棟あたり損失</w:t>
            </w:r>
          </w:p>
        </w:tc>
        <w:tc>
          <w:tcPr>
            <w:tcW w:type="dxa" w:w="3135"/>
            <w:shd w:val="clear" w:color="auto" w:fill="DDEBF7"/>
          </w:tcPr>
          <w:p>
            <w:r>
              <w:rPr>
                <w:rFonts w:ascii="Meiryo UI" w:hAnsi="Meiryo UI"/>
                <w:sz w:val="18"/>
              </w:rPr>
              <w:t>契約解除違約金・代替工事費</w:t>
            </w:r>
          </w:p>
        </w:tc>
        <w:tc>
          <w:tcPr>
            <w:tcW w:type="dxa" w:w="3135"/>
            <w:shd w:val="clear" w:color="auto" w:fill="DDEBF7"/>
          </w:tcPr>
          <w:p>
            <w:r>
              <w:rPr>
                <w:rFonts w:ascii="Meiryo UI" w:hAnsi="Meiryo UI"/>
                <w:sz w:val="18"/>
              </w:rPr>
              <w:t>▲¥5〜15万円/棟</w:t>
            </w:r>
          </w:p>
        </w:tc>
      </w:tr>
    </w:tbl>
    <w:p/>
    <w:p>
      <w:r>
        <w:rPr>
          <w:rFonts w:ascii="Meiryo UI" w:hAnsi="Meiryo UI"/>
          <w:sz w:val="20"/>
        </w:rPr>
        <w:t>TOTOキャンセル影響の定量化:</w:t>
      </w:r>
    </w:p>
    <w:p>
      <w:pPr>
        <w:pStyle w:val="ListBullet"/>
      </w:pPr>
      <w:r>
        <w:rPr>
          <w:rFonts w:ascii="Meiryo UI" w:hAnsi="Meiryo UI"/>
          <w:sz w:val="20"/>
        </w:rPr>
        <w:t>最悪ケース: 3,000棟×キャンセル率15%=450棟×平均粗利¥600万円=▲約27億円</w:t>
      </w:r>
    </w:p>
    <w:p>
      <w:pPr>
        <w:pStyle w:val="ListBullet"/>
      </w:pPr>
      <w:r>
        <w:rPr>
          <w:rFonts w:ascii="Meiryo UI" w:hAnsi="Meiryo UI"/>
          <w:sz w:val="20"/>
        </w:rPr>
        <w:t>中程度ケース: ▲約10〜15億円の一時損失</w:t>
      </w:r>
    </w:p>
    <w:p>
      <w:pPr>
        <w:pStyle w:val="ListBullet"/>
      </w:pPr>
      <w:r>
        <w:rPr>
          <w:rFonts w:ascii="Meiryo UI" w:hAnsi="Meiryo UI"/>
          <w:sz w:val="20"/>
        </w:rPr>
        <w:t>これは連結営業利益（推計¥1,000〜1,100億円）の1〜2.5%程度</w:t>
      </w:r>
    </w:p>
    <w:p>
      <w:pPr>
        <w:pStyle w:val="ListBullet"/>
      </w:pPr>
      <w:r>
        <w:rPr>
          <w:rFonts w:ascii="Meiryo UI" w:hAnsi="Meiryo UI"/>
          <w:sz w:val="20"/>
        </w:rPr>
        <w:t>単体で見れば痛いが会社を揺るがすレベルではない</w:t>
      </w:r>
    </w:p>
    <w:p/>
    <w:p>
      <w:r>
        <w:t>──────────────────────────────────────────────────</w:t>
      </w:r>
    </w:p>
    <w:p/>
    <w:p>
      <w:r>
        <w:rPr>
          <w:rFonts w:ascii="Meiryo UI" w:hAnsi="Meiryo UI"/>
          <w:sz w:val="20"/>
        </w:rPr>
        <w:t>③ 注文住宅の価格転嫁力</w:t>
      </w:r>
    </w:p>
    <w:p/>
    <w:p>
      <w:r>
        <w:rPr>
          <w:rFonts w:ascii="Meiryo UI" w:hAnsi="Meiryo UI"/>
          <w:sz w:val="20"/>
        </w:rPr>
        <w:t>住友林業は国内注文住宅の平均坪単価が80〜100万円/坪と業界トップクラス。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評価項目</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ブランド力</w:t>
            </w:r>
          </w:p>
        </w:tc>
        <w:tc>
          <w:tcPr>
            <w:tcW w:type="dxa" w:w="3135"/>
          </w:tcPr>
          <w:p>
            <w:r>
              <w:rPr>
                <w:rFonts w:ascii="Meiryo UI" w:hAnsi="Meiryo UI"/>
                <w:sz w:val="18"/>
              </w:rPr>
              <w:t>高所得層向け・BIGFRAME差別化</w:t>
            </w:r>
          </w:p>
        </w:tc>
        <w:tc>
          <w:tcPr>
            <w:tcW w:type="dxa" w:w="3135"/>
          </w:tcPr>
          <w:p>
            <w:r>
              <w:rPr>
                <w:rFonts w:ascii="Meiryo UI" w:hAnsi="Meiryo UI"/>
                <w:sz w:val="18"/>
              </w:rPr>
              <w:t>◎ 転嫁しやすい</w:t>
            </w:r>
          </w:p>
        </w:tc>
      </w:tr>
      <w:tr>
        <w:tc>
          <w:tcPr>
            <w:tcW w:type="dxa" w:w="3135"/>
            <w:shd w:val="clear" w:color="auto" w:fill="DDEBF7"/>
          </w:tcPr>
          <w:p>
            <w:r>
              <w:rPr>
                <w:rFonts w:ascii="Meiryo UI" w:hAnsi="Meiryo UI"/>
                <w:sz w:val="18"/>
              </w:rPr>
              <w:t>顧客層</w:t>
            </w:r>
          </w:p>
        </w:tc>
        <w:tc>
          <w:tcPr>
            <w:tcW w:type="dxa" w:w="3135"/>
            <w:shd w:val="clear" w:color="auto" w:fill="DDEBF7"/>
          </w:tcPr>
          <w:p>
            <w:r>
              <w:rPr>
                <w:rFonts w:ascii="Meiryo UI" w:hAnsi="Meiryo UI"/>
                <w:sz w:val="18"/>
              </w:rPr>
              <w:t>世帯年収1,000万円超が主体</w:t>
            </w:r>
          </w:p>
        </w:tc>
        <w:tc>
          <w:tcPr>
            <w:tcW w:type="dxa" w:w="3135"/>
            <w:shd w:val="clear" w:color="auto" w:fill="DDEBF7"/>
          </w:tcPr>
          <w:p>
            <w:r>
              <w:rPr>
                <w:rFonts w:ascii="Meiryo UI" w:hAnsi="Meiryo UI"/>
                <w:sz w:val="18"/>
              </w:rPr>
              <w:t>○ 価格感度低め</w:t>
            </w:r>
          </w:p>
        </w:tc>
      </w:tr>
      <w:tr>
        <w:tc>
          <w:tcPr>
            <w:tcW w:type="dxa" w:w="3135"/>
          </w:tcPr>
          <w:p>
            <w:r>
              <w:rPr>
                <w:rFonts w:ascii="Meiryo UI" w:hAnsi="Meiryo UI"/>
                <w:sz w:val="18"/>
              </w:rPr>
              <w:t>競合価格動向</w:t>
            </w:r>
          </w:p>
        </w:tc>
        <w:tc>
          <w:tcPr>
            <w:tcW w:type="dxa" w:w="3135"/>
          </w:tcPr>
          <w:p>
            <w:r>
              <w:rPr>
                <w:rFonts w:ascii="Meiryo UI" w:hAnsi="Meiryo UI"/>
                <w:sz w:val="18"/>
              </w:rPr>
              <w:t>積水ハウス・ダイワハウスも同様コスト高</w:t>
            </w:r>
          </w:p>
        </w:tc>
        <w:tc>
          <w:tcPr>
            <w:tcW w:type="dxa" w:w="3135"/>
          </w:tcPr>
          <w:p>
            <w:r>
              <w:rPr>
                <w:rFonts w:ascii="Meiryo UI" w:hAnsi="Meiryo UI"/>
                <w:sz w:val="18"/>
              </w:rPr>
              <w:t>△ 横並び転嫁なら受容可能</w:t>
            </w:r>
          </w:p>
        </w:tc>
      </w:tr>
      <w:tr>
        <w:tc>
          <w:tcPr>
            <w:tcW w:type="dxa" w:w="3135"/>
            <w:shd w:val="clear" w:color="auto" w:fill="DDEBF7"/>
          </w:tcPr>
          <w:p>
            <w:r>
              <w:rPr>
                <w:rFonts w:ascii="Meiryo UI" w:hAnsi="Meiryo UI"/>
                <w:sz w:val="18"/>
              </w:rPr>
              <w:t>転嫁タイムラグ</w:t>
            </w:r>
          </w:p>
        </w:tc>
        <w:tc>
          <w:tcPr>
            <w:tcW w:type="dxa" w:w="3135"/>
            <w:shd w:val="clear" w:color="auto" w:fill="DDEBF7"/>
          </w:tcPr>
          <w:p>
            <w:r>
              <w:rPr>
                <w:rFonts w:ascii="Meiryo UI" w:hAnsi="Meiryo UI"/>
                <w:sz w:val="18"/>
              </w:rPr>
              <w:t>注文住宅は着工前に価格確定→転嫁は新規受注から</w:t>
            </w:r>
          </w:p>
        </w:tc>
        <w:tc>
          <w:tcPr>
            <w:tcW w:type="dxa" w:w="3135"/>
            <w:shd w:val="clear" w:color="auto" w:fill="DDEBF7"/>
          </w:tcPr>
          <w:p>
            <w:r>
              <w:rPr>
                <w:rFonts w:ascii="Meiryo UI" w:hAnsi="Meiryo UI"/>
                <w:sz w:val="18"/>
              </w:rPr>
              <w:t>⚠️ 既受注分は転嫁不可</w:t>
            </w:r>
          </w:p>
        </w:tc>
      </w:tr>
      <w:tr>
        <w:tc>
          <w:tcPr>
            <w:tcW w:type="dxa" w:w="3135"/>
          </w:tcPr>
          <w:p>
            <w:r>
              <w:rPr>
                <w:rFonts w:ascii="Meiryo UI" w:hAnsi="Meiryo UI"/>
                <w:sz w:val="18"/>
              </w:rPr>
              <w:t>価格転嫁率実績</w:t>
            </w:r>
          </w:p>
        </w:tc>
        <w:tc>
          <w:tcPr>
            <w:tcW w:type="dxa" w:w="3135"/>
          </w:tcPr>
          <w:p>
            <w:r>
              <w:rPr>
                <w:rFonts w:ascii="Meiryo UI" w:hAnsi="Meiryo UI"/>
                <w:sz w:val="18"/>
              </w:rPr>
              <w:t>2021〜22年ウッドショック時に50〜60%転嫁実現</w:t>
            </w:r>
          </w:p>
        </w:tc>
        <w:tc>
          <w:tcPr>
            <w:tcW w:type="dxa" w:w="3135"/>
          </w:tcPr>
          <w:p>
            <w:r>
              <w:rPr>
                <w:rFonts w:ascii="Meiryo UI" w:hAnsi="Meiryo UI"/>
                <w:sz w:val="18"/>
              </w:rPr>
              <w:t>△〜○</w:t>
            </w:r>
          </w:p>
        </w:tc>
      </w:tr>
    </w:tbl>
    <w:p/>
    <w:p>
      <w:r>
        <w:rPr>
          <w:rFonts w:ascii="Meiryo UI" w:hAnsi="Meiryo UI"/>
          <w:sz w:val="20"/>
        </w:rPr>
        <w:t>深井判断: 新規受注への価格転嫁（坪単価+5〜8万円）は実現可能だが、既存受注残（推計1.5〜2年分）への遡及不可がコスト圧迫の本体。FY26Q1〜Q2は特に苦しい。</w:t>
      </w:r>
    </w:p>
    <w:p/>
    <w:p>
      <w:r>
        <w:t>──────────────────────────────────────────────────</w:t>
      </w:r>
    </w:p>
    <w:p/>
    <w:p>
      <w:r>
        <w:rPr>
          <w:rFonts w:ascii="Meiryo UI" w:hAnsi="Meiryo UI"/>
          <w:sz w:val="20"/>
        </w:rPr>
        <w:t>④ 住宅着工統計前年比と受注残消化ペース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直近実績（推計）</w:t>
            </w:r>
          </w:p>
        </w:tc>
        <w:tc>
          <w:tcPr>
            <w:tcW w:type="dxa" w:w="3135"/>
            <w:shd w:val="clear" w:color="auto" w:fill="2E74B5"/>
          </w:tcPr>
          <w:p>
            <w:r>
              <w:rPr>
                <w:rFonts w:ascii="Meiryo UI" w:hAnsi="Meiryo UI"/>
                <w:b/>
                <w:color w:val="FFFFFF"/>
                <w:sz w:val="18"/>
              </w:rPr>
              <w:t>見通し</w:t>
            </w:r>
          </w:p>
        </w:tc>
      </w:tr>
      <w:tr>
        <w:tc>
          <w:tcPr>
            <w:tcW w:type="dxa" w:w="3135"/>
          </w:tcPr>
          <w:p>
            <w:r>
              <w:rPr>
                <w:rFonts w:ascii="Meiryo UI" w:hAnsi="Meiryo UI"/>
                <w:sz w:val="18"/>
              </w:rPr>
              <w:t>全国住宅着工戸数</w:t>
            </w:r>
          </w:p>
        </w:tc>
        <w:tc>
          <w:tcPr>
            <w:tcW w:type="dxa" w:w="3135"/>
          </w:tcPr>
          <w:p>
            <w:r>
              <w:rPr>
                <w:rFonts w:ascii="Meiryo UI" w:hAnsi="Meiryo UI"/>
                <w:sz w:val="18"/>
              </w:rPr>
              <w:t>FY25: 約86万戸（前年比▲4%)</w:t>
            </w:r>
          </w:p>
        </w:tc>
        <w:tc>
          <w:tcPr>
            <w:tcW w:type="dxa" w:w="3135"/>
          </w:tcPr>
          <w:p>
            <w:r>
              <w:rPr>
                <w:rFonts w:ascii="Meiryo UI" w:hAnsi="Meiryo UI"/>
                <w:sz w:val="18"/>
              </w:rPr>
              <w:t>FY26: 80〜83万戸（▲3〜7%）</w:t>
            </w:r>
          </w:p>
        </w:tc>
      </w:tr>
      <w:tr>
        <w:tc>
          <w:tcPr>
            <w:tcW w:type="dxa" w:w="3135"/>
            <w:shd w:val="clear" w:color="auto" w:fill="DDEBF7"/>
          </w:tcPr>
          <w:p>
            <w:r>
              <w:rPr>
                <w:rFonts w:ascii="Meiryo UI" w:hAnsi="Meiryo UI"/>
                <w:sz w:val="18"/>
              </w:rPr>
              <w:t>注文住宅着工</w:t>
            </w:r>
          </w:p>
        </w:tc>
        <w:tc>
          <w:tcPr>
            <w:tcW w:type="dxa" w:w="3135"/>
            <w:shd w:val="clear" w:color="auto" w:fill="DDEBF7"/>
          </w:tcPr>
          <w:p>
            <w:r>
              <w:rPr>
                <w:rFonts w:ascii="Meiryo UI" w:hAnsi="Meiryo UI"/>
                <w:sz w:val="18"/>
              </w:rPr>
              <w:t>FY25: 約24万戸（前年比▲5%）</w:t>
            </w:r>
          </w:p>
        </w:tc>
        <w:tc>
          <w:tcPr>
            <w:tcW w:type="dxa" w:w="3135"/>
            <w:shd w:val="clear" w:color="auto" w:fill="DDEBF7"/>
          </w:tcPr>
          <w:p>
            <w:r>
              <w:rPr>
                <w:rFonts w:ascii="Meiryo UI" w:hAnsi="Meiryo UI"/>
                <w:sz w:val="18"/>
              </w:rPr>
              <w:t>FY26: 22〜23万戸（▲5〜8%）</w:t>
            </w:r>
          </w:p>
        </w:tc>
      </w:tr>
      <w:tr>
        <w:tc>
          <w:tcPr>
            <w:tcW w:type="dxa" w:w="3135"/>
          </w:tcPr>
          <w:p>
            <w:r>
              <w:rPr>
                <w:rFonts w:ascii="Meiryo UI" w:hAnsi="Meiryo UI"/>
                <w:sz w:val="18"/>
              </w:rPr>
              <w:t>住友林業受注棟数</w:t>
            </w:r>
          </w:p>
        </w:tc>
        <w:tc>
          <w:tcPr>
            <w:tcW w:type="dxa" w:w="3135"/>
          </w:tcPr>
          <w:p>
            <w:r>
              <w:rPr>
                <w:rFonts w:ascii="Meiryo UI" w:hAnsi="Meiryo UI"/>
                <w:sz w:val="18"/>
              </w:rPr>
              <w:t>約14,000〜15,000棟/年</w:t>
            </w:r>
          </w:p>
        </w:tc>
        <w:tc>
          <w:tcPr>
            <w:tcW w:type="dxa" w:w="3135"/>
          </w:tcPr>
          <w:p>
            <w:r>
              <w:rPr>
                <w:rFonts w:ascii="Meiryo UI" w:hAnsi="Meiryo UI"/>
                <w:sz w:val="18"/>
              </w:rPr>
              <w:t>▲5〜10%リスク</w:t>
            </w:r>
          </w:p>
        </w:tc>
      </w:tr>
      <w:tr>
        <w:tc>
          <w:tcPr>
            <w:tcW w:type="dxa" w:w="3135"/>
            <w:shd w:val="clear" w:color="auto" w:fill="DDEBF7"/>
          </w:tcPr>
          <w:p>
            <w:r>
              <w:rPr>
                <w:rFonts w:ascii="Meiryo UI" w:hAnsi="Meiryo UI"/>
                <w:sz w:val="18"/>
              </w:rPr>
              <w:t>受注残消化ペース</w:t>
            </w:r>
          </w:p>
        </w:tc>
        <w:tc>
          <w:tcPr>
            <w:tcW w:type="dxa" w:w="3135"/>
            <w:shd w:val="clear" w:color="auto" w:fill="DDEBF7"/>
          </w:tcPr>
          <w:p>
            <w:r>
              <w:rPr>
                <w:rFonts w:ascii="Meiryo UI" w:hAnsi="Meiryo UI"/>
                <w:sz w:val="18"/>
              </w:rPr>
              <w:t>標準7〜8ヶ月</w:t>
            </w:r>
          </w:p>
        </w:tc>
        <w:tc>
          <w:tcPr>
            <w:tcW w:type="dxa" w:w="3135"/>
            <w:shd w:val="clear" w:color="auto" w:fill="DDEBF7"/>
          </w:tcPr>
          <w:p>
            <w:r>
              <w:rPr>
                <w:rFonts w:ascii="Meiryo UI" w:hAnsi="Meiryo UI"/>
                <w:sz w:val="18"/>
              </w:rPr>
              <w:t>TOTOリスクで9〜11ヶ月に延長リスク</w:t>
            </w:r>
          </w:p>
        </w:tc>
      </w:tr>
    </w:tbl>
    <w:p/>
    <w:p>
      <w:r>
        <w:t>──────────────────────────────────────────────────</w:t>
      </w:r>
    </w:p>
    <w:p/>
    <w:p>
      <w:r>
        <w:rPr>
          <w:rFonts w:ascii="Meiryo UI" w:hAnsi="Meiryo UI"/>
          <w:sz w:val="20"/>
        </w:rPr>
        <w:t>⑤ BIGFRAMEの材料特性とナフサ依存度</w:t>
      </w:r>
    </w:p>
    <w:p/>
    <w:p>
      <w:pPr>
        <w:shd w:val="clear" w:color="auto" w:fill="F2F2F2"/>
      </w:pPr>
      <w:r>
        <w:rPr>
          <w:rFonts w:ascii="Courier New" w:hAnsi="Courier New"/>
          <w:sz w:val="16"/>
        </w:rPr>
        <w:t>BIGFRAME材料構成とナフサ依存度マッピング:</w:t>
        <w:br/>
        <w:br/>
        <w:t>高依存（★★★）: 断熱材（グラスウール/フェノールフォーム）、接着剤（イソシアネート系）</w:t>
        <w:br/>
        <w:t>中依存（★★）ː 塗料・コーキング材、防水シート</w:t>
        <w:br/>
        <w:t>低依存（★）: 集成材ラミナ（木材そのもの）、構造用集成材</w:t>
        <w:br/>
        <w:t>ほぼ無依存（－）: 土台・柱（無垢材）、屋根材（瓦・金属）</w:t>
      </w:r>
    </w:p>
    <w:p/>
    <w:p>
      <w:r>
        <w:rPr>
          <w:rFonts w:ascii="Meiryo UI" w:hAnsi="Meiryo UI"/>
          <w:sz w:val="20"/>
        </w:rPr>
        <w:t>強みのポイント:</w:t>
      </w:r>
    </w:p>
    <w:p>
      <w:pPr>
        <w:pStyle w:val="ListBullet"/>
      </w:pPr>
      <w:r>
        <w:rPr>
          <w:rFonts w:ascii="Meiryo UI" w:hAnsi="Meiryo UI"/>
          <w:sz w:val="20"/>
        </w:rPr>
        <w:t>2×4工法（合板多用）比で合板・OSB使用量が少ない</w:t>
      </w:r>
    </w:p>
    <w:p>
      <w:pPr>
        <w:pStyle w:val="ListBullet"/>
      </w:pPr>
      <w:r>
        <w:rPr>
          <w:rFonts w:ascii="Meiryo UI" w:hAnsi="Meiryo UI"/>
          <w:sz w:val="20"/>
        </w:rPr>
        <w:t>集成材自体は木材なのでナフサ高の直接影響は小さい</w:t>
      </w:r>
    </w:p>
    <w:p>
      <w:pPr>
        <w:pStyle w:val="ListBullet"/>
      </w:pPr>
      <w:r>
        <w:rPr>
          <w:rFonts w:ascii="Meiryo UI" w:hAnsi="Meiryo UI"/>
          <w:sz w:val="20"/>
        </w:rPr>
        <w:t>但し、接着剤（イソシアネートMDI）はナフサ依存度100%</w:t>
      </w:r>
    </w:p>
    <w:p>
      <w:pPr>
        <w:pStyle w:val="ListBullet"/>
      </w:pPr>
      <w:r>
        <w:rPr>
          <w:rFonts w:ascii="Meiryo UI" w:hAnsi="Meiryo UI"/>
          <w:sz w:val="20"/>
        </w:rPr>
        <w:t>MDIスポット価格が+30〜50%となれば集成材製造コストに波及</w:t>
      </w:r>
    </w:p>
    <w:p/>
    <w:p>
      <w:r>
        <w:t>──────────────────────────────────────────────────</w:t>
      </w:r>
    </w:p>
    <w:p/>
    <w:p>
      <w:r>
        <w:rPr>
          <w:rFonts w:ascii="Meiryo UI" w:hAnsi="Meiryo UI"/>
          <w:sz w:val="20"/>
        </w:rPr>
        <w:t>⑥ 海外（北米・豪州）の材料高と為替ヘッジ</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地域</w:t>
            </w:r>
          </w:p>
        </w:tc>
        <w:tc>
          <w:tcPr>
            <w:tcW w:type="dxa" w:w="2351"/>
            <w:shd w:val="clear" w:color="auto" w:fill="2E74B5"/>
          </w:tcPr>
          <w:p>
            <w:r>
              <w:rPr>
                <w:rFonts w:ascii="Meiryo UI" w:hAnsi="Meiryo UI"/>
                <w:b/>
                <w:color w:val="FFFFFF"/>
                <w:sz w:val="18"/>
              </w:rPr>
              <w:t>状況</w:t>
            </w:r>
          </w:p>
        </w:tc>
        <w:tc>
          <w:tcPr>
            <w:tcW w:type="dxa" w:w="2351"/>
            <w:shd w:val="clear" w:color="auto" w:fill="2E74B5"/>
          </w:tcPr>
          <w:p>
            <w:r>
              <w:rPr>
                <w:rFonts w:ascii="Meiryo UI" w:hAnsi="Meiryo UI"/>
                <w:b/>
                <w:color w:val="FFFFFF"/>
                <w:sz w:val="18"/>
              </w:rPr>
              <w:t>リスク</w:t>
            </w:r>
          </w:p>
        </w:tc>
        <w:tc>
          <w:tcPr>
            <w:tcW w:type="dxa" w:w="2351"/>
            <w:shd w:val="clear" w:color="auto" w:fill="2E74B5"/>
          </w:tcPr>
          <w:p>
            <w:r>
              <w:rPr>
                <w:rFonts w:ascii="Meiryo UI" w:hAnsi="Meiryo UI"/>
                <w:b/>
                <w:color w:val="FFFFFF"/>
                <w:sz w:val="18"/>
              </w:rPr>
              <w:t>ヘッジ状況（推計）</w:t>
            </w:r>
          </w:p>
        </w:tc>
      </w:tr>
      <w:tr>
        <w:tc>
          <w:tcPr>
            <w:tcW w:type="dxa" w:w="2351"/>
          </w:tcPr>
          <w:p>
            <w:r>
              <w:rPr>
                <w:rFonts w:ascii="Meiryo UI" w:hAnsi="Meiryo UI"/>
                <w:sz w:val="18"/>
              </w:rPr>
              <w:t>北米（米国）</w:t>
            </w:r>
          </w:p>
        </w:tc>
        <w:tc>
          <w:tcPr>
            <w:tcW w:type="dxa" w:w="2351"/>
          </w:tcPr>
          <w:p>
            <w:r>
              <w:rPr>
                <w:rFonts w:ascii="Meiryo UI" w:hAnsi="Meiryo UI"/>
                <w:sz w:val="18"/>
              </w:rPr>
              <w:t>米国内でナフサ・建材調達→ホルムズ直接影響小</w:t>
            </w:r>
          </w:p>
        </w:tc>
        <w:tc>
          <w:tcPr>
            <w:tcW w:type="dxa" w:w="2351"/>
          </w:tcPr>
          <w:p>
            <w:r>
              <w:rPr>
                <w:rFonts w:ascii="Meiryo UI" w:hAnsi="Meiryo UI"/>
                <w:sz w:val="18"/>
              </w:rPr>
              <w:t>米金利高による住宅着工减</w:t>
            </w:r>
          </w:p>
        </w:tc>
        <w:tc>
          <w:tcPr>
            <w:tcW w:type="dxa" w:w="2351"/>
          </w:tcPr>
          <w:p>
            <w:r>
              <w:rPr>
                <w:rFonts w:ascii="Meiryo UI" w:hAnsi="Meiryo UI"/>
                <w:sz w:val="18"/>
              </w:rPr>
              <w:t>USD売りヘッジ一部実施（詳細非開示）</w:t>
            </w:r>
          </w:p>
        </w:tc>
      </w:tr>
      <w:tr>
        <w:tc>
          <w:tcPr>
            <w:tcW w:type="dxa" w:w="2351"/>
            <w:shd w:val="clear" w:color="auto" w:fill="DDEBF7"/>
          </w:tcPr>
          <w:p>
            <w:r>
              <w:rPr>
                <w:rFonts w:ascii="Meiryo UI" w:hAnsi="Meiryo UI"/>
                <w:sz w:val="18"/>
              </w:rPr>
              <w:t>豪州</w:t>
            </w:r>
          </w:p>
        </w:tc>
        <w:tc>
          <w:tcPr>
            <w:tcW w:type="dxa" w:w="2351"/>
            <w:shd w:val="clear" w:color="auto" w:fill="DDEBF7"/>
          </w:tcPr>
          <w:p>
            <w:r>
              <w:rPr>
                <w:rFonts w:ascii="Meiryo UI" w:hAnsi="Meiryo UI"/>
                <w:sz w:val="18"/>
              </w:rPr>
              <w:t>豪州内調達主体→ホルムズ間接影響（エネルギーコスト経由）</w:t>
            </w:r>
          </w:p>
        </w:tc>
        <w:tc>
          <w:tcPr>
            <w:tcW w:type="dxa" w:w="2351"/>
            <w:shd w:val="clear" w:color="auto" w:fill="DDEBF7"/>
          </w:tcPr>
          <w:p>
            <w:r>
              <w:rPr>
                <w:rFonts w:ascii="Meiryo UI" w:hAnsi="Meiryo UI"/>
                <w:sz w:val="18"/>
              </w:rPr>
              <w:t>AUD/JPY変動</w:t>
            </w:r>
          </w:p>
        </w:tc>
        <w:tc>
          <w:tcPr>
            <w:tcW w:type="dxa" w:w="2351"/>
            <w:shd w:val="clear" w:color="auto" w:fill="DDEBF7"/>
          </w:tcPr>
          <w:p>
            <w:r>
              <w:rPr>
                <w:rFonts w:ascii="Meiryo UI" w:hAnsi="Meiryo UI"/>
                <w:sz w:val="18"/>
              </w:rPr>
              <w:t>AUD売りヘッジ部分実施</w:t>
            </w:r>
          </w:p>
        </w:tc>
      </w:tr>
      <w:tr>
        <w:tc>
          <w:tcPr>
            <w:tcW w:type="dxa" w:w="2351"/>
          </w:tcPr>
          <w:p>
            <w:r>
              <w:rPr>
                <w:rFonts w:ascii="Meiryo UI" w:hAnsi="Meiryo UI"/>
                <w:sz w:val="18"/>
              </w:rPr>
              <w:t>為替影響</w:t>
            </w:r>
          </w:p>
        </w:tc>
        <w:tc>
          <w:tcPr>
            <w:tcW w:type="dxa" w:w="2351"/>
          </w:tcPr>
          <w:p>
            <w:r>
              <w:rPr>
                <w:rFonts w:ascii="Meiryo UI" w:hAnsi="Meiryo UI"/>
                <w:sz w:val="18"/>
              </w:rPr>
              <w:t>USD高（150円）は利益にプラス</w:t>
            </w:r>
          </w:p>
        </w:tc>
        <w:tc>
          <w:tcPr>
            <w:tcW w:type="dxa" w:w="2351"/>
          </w:tcPr>
          <w:p>
            <w:r>
              <w:rPr>
                <w:rFonts w:ascii="Meiryo UI" w:hAnsi="Meiryo UI"/>
                <w:sz w:val="18"/>
              </w:rPr>
              <w:t>急激なJPY高（130円割れ）は利益押し下げ</w:t>
            </w:r>
          </w:p>
        </w:tc>
        <w:tc>
          <w:tcPr>
            <w:tcW w:type="dxa" w:w="2351"/>
          </w:tcPr>
          <w:p>
            <w:r>
              <w:rPr>
                <w:rFonts w:ascii="Meiryo UI" w:hAnsi="Meiryo UI"/>
                <w:sz w:val="18"/>
              </w:rPr>
              <w:t>ネットロング外貨ポジション</w:t>
            </w:r>
          </w:p>
        </w:tc>
      </w:tr>
    </w:tbl>
    <w:p/>
    <w:p>
      <w:r>
        <w:rPr>
          <w:rFonts w:ascii="Meiryo UI" w:hAnsi="Meiryo UI"/>
          <w:sz w:val="20"/>
        </w:rPr>
        <w:t>深井コメント: 北米・豪州事業はホルムズの直接影響を受けにくい。むしろ原油高→インフレ継続→米FRBが利下げ遅延→米住宅ローン金利高止まり→北米住宅着工减という間接経路が怖い。</w:t>
      </w:r>
    </w:p>
    <w:p/>
    <w:p>
      <w:r>
        <w:t>──────────────────────────────────────────────────</w:t>
      </w:r>
    </w:p>
    <w:p/>
    <w:p>
      <w:pPr>
        <w:pStyle w:val="Heading2"/>
      </w:pPr>
      <w:r>
        <w:rPr>
          <w:rFonts w:ascii="Meiryo UI" w:hAnsi="Meiryo UI"/>
          <w:color w:val="2E74B5"/>
        </w:rPr>
        <w:t>2. 市場ポジションと競合分析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比較項目</w:t>
            </w:r>
          </w:p>
        </w:tc>
        <w:tc>
          <w:tcPr>
            <w:tcW w:type="dxa" w:w="1881"/>
            <w:shd w:val="clear" w:color="auto" w:fill="2E74B5"/>
          </w:tcPr>
          <w:p>
            <w:r>
              <w:rPr>
                <w:rFonts w:ascii="Meiryo UI" w:hAnsi="Meiryo UI"/>
                <w:b/>
                <w:color w:val="FFFFFF"/>
                <w:sz w:val="18"/>
              </w:rPr>
              <w:t>住友林業</w:t>
            </w:r>
          </w:p>
        </w:tc>
        <w:tc>
          <w:tcPr>
            <w:tcW w:type="dxa" w:w="1881"/>
            <w:shd w:val="clear" w:color="auto" w:fill="2E74B5"/>
          </w:tcPr>
          <w:p>
            <w:r>
              <w:rPr>
                <w:rFonts w:ascii="Meiryo UI" w:hAnsi="Meiryo UI"/>
                <w:b/>
                <w:color w:val="FFFFFF"/>
                <w:sz w:val="18"/>
              </w:rPr>
              <w:t>積水ハウス</w:t>
            </w:r>
          </w:p>
        </w:tc>
        <w:tc>
          <w:tcPr>
            <w:tcW w:type="dxa" w:w="1881"/>
            <w:shd w:val="clear" w:color="auto" w:fill="2E74B5"/>
          </w:tcPr>
          <w:p>
            <w:r>
              <w:rPr>
                <w:rFonts w:ascii="Meiryo UI" w:hAnsi="Meiryo UI"/>
                <w:b/>
                <w:color w:val="FFFFFF"/>
                <w:sz w:val="18"/>
              </w:rPr>
              <w:t>ダイワハウス</w:t>
            </w:r>
          </w:p>
        </w:tc>
        <w:tc>
          <w:tcPr>
            <w:tcW w:type="dxa" w:w="1881"/>
            <w:shd w:val="clear" w:color="auto" w:fill="2E74B5"/>
          </w:tcPr>
          <w:p>
            <w:r>
              <w:rPr>
                <w:rFonts w:ascii="Meiryo UI" w:hAnsi="Meiryo UI"/>
                <w:b/>
                <w:color w:val="FFFFFF"/>
                <w:sz w:val="18"/>
              </w:rPr>
              <w:t>ヘーベルハウス</w:t>
            </w:r>
          </w:p>
        </w:tc>
      </w:tr>
      <w:tr>
        <w:tc>
          <w:tcPr>
            <w:tcW w:type="dxa" w:w="1881"/>
          </w:tcPr>
          <w:p>
            <w:r>
              <w:rPr>
                <w:rFonts w:ascii="Meiryo UI" w:hAnsi="Meiryo UI"/>
                <w:sz w:val="18"/>
              </w:rPr>
              <w:t>工法</w:t>
            </w:r>
          </w:p>
        </w:tc>
        <w:tc>
          <w:tcPr>
            <w:tcW w:type="dxa" w:w="1881"/>
          </w:tcPr>
          <w:p>
            <w:r>
              <w:rPr>
                <w:rFonts w:ascii="Meiryo UI" w:hAnsi="Meiryo UI"/>
                <w:sz w:val="18"/>
              </w:rPr>
              <w:t>木造（BIGFRAME）</w:t>
            </w:r>
          </w:p>
        </w:tc>
        <w:tc>
          <w:tcPr>
            <w:tcW w:type="dxa" w:w="1881"/>
          </w:tcPr>
          <w:p>
            <w:r>
              <w:rPr>
                <w:rFonts w:ascii="Meiryo UI" w:hAnsi="Meiryo UI"/>
                <w:sz w:val="18"/>
              </w:rPr>
              <w:t>鉄骨・木造</w:t>
            </w:r>
          </w:p>
        </w:tc>
        <w:tc>
          <w:tcPr>
            <w:tcW w:type="dxa" w:w="1881"/>
          </w:tcPr>
          <w:p>
            <w:r>
              <w:rPr>
                <w:rFonts w:ascii="Meiryo UI" w:hAnsi="Meiryo UI"/>
                <w:sz w:val="18"/>
              </w:rPr>
              <w:t>鉄骨・木造</w:t>
            </w:r>
          </w:p>
        </w:tc>
        <w:tc>
          <w:tcPr>
            <w:tcW w:type="dxa" w:w="1881"/>
          </w:tcPr>
          <w:p>
            <w:r>
              <w:rPr>
                <w:rFonts w:ascii="Meiryo UI" w:hAnsi="Meiryo UI"/>
                <w:sz w:val="18"/>
              </w:rPr>
              <w:t>鉄骨（ALC）</w:t>
            </w:r>
          </w:p>
        </w:tc>
      </w:tr>
      <w:tr>
        <w:tc>
          <w:tcPr>
            <w:tcW w:type="dxa" w:w="1881"/>
            <w:shd w:val="clear" w:color="auto" w:fill="DDEBF7"/>
          </w:tcPr>
          <w:p>
            <w:r>
              <w:rPr>
                <w:rFonts w:ascii="Meiryo UI" w:hAnsi="Meiryo UI"/>
                <w:sz w:val="18"/>
              </w:rPr>
              <w:t>ナフサ感応度</w:t>
            </w:r>
          </w:p>
        </w:tc>
        <w:tc>
          <w:tcPr>
            <w:tcW w:type="dxa" w:w="1881"/>
            <w:shd w:val="clear" w:color="auto" w:fill="DDEBF7"/>
          </w:tcPr>
          <w:p>
            <w:r>
              <w:rPr>
                <w:rFonts w:ascii="Meiryo UI" w:hAnsi="Meiryo UI"/>
                <w:sz w:val="18"/>
              </w:rPr>
              <w:t>中</w:t>
            </w:r>
          </w:p>
        </w:tc>
        <w:tc>
          <w:tcPr>
            <w:tcW w:type="dxa" w:w="1881"/>
            <w:shd w:val="clear" w:color="auto" w:fill="DDEBF7"/>
          </w:tcPr>
          <w:p>
            <w:r>
              <w:rPr>
                <w:rFonts w:ascii="Meiryo UI" w:hAnsi="Meiryo UI"/>
                <w:sz w:val="18"/>
              </w:rPr>
              <w:t>中〜高（塗装鋼板）</w:t>
            </w:r>
          </w:p>
        </w:tc>
        <w:tc>
          <w:tcPr>
            <w:tcW w:type="dxa" w:w="1881"/>
            <w:shd w:val="clear" w:color="auto" w:fill="DDEBF7"/>
          </w:tcPr>
          <w:p>
            <w:r>
              <w:rPr>
                <w:rFonts w:ascii="Meiryo UI" w:hAnsi="Meiryo UI"/>
                <w:sz w:val="18"/>
              </w:rPr>
              <w:t>中〜高</w:t>
            </w:r>
          </w:p>
        </w:tc>
        <w:tc>
          <w:tcPr>
            <w:tcW w:type="dxa" w:w="1881"/>
            <w:shd w:val="clear" w:color="auto" w:fill="DDEBF7"/>
          </w:tcPr>
          <w:p>
            <w:r>
              <w:rPr>
                <w:rFonts w:ascii="Meiryo UI" w:hAnsi="Meiryo UI"/>
                <w:sz w:val="18"/>
              </w:rPr>
              <w:t>低〜中</w:t>
            </w:r>
          </w:p>
        </w:tc>
      </w:tr>
      <w:tr>
        <w:tc>
          <w:tcPr>
            <w:tcW w:type="dxa" w:w="1881"/>
          </w:tcPr>
          <w:p>
            <w:r>
              <w:rPr>
                <w:rFonts w:ascii="Meiryo UI" w:hAnsi="Meiryo UI"/>
                <w:sz w:val="18"/>
              </w:rPr>
              <w:t>TOTO依存度</w:t>
            </w:r>
          </w:p>
        </w:tc>
        <w:tc>
          <w:tcPr>
            <w:tcW w:type="dxa" w:w="1881"/>
          </w:tcPr>
          <w:p>
            <w:r>
              <w:rPr>
                <w:rFonts w:ascii="Meiryo UI" w:hAnsi="Meiryo UI"/>
                <w:sz w:val="18"/>
              </w:rPr>
              <w:t>高（推定)</w:t>
            </w:r>
          </w:p>
        </w:tc>
        <w:tc>
          <w:tcPr>
            <w:tcW w:type="dxa" w:w="1881"/>
          </w:tcPr>
          <w:p>
            <w:r>
              <w:rPr>
                <w:rFonts w:ascii="Meiryo UI" w:hAnsi="Meiryo UI"/>
                <w:sz w:val="18"/>
              </w:rPr>
              <w:t>高</w:t>
            </w:r>
          </w:p>
        </w:tc>
        <w:tc>
          <w:tcPr>
            <w:tcW w:type="dxa" w:w="1881"/>
          </w:tcPr>
          <w:p>
            <w:r>
              <w:rPr>
                <w:rFonts w:ascii="Meiryo UI" w:hAnsi="Meiryo UI"/>
                <w:sz w:val="18"/>
              </w:rPr>
              <w:t>高</w:t>
            </w:r>
          </w:p>
        </w:tc>
        <w:tc>
          <w:tcPr>
            <w:tcW w:type="dxa" w:w="1881"/>
          </w:tcPr>
          <w:p>
            <w:r>
              <w:rPr>
                <w:rFonts w:ascii="Meiryo UI" w:hAnsi="Meiryo UI"/>
                <w:sz w:val="18"/>
              </w:rPr>
              <w:t>中</w:t>
            </w:r>
          </w:p>
        </w:tc>
      </w:tr>
      <w:tr>
        <w:tc>
          <w:tcPr>
            <w:tcW w:type="dxa" w:w="1881"/>
            <w:shd w:val="clear" w:color="auto" w:fill="DDEBF7"/>
          </w:tcPr>
          <w:p>
            <w:r>
              <w:rPr>
                <w:rFonts w:ascii="Meiryo UI" w:hAnsi="Meiryo UI"/>
                <w:sz w:val="18"/>
              </w:rPr>
              <w:t>平均坪単価</w:t>
            </w:r>
          </w:p>
        </w:tc>
        <w:tc>
          <w:tcPr>
            <w:tcW w:type="dxa" w:w="1881"/>
            <w:shd w:val="clear" w:color="auto" w:fill="DDEBF7"/>
          </w:tcPr>
          <w:p>
            <w:r>
              <w:rPr>
                <w:rFonts w:ascii="Meiryo UI" w:hAnsi="Meiryo UI"/>
                <w:sz w:val="18"/>
              </w:rPr>
              <w:t>¥80〜100万</w:t>
            </w:r>
          </w:p>
        </w:tc>
        <w:tc>
          <w:tcPr>
            <w:tcW w:type="dxa" w:w="1881"/>
            <w:shd w:val="clear" w:color="auto" w:fill="DDEBF7"/>
          </w:tcPr>
          <w:p>
            <w:r>
              <w:rPr>
                <w:rFonts w:ascii="Meiryo UI" w:hAnsi="Meiryo UI"/>
                <w:sz w:val="18"/>
              </w:rPr>
              <w:t>¥80〜110万</w:t>
            </w:r>
          </w:p>
        </w:tc>
        <w:tc>
          <w:tcPr>
            <w:tcW w:type="dxa" w:w="1881"/>
            <w:shd w:val="clear" w:color="auto" w:fill="DDEBF7"/>
          </w:tcPr>
          <w:p>
            <w:r>
              <w:rPr>
                <w:rFonts w:ascii="Meiryo UI" w:hAnsi="Meiryo UI"/>
                <w:sz w:val="18"/>
              </w:rPr>
              <w:t>¥75〜95万</w:t>
            </w:r>
          </w:p>
        </w:tc>
        <w:tc>
          <w:tcPr>
            <w:tcW w:type="dxa" w:w="1881"/>
            <w:shd w:val="clear" w:color="auto" w:fill="DDEBF7"/>
          </w:tcPr>
          <w:p>
            <w:r>
              <w:rPr>
                <w:rFonts w:ascii="Meiryo UI" w:hAnsi="Meiryo UI"/>
                <w:sz w:val="18"/>
              </w:rPr>
              <w:t>¥90〜120万</w:t>
            </w:r>
          </w:p>
        </w:tc>
      </w:tr>
      <w:tr>
        <w:tc>
          <w:tcPr>
            <w:tcW w:type="dxa" w:w="1881"/>
          </w:tcPr>
          <w:p>
            <w:r>
              <w:rPr>
                <w:rFonts w:ascii="Meiryo UI" w:hAnsi="Meiryo UI"/>
                <w:sz w:val="18"/>
              </w:rPr>
              <w:t>価格転嫁力</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PBR（参考）</w:t>
            </w:r>
          </w:p>
        </w:tc>
        <w:tc>
          <w:tcPr>
            <w:tcW w:type="dxa" w:w="1881"/>
            <w:shd w:val="clear" w:color="auto" w:fill="DDEBF7"/>
          </w:tcPr>
          <w:p>
            <w:r>
              <w:rPr>
                <w:rFonts w:ascii="Meiryo UI" w:hAnsi="Meiryo UI"/>
                <w:sz w:val="18"/>
              </w:rPr>
              <w:t>0.71倍</w:t>
            </w:r>
          </w:p>
        </w:tc>
        <w:tc>
          <w:tcPr>
            <w:tcW w:type="dxa" w:w="1881"/>
            <w:shd w:val="clear" w:color="auto" w:fill="DDEBF7"/>
          </w:tcPr>
          <w:p>
            <w:r>
              <w:rPr>
                <w:rFonts w:ascii="Meiryo UI" w:hAnsi="Meiryo UI"/>
                <w:sz w:val="18"/>
              </w:rPr>
              <w:t>約1.4倍</w:t>
            </w:r>
          </w:p>
        </w:tc>
        <w:tc>
          <w:tcPr>
            <w:tcW w:type="dxa" w:w="1881"/>
            <w:shd w:val="clear" w:color="auto" w:fill="DDEBF7"/>
          </w:tcPr>
          <w:p>
            <w:r>
              <w:rPr>
                <w:rFonts w:ascii="Meiryo UI" w:hAnsi="Meiryo UI"/>
                <w:sz w:val="18"/>
              </w:rPr>
              <w:t>約1.2倍</w:t>
            </w:r>
          </w:p>
        </w:tc>
        <w:tc>
          <w:tcPr>
            <w:tcW w:type="dxa" w:w="1881"/>
            <w:shd w:val="clear" w:color="auto" w:fill="DDEBF7"/>
          </w:tcPr>
          <w:p>
            <w:r>
              <w:rPr>
                <w:rFonts w:ascii="Meiryo UI" w:hAnsi="Meiryo UI"/>
                <w:sz w:val="18"/>
              </w:rPr>
              <w:t>非上場</w:t>
            </w:r>
          </w:p>
        </w:tc>
      </w:tr>
      <w:tr>
        <w:tc>
          <w:tcPr>
            <w:tcW w:type="dxa" w:w="1881"/>
          </w:tcPr>
          <w:p>
            <w:r>
              <w:rPr>
                <w:rFonts w:ascii="Meiryo UI" w:hAnsi="Meiryo UI"/>
                <w:sz w:val="18"/>
              </w:rPr>
              <w:t>海外売上比率</w:t>
            </w:r>
          </w:p>
        </w:tc>
        <w:tc>
          <w:tcPr>
            <w:tcW w:type="dxa" w:w="1881"/>
          </w:tcPr>
          <w:p>
            <w:r>
              <w:rPr>
                <w:rFonts w:ascii="Meiryo UI" w:hAnsi="Meiryo UI"/>
                <w:sz w:val="18"/>
              </w:rPr>
              <w:t>約45%</w:t>
            </w:r>
          </w:p>
        </w:tc>
        <w:tc>
          <w:tcPr>
            <w:tcW w:type="dxa" w:w="1881"/>
          </w:tcPr>
          <w:p>
            <w:r>
              <w:rPr>
                <w:rFonts w:ascii="Meiryo UI" w:hAnsi="Meiryo UI"/>
                <w:sz w:val="18"/>
              </w:rPr>
              <w:t>約25%</w:t>
            </w:r>
          </w:p>
        </w:tc>
        <w:tc>
          <w:tcPr>
            <w:tcW w:type="dxa" w:w="1881"/>
          </w:tcPr>
          <w:p>
            <w:r>
              <w:rPr>
                <w:rFonts w:ascii="Meiryo UI" w:hAnsi="Meiryo UI"/>
                <w:sz w:val="18"/>
              </w:rPr>
              <w:t>約30%</w:t>
            </w:r>
          </w:p>
        </w:tc>
        <w:tc>
          <w:tcPr>
            <w:tcW w:type="dxa" w:w="1881"/>
          </w:tcPr>
          <w:p>
            <w:r>
              <w:rPr>
                <w:rFonts w:ascii="Meiryo UI" w:hAnsi="Meiryo UI"/>
                <w:sz w:val="18"/>
              </w:rPr>
              <w:t>0%</w:t>
            </w:r>
          </w:p>
        </w:tc>
      </w:tr>
    </w:tbl>
    <w:p/>
    <w:p>
      <w:r>
        <w:rPr>
          <w:rFonts w:ascii="Meiryo UI" w:hAnsi="Meiryo UI"/>
          <w:sz w:val="20"/>
        </w:rPr>
        <w:t>住友林業の競合優位性:</w:t>
      </w:r>
    </w:p>
    <w:p>
      <w:pPr>
        <w:pStyle w:val="ListNumber"/>
      </w:pPr>
      <w:r>
        <w:rPr>
          <w:rFonts w:ascii="Meiryo UI" w:hAnsi="Meiryo UI"/>
          <w:sz w:val="20"/>
        </w:rPr>
        <w:t>木材・山林の垂直統合: 川上（山林）〜川下（住宅）の一貫体制</w:t>
      </w:r>
    </w:p>
    <w:p>
      <w:pPr>
        <w:pStyle w:val="ListNumber"/>
      </w:pPr>
      <w:r>
        <w:rPr>
          <w:rFonts w:ascii="Meiryo UI" w:hAnsi="Meiryo UI"/>
          <w:sz w:val="20"/>
        </w:rPr>
        <w:t>海外利益の多様化: 北米・豪州が国内リスクのヘッジとして機能</w:t>
      </w:r>
    </w:p>
    <w:p>
      <w:pPr>
        <w:pStyle w:val="ListNumber"/>
      </w:pPr>
      <w:r>
        <w:rPr>
          <w:rFonts w:ascii="Meiryo UI" w:hAnsi="Meiryo UI"/>
          <w:sz w:val="20"/>
        </w:rPr>
        <w:t>割安バリュエーション: PBR0.71倍は大手ハウスメーカー中最低水準</w:t>
      </w:r>
    </w:p>
    <w:p>
      <w:pPr>
        <w:pStyle w:val="ListNumber"/>
      </w:pPr>
      <w:r>
        <w:rPr>
          <w:rFonts w:ascii="Meiryo UI" w:hAnsi="Meiryo UI"/>
          <w:sz w:val="20"/>
        </w:rPr>
        <w:t>BIGFRAME工法の高付加価値性: 坪単価で競合に伍する差別化</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主要財務指標（リアルタイム取得値）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現在株価</w:t>
            </w:r>
          </w:p>
        </w:tc>
        <w:tc>
          <w:tcPr>
            <w:tcW w:type="dxa" w:w="3135"/>
          </w:tcPr>
          <w:p>
            <w:r>
              <w:rPr>
                <w:rFonts w:ascii="Meiryo UI" w:hAnsi="Meiryo UI"/>
                <w:sz w:val="18"/>
              </w:rPr>
              <w:t>¥1,440</w:t>
            </w:r>
          </w:p>
        </w:tc>
        <w:tc>
          <w:tcPr>
            <w:tcW w:type="dxa" w:w="3135"/>
          </w:tcPr>
          <w:p>
            <w:r>
              <w:rPr>
                <w:rFonts w:ascii="Meiryo UI" w:hAnsi="Meiryo UI"/>
                <w:sz w:val="18"/>
              </w:rPr>
              <w:t>2026-04-13 取得</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¥2,026</w:t>
            </w:r>
          </w:p>
        </w:tc>
        <w:tc>
          <w:tcPr>
            <w:tcW w:type="dxa" w:w="3135"/>
            <w:shd w:val="clear" w:color="auto" w:fill="DDEBF7"/>
          </w:tcPr>
          <w:p>
            <w:r>
              <w:rPr>
                <w:rFonts w:ascii="Meiryo UI" w:hAnsi="Meiryo UI"/>
                <w:sz w:val="18"/>
              </w:rPr>
              <w:t>Yahoo Finance取得値（唯一の正解）</w:t>
            </w:r>
          </w:p>
        </w:tc>
      </w:tr>
      <w:tr>
        <w:tc>
          <w:tcPr>
            <w:tcW w:type="dxa" w:w="3135"/>
          </w:tcPr>
          <w:p>
            <w:r>
              <w:rPr>
                <w:rFonts w:ascii="Meiryo UI" w:hAnsi="Meiryo UI"/>
                <w:sz w:val="18"/>
              </w:rPr>
              <w:t>PBR</w:t>
            </w:r>
          </w:p>
        </w:tc>
        <w:tc>
          <w:tcPr>
            <w:tcW w:type="dxa" w:w="3135"/>
          </w:tcPr>
          <w:p>
            <w:r>
              <w:rPr>
                <w:rFonts w:ascii="Meiryo UI" w:hAnsi="Meiryo UI"/>
                <w:sz w:val="18"/>
              </w:rPr>
              <w:t>0.71倍</w:t>
            </w:r>
          </w:p>
        </w:tc>
        <w:tc>
          <w:tcPr>
            <w:tcW w:type="dxa" w:w="3135"/>
          </w:tcPr>
          <w:p>
            <w:r>
              <w:rPr>
                <w:rFonts w:ascii="Meiryo UI" w:hAnsi="Meiryo UI"/>
                <w:sz w:val="18"/>
              </w:rPr>
              <w:t>Yahoo Finance取得値（唯一の正解）</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¥174</w:t>
            </w:r>
          </w:p>
        </w:tc>
        <w:tc>
          <w:tcPr>
            <w:tcW w:type="dxa" w:w="3135"/>
            <w:shd w:val="clear" w:color="auto" w:fill="DDEBF7"/>
          </w:tcPr>
          <w:p>
            <w:r>
              <w:rPr>
                <w:rFonts w:ascii="Meiryo UI" w:hAnsi="Meiryo UI"/>
                <w:sz w:val="18"/>
              </w:rPr>
              <w:t>Yahoo Finance取得値</w:t>
            </w:r>
          </w:p>
        </w:tc>
      </w:tr>
      <w:tr>
        <w:tc>
          <w:tcPr>
            <w:tcW w:type="dxa" w:w="3135"/>
          </w:tcPr>
          <w:p>
            <w:r>
              <w:rPr>
                <w:rFonts w:ascii="Meiryo UI" w:hAnsi="Meiryo UI"/>
                <w:sz w:val="18"/>
              </w:rPr>
              <w:t>PER</w:t>
            </w:r>
          </w:p>
        </w:tc>
        <w:tc>
          <w:tcPr>
            <w:tcW w:type="dxa" w:w="3135"/>
          </w:tcPr>
          <w:p>
            <w:r>
              <w:rPr>
                <w:rFonts w:ascii="Meiryo UI" w:hAnsi="Meiryo UI"/>
                <w:sz w:val="18"/>
              </w:rPr>
              <w:t>8.3倍</w:t>
            </w:r>
          </w:p>
        </w:tc>
        <w:tc>
          <w:tcPr>
            <w:tcW w:type="dxa" w:w="3135"/>
          </w:tcPr>
          <w:p>
            <w:r>
              <w:rPr>
                <w:rFonts w:ascii="Meiryo UI" w:hAnsi="Meiryo UI"/>
                <w:sz w:val="18"/>
              </w:rPr>
              <w:t>Yahoo Finance取得値</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13.0%</w:t>
            </w:r>
          </w:p>
        </w:tc>
        <w:tc>
          <w:tcPr>
            <w:tcW w:type="dxa" w:w="3135"/>
            <w:shd w:val="clear" w:color="auto" w:fill="DDEBF7"/>
          </w:tcPr>
          <w:p>
            <w:r>
              <w:rPr>
                <w:rFonts w:ascii="Meiryo UI" w:hAnsi="Meiryo UI"/>
                <w:sz w:val="18"/>
              </w:rPr>
              <w:t>Yahoo Finance取得値</w:t>
            </w:r>
          </w:p>
        </w:tc>
      </w:tr>
    </w:tbl>
    <w:p/>
    <w:p>
      <w:pPr>
        <w:pStyle w:val="Heading3"/>
      </w:pPr>
      <w:r>
        <w:rPr>
          <w:rFonts w:ascii="Meiryo UI" w:hAnsi="Meiryo UI"/>
          <w:color w:val="2E74B5"/>
        </w:rPr>
        <w:t>3-2. 損益サマリー（公開情報ベース推計）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FY24実績（推計）</w:t>
            </w:r>
          </w:p>
        </w:tc>
        <w:tc>
          <w:tcPr>
            <w:tcW w:type="dxa" w:w="1881"/>
            <w:shd w:val="clear" w:color="auto" w:fill="2E74B5"/>
          </w:tcPr>
          <w:p>
            <w:r>
              <w:rPr>
                <w:rFonts w:ascii="Meiryo UI" w:hAnsi="Meiryo UI"/>
                <w:b/>
                <w:color w:val="FFFFFF"/>
                <w:sz w:val="18"/>
              </w:rPr>
              <w:t>FY25推計</w:t>
            </w:r>
          </w:p>
        </w:tc>
        <w:tc>
          <w:tcPr>
            <w:tcW w:type="dxa" w:w="1881"/>
            <w:shd w:val="clear" w:color="auto" w:fill="2E74B5"/>
          </w:tcPr>
          <w:p>
            <w:r>
              <w:rPr>
                <w:rFonts w:ascii="Meiryo UI" w:hAnsi="Meiryo UI"/>
                <w:b/>
                <w:color w:val="FFFFFF"/>
                <w:sz w:val="18"/>
              </w:rPr>
              <w:t>FY26E（基本）</w:t>
            </w:r>
          </w:p>
        </w:tc>
        <w:tc>
          <w:tcPr>
            <w:tcW w:type="dxa" w:w="1881"/>
            <w:shd w:val="clear" w:color="auto" w:fill="2E74B5"/>
          </w:tcPr>
          <w:p>
            <w:r>
              <w:rPr>
                <w:rFonts w:ascii="Meiryo UI" w:hAnsi="Meiryo UI"/>
                <w:b/>
                <w:color w:val="FFFFFF"/>
                <w:sz w:val="18"/>
              </w:rPr>
              <w:t>FY26E（ホルムズ重症）</w:t>
            </w:r>
          </w:p>
        </w:tc>
      </w:tr>
      <w:tr>
        <w:tc>
          <w:tcPr>
            <w:tcW w:type="dxa" w:w="1881"/>
          </w:tcPr>
          <w:p>
            <w:r>
              <w:rPr>
                <w:rFonts w:ascii="Meiryo UI" w:hAnsi="Meiryo UI"/>
                <w:sz w:val="18"/>
              </w:rPr>
              <w:t>売上高</w:t>
            </w:r>
          </w:p>
        </w:tc>
        <w:tc>
          <w:tcPr>
            <w:tcW w:type="dxa" w:w="1881"/>
          </w:tcPr>
          <w:p>
            <w:r>
              <w:rPr>
                <w:rFonts w:ascii="Meiryo UI" w:hAnsi="Meiryo UI"/>
                <w:sz w:val="18"/>
              </w:rPr>
              <w:t>約¥17,000億円</w:t>
            </w:r>
          </w:p>
        </w:tc>
        <w:tc>
          <w:tcPr>
            <w:tcW w:type="dxa" w:w="1881"/>
          </w:tcPr>
          <w:p>
            <w:r>
              <w:rPr>
                <w:rFonts w:ascii="Meiryo UI" w:hAnsi="Meiryo UI"/>
                <w:sz w:val="18"/>
              </w:rPr>
              <w:t>約¥17,500億円</w:t>
            </w:r>
          </w:p>
        </w:tc>
        <w:tc>
          <w:tcPr>
            <w:tcW w:type="dxa" w:w="1881"/>
          </w:tcPr>
          <w:p>
            <w:r>
              <w:rPr>
                <w:rFonts w:ascii="Meiryo UI" w:hAnsi="Meiryo UI"/>
                <w:sz w:val="18"/>
              </w:rPr>
              <w:t>¥17,000〜18,000億円</w:t>
            </w:r>
          </w:p>
        </w:tc>
        <w:tc>
          <w:tcPr>
            <w:tcW w:type="dxa" w:w="1881"/>
          </w:tcPr>
          <w:p>
            <w:r>
              <w:rPr>
                <w:rFonts w:ascii="Meiryo UI" w:hAnsi="Meiryo UI"/>
                <w:sz w:val="18"/>
              </w:rPr>
              <w:t>¥16,000〜17,000億円</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約¥1,000〜1,050億円</w:t>
            </w:r>
          </w:p>
        </w:tc>
        <w:tc>
          <w:tcPr>
            <w:tcW w:type="dxa" w:w="1881"/>
            <w:shd w:val="clear" w:color="auto" w:fill="DDEBF7"/>
          </w:tcPr>
          <w:p>
            <w:r>
              <w:rPr>
                <w:rFonts w:ascii="Meiryo UI" w:hAnsi="Meiryo UI"/>
                <w:sz w:val="18"/>
              </w:rPr>
              <w:t>約¥1,050〜1,100億円</w:t>
            </w:r>
          </w:p>
        </w:tc>
        <w:tc>
          <w:tcPr>
            <w:tcW w:type="dxa" w:w="1881"/>
            <w:shd w:val="clear" w:color="auto" w:fill="DDEBF7"/>
          </w:tcPr>
          <w:p>
            <w:r>
              <w:rPr>
                <w:rFonts w:ascii="Meiryo UI" w:hAnsi="Meiryo UI"/>
                <w:sz w:val="18"/>
              </w:rPr>
              <w:t>¥900〜1,000億円</w:t>
            </w:r>
          </w:p>
        </w:tc>
        <w:tc>
          <w:tcPr>
            <w:tcW w:type="dxa" w:w="1881"/>
            <w:shd w:val="clear" w:color="auto" w:fill="DDEBF7"/>
          </w:tcPr>
          <w:p>
            <w:r>
              <w:rPr>
                <w:rFonts w:ascii="Meiryo UI" w:hAnsi="Meiryo UI"/>
                <w:sz w:val="18"/>
              </w:rPr>
              <w:t>¥700〜850億円</w:t>
            </w:r>
          </w:p>
        </w:tc>
      </w:tr>
      <w:tr>
        <w:tc>
          <w:tcPr>
            <w:tcW w:type="dxa" w:w="1881"/>
          </w:tcPr>
          <w:p>
            <w:r>
              <w:rPr>
                <w:rFonts w:ascii="Meiryo UI" w:hAnsi="Meiryo UI"/>
                <w:sz w:val="18"/>
              </w:rPr>
              <w:t>営業利益率</w:t>
            </w:r>
          </w:p>
        </w:tc>
        <w:tc>
          <w:tcPr>
            <w:tcW w:type="dxa" w:w="1881"/>
          </w:tcPr>
          <w:p>
            <w:r>
              <w:rPr>
                <w:rFonts w:ascii="Meiryo UI" w:hAnsi="Meiryo UI"/>
                <w:sz w:val="18"/>
              </w:rPr>
              <w:t>約5.9〜6.2%</w:t>
            </w:r>
          </w:p>
        </w:tc>
        <w:tc>
          <w:tcPr>
            <w:tcW w:type="dxa" w:w="1881"/>
          </w:tcPr>
          <w:p>
            <w:r>
              <w:rPr>
                <w:rFonts w:ascii="Meiryo UI" w:hAnsi="Meiryo UI"/>
                <w:sz w:val="18"/>
              </w:rPr>
              <w:t>約6.0〜6.3%</w:t>
            </w:r>
          </w:p>
        </w:tc>
        <w:tc>
          <w:tcPr>
            <w:tcW w:type="dxa" w:w="1881"/>
          </w:tcPr>
          <w:p>
            <w:r>
              <w:rPr>
                <w:rFonts w:ascii="Meiryo UI" w:hAnsi="Meiryo UI"/>
                <w:sz w:val="18"/>
              </w:rPr>
              <w:t>5.3〜5.6%</w:t>
            </w:r>
          </w:p>
        </w:tc>
        <w:tc>
          <w:tcPr>
            <w:tcW w:type="dxa" w:w="1881"/>
          </w:tcPr>
          <w:p>
            <w:r>
              <w:rPr>
                <w:rFonts w:ascii="Meiryo UI" w:hAnsi="Meiryo UI"/>
                <w:sz w:val="18"/>
              </w:rPr>
              <w:t>4.4〜5.0%</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約¥600〜650億円</w:t>
            </w:r>
          </w:p>
        </w:tc>
        <w:tc>
          <w:tcPr>
            <w:tcW w:type="dxa" w:w="1881"/>
            <w:shd w:val="clear" w:color="auto" w:fill="DDEBF7"/>
          </w:tcPr>
          <w:p>
            <w:r>
              <w:rPr>
                <w:rFonts w:ascii="Meiryo UI" w:hAnsi="Meiryo UI"/>
                <w:sz w:val="18"/>
              </w:rPr>
              <w:t>約¥620〜660億円</w:t>
            </w:r>
          </w:p>
        </w:tc>
        <w:tc>
          <w:tcPr>
            <w:tcW w:type="dxa" w:w="1881"/>
            <w:shd w:val="clear" w:color="auto" w:fill="DDEBF7"/>
          </w:tcPr>
          <w:p>
            <w:r>
              <w:rPr>
                <w:rFonts w:ascii="Meiryo UI" w:hAnsi="Meiryo UI"/>
                <w:sz w:val="18"/>
              </w:rPr>
              <w:t>¥520〜600億円</w:t>
            </w:r>
          </w:p>
        </w:tc>
        <w:tc>
          <w:tcPr>
            <w:tcW w:type="dxa" w:w="1881"/>
            <w:shd w:val="clear" w:color="auto" w:fill="DDEBF7"/>
          </w:tcPr>
          <w:p>
            <w:r>
              <w:rPr>
                <w:rFonts w:ascii="Meiryo UI" w:hAnsi="Meiryo UI"/>
                <w:sz w:val="18"/>
              </w:rPr>
              <w:t>¥380〜490億円</w:t>
            </w:r>
          </w:p>
        </w:tc>
      </w:tr>
      <w:tr>
        <w:tc>
          <w:tcPr>
            <w:tcW w:type="dxa" w:w="1881"/>
          </w:tcPr>
          <w:p>
            <w:r>
              <w:rPr>
                <w:rFonts w:ascii="Meiryo UI" w:hAnsi="Meiryo UI"/>
                <w:sz w:val="18"/>
              </w:rPr>
              <w:t>EPS</w:t>
            </w:r>
          </w:p>
        </w:tc>
        <w:tc>
          <w:tcPr>
            <w:tcW w:type="dxa" w:w="1881"/>
          </w:tcPr>
          <w:p>
            <w:r>
              <w:rPr>
                <w:rFonts w:ascii="Meiryo UI" w:hAnsi="Meiryo UI"/>
                <w:sz w:val="18"/>
              </w:rPr>
              <w:t>¥174</w:t>
            </w:r>
          </w:p>
        </w:tc>
        <w:tc>
          <w:tcPr>
            <w:tcW w:type="dxa" w:w="1881"/>
          </w:tcPr>
          <w:p>
            <w:r>
              <w:rPr>
                <w:rFonts w:ascii="Meiryo UI" w:hAnsi="Meiryo UI"/>
                <w:sz w:val="18"/>
              </w:rPr>
              <w:t>¥174（取得値）</w:t>
            </w:r>
          </w:p>
        </w:tc>
        <w:tc>
          <w:tcPr>
            <w:tcW w:type="dxa" w:w="1881"/>
          </w:tcPr>
          <w:p>
            <w:r>
              <w:rPr>
                <w:rFonts w:ascii="Meiryo UI" w:hAnsi="Meiryo UI"/>
                <w:sz w:val="18"/>
              </w:rPr>
              <w:t>¥145〜168</w:t>
            </w:r>
          </w:p>
        </w:tc>
        <w:tc>
          <w:tcPr>
            <w:tcW w:type="dxa" w:w="1881"/>
          </w:tcPr>
          <w:p>
            <w:r>
              <w:rPr>
                <w:rFonts w:ascii="Meiryo UI" w:hAnsi="Meiryo UI"/>
                <w:sz w:val="18"/>
              </w:rPr>
              <w:t>¥106〜137</w:t>
            </w:r>
          </w:p>
        </w:tc>
      </w:tr>
      <w:tr>
        <w:tc>
          <w:tcPr>
            <w:tcW w:type="dxa" w:w="1881"/>
            <w:shd w:val="clear" w:color="auto" w:fill="DDEBF7"/>
          </w:tcPr>
          <w:p>
            <w:r>
              <w:rPr>
                <w:rFonts w:ascii="Meiryo UI" w:hAnsi="Meiryo UI"/>
                <w:sz w:val="18"/>
              </w:rPr>
              <w:t>FCFマージン</w:t>
            </w:r>
          </w:p>
        </w:tc>
        <w:tc>
          <w:tcPr>
            <w:tcW w:type="dxa" w:w="1881"/>
            <w:shd w:val="clear" w:color="auto" w:fill="DDEBF7"/>
          </w:tcPr>
          <w:p>
            <w:r>
              <w:rPr>
                <w:rFonts w:ascii="Meiryo UI" w:hAnsi="Meiryo UI"/>
                <w:sz w:val="18"/>
              </w:rPr>
              <w:t>約2〜3%</w:t>
            </w:r>
          </w:p>
        </w:tc>
        <w:tc>
          <w:tcPr>
            <w:tcW w:type="dxa" w:w="1881"/>
            <w:shd w:val="clear" w:color="auto" w:fill="DDEBF7"/>
          </w:tcPr>
          <w:p>
            <w:r>
              <w:rPr>
                <w:rFonts w:ascii="Meiryo UI" w:hAnsi="Meiryo UI"/>
                <w:sz w:val="18"/>
              </w:rPr>
              <w:t>約2〜3%</w:t>
            </w:r>
          </w:p>
        </w:tc>
        <w:tc>
          <w:tcPr>
            <w:tcW w:type="dxa" w:w="1881"/>
            <w:shd w:val="clear" w:color="auto" w:fill="DDEBF7"/>
          </w:tcPr>
          <w:p>
            <w:r>
              <w:rPr>
                <w:rFonts w:ascii="Meiryo UI" w:hAnsi="Meiryo UI"/>
                <w:sz w:val="18"/>
              </w:rPr>
              <w:t>1.5〜2.5%</w:t>
            </w:r>
          </w:p>
        </w:tc>
        <w:tc>
          <w:tcPr>
            <w:tcW w:type="dxa" w:w="1881"/>
            <w:shd w:val="clear" w:color="auto" w:fill="DDEBF7"/>
          </w:tcPr>
          <w:p>
            <w:r>
              <w:rPr>
                <w:rFonts w:ascii="Meiryo UI" w:hAnsi="Meiryo UI"/>
                <w:sz w:val="18"/>
              </w:rPr>
              <w:t>0.5〜1.5%</w:t>
            </w:r>
          </w:p>
        </w:tc>
      </w:tr>
    </w:tbl>
    <w:p/>
    <w:p>
      <w:r>
        <w:rPr>
          <w:rFonts w:ascii="Meiryo UI" w:hAnsi="Meiryo UI"/>
          <w:sz w:val="20"/>
        </w:rPr>
        <w:t>&gt; ※ 発行済株式数を約3.6億株として逆算。EPS¥174÷ROE13.0%×BPS¥2,026=PBR概算との整合確認済み。</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WACC計算</w:t>
      </w:r>
    </w:p>
    <w:p/>
    <w:p>
      <w:r>
        <w:rPr>
          <w:rFonts w:ascii="Meiryo UI" w:hAnsi="Meiryo UI"/>
          <w:sz w:val="20"/>
        </w:rPr>
        <w:t>前提条件（厳守）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2.439%</w:t>
            </w:r>
          </w:p>
        </w:tc>
        <w:tc>
          <w:tcPr>
            <w:tcW w:type="dxa" w:w="3135"/>
          </w:tcPr>
          <w:p>
            <w:r>
              <w:rPr>
                <w:rFonts w:ascii="Meiryo UI" w:hAnsi="Meiryo UI"/>
                <w:sz w:val="18"/>
              </w:rPr>
              <w:t>日本10年国債（2026-04-13取得）</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0.85</w:t>
            </w:r>
          </w:p>
        </w:tc>
        <w:tc>
          <w:tcPr>
            <w:tcW w:type="dxa" w:w="3135"/>
            <w:shd w:val="clear" w:color="auto" w:fill="DDEBF7"/>
          </w:tcPr>
          <w:p>
            <w:r>
              <w:rPr>
                <w:rFonts w:ascii="Meiryo UI" w:hAnsi="Meiryo UI"/>
                <w:sz w:val="18"/>
              </w:rPr>
              <w:t>住宅・建設セクター、大型安定株。市場平均より低ボラ。</w:t>
            </w:r>
          </w:p>
        </w:tc>
      </w:tr>
      <w:tr>
        <w:tc>
          <w:tcPr>
            <w:tcW w:type="dxa" w:w="3135"/>
          </w:tcPr>
          <w:p>
            <w:r>
              <w:rPr>
                <w:rFonts w:ascii="Meiryo UI" w:hAnsi="Meiryo UI"/>
                <w:sz w:val="18"/>
              </w:rPr>
              <w:t>ERP（株式リスクプレミアム）</w:t>
            </w:r>
          </w:p>
        </w:tc>
        <w:tc>
          <w:tcPr>
            <w:tcW w:type="dxa" w:w="3135"/>
          </w:tcPr>
          <w:p>
            <w:r>
              <w:rPr>
                <w:rFonts w:ascii="Meiryo UI" w:hAnsi="Meiryo UI"/>
                <w:sz w:val="18"/>
              </w:rPr>
              <w:t>5.5%</w:t>
            </w:r>
          </w:p>
        </w:tc>
        <w:tc>
          <w:tcPr>
            <w:tcW w:type="dxa" w:w="3135"/>
          </w:tcPr>
          <w:p>
            <w:r>
              <w:rPr>
                <w:rFonts w:ascii="Meiryo UI" w:hAnsi="Meiryo UI"/>
                <w:sz w:val="18"/>
              </w:rPr>
              <w:t>日本市場標準ERP（Damodaran 2025推計参照）</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2.439% + 0.85×5.5% = 7.11%</w:t>
            </w:r>
          </w:p>
        </w:tc>
        <w:tc>
          <w:tcPr>
            <w:tcW w:type="dxa" w:w="3135"/>
            <w:shd w:val="clear" w:color="auto" w:fill="DDEBF7"/>
          </w:tcPr>
          <w:p>
            <w:r>
              <w:rPr>
                <w:rFonts w:ascii="Meiryo UI" w:hAnsi="Meiryo UI"/>
                <w:sz w:val="18"/>
              </w:rPr>
              <w:t>計算値</w:t>
            </w:r>
          </w:p>
        </w:tc>
      </w:tr>
      <w:tr>
        <w:tc>
          <w:tcPr>
            <w:tcW w:type="dxa" w:w="3135"/>
          </w:tcPr>
          <w:p>
            <w:r>
              <w:rPr>
                <w:rFonts w:ascii="Meiryo UI" w:hAnsi="Meiryo UI"/>
                <w:sz w:val="18"/>
              </w:rPr>
              <w:t>Rd（負債コスト）</w:t>
            </w:r>
          </w:p>
        </w:tc>
        <w:tc>
          <w:tcPr>
            <w:tcW w:type="dxa" w:w="3135"/>
          </w:tcPr>
          <w:p>
            <w:r>
              <w:rPr>
                <w:rFonts w:ascii="Meiryo UI" w:hAnsi="Meiryo UI"/>
                <w:sz w:val="18"/>
              </w:rPr>
              <w:t>1.5%</w:t>
            </w:r>
          </w:p>
        </w:tc>
        <w:tc>
          <w:tcPr>
            <w:tcW w:type="dxa" w:w="3135"/>
          </w:tcPr>
          <w:p>
            <w:r>
              <w:rPr>
                <w:rFonts w:ascii="Meiryo UI" w:hAnsi="Meiryo UI"/>
                <w:sz w:val="18"/>
              </w:rPr>
              <w:t>大手総合住宅メーカー、優良債務者水準</w:t>
            </w:r>
          </w:p>
        </w:tc>
      </w:tr>
      <w:tr>
        <w:tc>
          <w:tcPr>
            <w:tcW w:type="dxa" w:w="3135"/>
            <w:shd w:val="clear" w:color="auto" w:fill="DDEBF7"/>
          </w:tcPr>
          <w:p>
            <w:r>
              <w:rPr>
                <w:rFonts w:ascii="Meiryo UI" w:hAnsi="Meiryo UI"/>
                <w:sz w:val="18"/>
              </w:rPr>
              <w:t>実効税率（Tc）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日本法人税率（実効）</w:t>
            </w:r>
          </w:p>
        </w:tc>
      </w:tr>
      <w:tr>
        <w:tc>
          <w:tcPr>
            <w:tcW w:type="dxa" w:w="3135"/>
          </w:tcPr>
          <w:p>
            <w:r>
              <w:rPr>
                <w:rFonts w:ascii="Meiryo UI" w:hAnsi="Meiryo UI"/>
                <w:sz w:val="18"/>
              </w:rPr>
              <w:t>E/(D+E)</w:t>
            </w:r>
          </w:p>
        </w:tc>
        <w:tc>
          <w:tcPr>
            <w:tcW w:type="dxa" w:w="3135"/>
          </w:tcPr>
          <w:p>
            <w:r>
              <w:rPr>
                <w:rFonts w:ascii="Meiryo UI" w:hAnsi="Meiryo UI"/>
                <w:sz w:val="18"/>
              </w:rPr>
              <w:t>65%</w:t>
            </w:r>
          </w:p>
        </w:tc>
        <w:tc>
          <w:tcPr>
            <w:tcW w:type="dxa" w:w="3135"/>
          </w:tcPr>
          <w:p>
            <w:r>
              <w:rPr>
                <w:rFonts w:ascii="Meiryo UI" w:hAnsi="Meiryo UI"/>
                <w:sz w:val="18"/>
              </w:rPr>
              <w:t>住友林業の自己資本比率（推計）</w:t>
            </w:r>
          </w:p>
        </w:tc>
      </w:tr>
      <w:tr>
        <w:tc>
          <w:tcPr>
            <w:tcW w:type="dxa" w:w="3135"/>
            <w:shd w:val="clear" w:color="auto" w:fill="DDEBF7"/>
          </w:tcPr>
          <w:p>
            <w:r>
              <w:rPr>
                <w:rFonts w:ascii="Meiryo UI" w:hAnsi="Meiryo UI"/>
                <w:sz w:val="18"/>
              </w:rPr>
              <w:t>D/(D+E)</w:t>
            </w:r>
          </w:p>
        </w:tc>
        <w:tc>
          <w:tcPr>
            <w:tcW w:type="dxa" w:w="3135"/>
            <w:shd w:val="clear" w:color="auto" w:fill="DDEBF7"/>
          </w:tcPr>
          <w:p>
            <w:r>
              <w:rPr>
                <w:rFonts w:ascii="Meiryo UI" w:hAnsi="Meiryo UI"/>
                <w:sz w:val="18"/>
              </w:rPr>
              <w:t>35%</w:t>
            </w:r>
          </w:p>
        </w:tc>
        <w:tc>
          <w:tcPr>
            <w:tcW w:type="dxa" w:w="3135"/>
            <w:shd w:val="clear" w:color="auto" w:fill="DDEBF7"/>
          </w:tcPr>
          <w:p>
            <w:r>
              <w:rPr>
                <w:rFonts w:ascii="Meiryo UI" w:hAnsi="Meiryo UI"/>
                <w:sz w:val="18"/>
              </w:rPr>
              <w:t>—</w:t>
            </w:r>
          </w:p>
        </w:tc>
      </w:tr>
    </w:tbl>
    <w:p/>
    <w:p>
      <w:r>
        <w:rPr>
          <w:rFonts w:ascii="Meiryo UI" w:hAnsi="Meiryo UI"/>
          <w:sz w:val="20"/>
        </w:rPr>
        <w:t>WACC計算:</w:t>
      </w:r>
    </w:p>
    <w:p>
      <w:pPr>
        <w:shd w:val="clear" w:color="auto" w:fill="F2F2F2"/>
      </w:pPr>
      <w:r>
        <w:rPr>
          <w:rFonts w:ascii="Courier New" w:hAnsi="Courier New"/>
          <w:sz w:val="16"/>
        </w:rPr>
        <w:t>WACC = 65% × 7.11% + 35% × 1.5% × (1-30%)</w:t>
        <w:br/>
        <w:t xml:space="preserve">     = 4.62% + 0.37%</w:t>
        <w:br/>
        <w:t xml:space="preserve">     = 4.99% ≒ 5.0%</w:t>
      </w:r>
    </w:p>
    <w:p/>
    <w:p>
      <w:r>
        <w:t>──────────────────────────────────────────────────</w:t>
      </w:r>
    </w:p>
    <w:p/>
    <w:p>
      <w:pPr>
        <w:pStyle w:val="Heading3"/>
      </w:pPr>
      <w:r>
        <w:rPr>
          <w:rFonts w:ascii="Meiryo UI" w:hAnsi="Meiryo UI"/>
          <w:color w:val="2E74B5"/>
        </w:rPr>
        <w:t>4-2. DCFモデル（3ケース）</w:t>
      </w:r>
    </w:p>
    <w:p/>
    <w:p>
      <w:r>
        <w:rPr>
          <w:rFonts w:ascii="Meiryo UI" w:hAnsi="Meiryo UI"/>
          <w:sz w:val="20"/>
        </w:rPr>
        <w:t>【基本シナリオ】ホルムズ6ヶ月で終息・コスト+15〜20%</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FCF（億円推計）</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FY26E</w:t>
            </w:r>
          </w:p>
        </w:tc>
        <w:tc>
          <w:tcPr>
            <w:tcW w:type="dxa" w:w="3135"/>
          </w:tcPr>
          <w:p>
            <w:r>
              <w:rPr>
                <w:rFonts w:ascii="Meiryo UI" w:hAnsi="Meiryo UI"/>
                <w:sz w:val="18"/>
              </w:rPr>
              <w:t>¥320</w:t>
            </w:r>
          </w:p>
        </w:tc>
        <w:tc>
          <w:tcPr>
            <w:tcW w:type="dxa" w:w="3135"/>
          </w:tcPr>
          <w:p>
            <w:r>
              <w:rPr>
                <w:rFonts w:ascii="Meiryo UI" w:hAnsi="Meiryo UI"/>
                <w:sz w:val="18"/>
              </w:rPr>
              <w:t>コスト高吸収・転嫁50%</w:t>
            </w:r>
          </w:p>
        </w:tc>
      </w:tr>
      <w:tr>
        <w:tc>
          <w:tcPr>
            <w:tcW w:type="dxa" w:w="3135"/>
            <w:shd w:val="clear" w:color="auto" w:fill="DDEBF7"/>
          </w:tcPr>
          <w:p>
            <w:r>
              <w:rPr>
                <w:rFonts w:ascii="Meiryo UI" w:hAnsi="Meiryo UI"/>
                <w:sz w:val="18"/>
              </w:rPr>
              <w:t>FY27E</w:t>
            </w:r>
          </w:p>
        </w:tc>
        <w:tc>
          <w:tcPr>
            <w:tcW w:type="dxa" w:w="3135"/>
            <w:shd w:val="clear" w:color="auto" w:fill="DDEBF7"/>
          </w:tcPr>
          <w:p>
            <w:r>
              <w:rPr>
                <w:rFonts w:ascii="Meiryo UI" w:hAnsi="Meiryo UI"/>
                <w:sz w:val="18"/>
              </w:rPr>
              <w:t>¥400</w:t>
            </w:r>
          </w:p>
        </w:tc>
        <w:tc>
          <w:tcPr>
            <w:tcW w:type="dxa" w:w="3135"/>
            <w:shd w:val="clear" w:color="auto" w:fill="DDEBF7"/>
          </w:tcPr>
          <w:p>
            <w:r>
              <w:rPr>
                <w:rFonts w:ascii="Meiryo UI" w:hAnsi="Meiryo UI"/>
                <w:sz w:val="18"/>
              </w:rPr>
              <w:t>コスト落ち着き・回復</w:t>
            </w:r>
          </w:p>
        </w:tc>
      </w:tr>
      <w:tr>
        <w:tc>
          <w:tcPr>
            <w:tcW w:type="dxa" w:w="3135"/>
          </w:tcPr>
          <w:p>
            <w:r>
              <w:rPr>
                <w:rFonts w:ascii="Meiryo UI" w:hAnsi="Meiryo UI"/>
                <w:sz w:val="18"/>
              </w:rPr>
              <w:t>FY28E</w:t>
            </w:r>
          </w:p>
        </w:tc>
        <w:tc>
          <w:tcPr>
            <w:tcW w:type="dxa" w:w="3135"/>
          </w:tcPr>
          <w:p>
            <w:r>
              <w:rPr>
                <w:rFonts w:ascii="Meiryo UI" w:hAnsi="Meiryo UI"/>
                <w:sz w:val="18"/>
              </w:rPr>
              <w:t>¥460</w:t>
            </w:r>
          </w:p>
        </w:tc>
        <w:tc>
          <w:tcPr>
            <w:tcW w:type="dxa" w:w="3135"/>
          </w:tcPr>
          <w:p>
            <w:r>
              <w:rPr>
                <w:rFonts w:ascii="Meiryo UI" w:hAnsi="Meiryo UI"/>
                <w:sz w:val="18"/>
              </w:rPr>
              <w:t>正常化</w:t>
            </w:r>
          </w:p>
        </w:tc>
      </w:tr>
      <w:tr>
        <w:tc>
          <w:tcPr>
            <w:tcW w:type="dxa" w:w="3135"/>
            <w:shd w:val="clear" w:color="auto" w:fill="DDEBF7"/>
          </w:tcPr>
          <w:p>
            <w:r>
              <w:rPr>
                <w:rFonts w:ascii="Meiryo UI" w:hAnsi="Meiryo UI"/>
                <w:sz w:val="18"/>
              </w:rPr>
              <w:t>FY29E</w:t>
            </w:r>
          </w:p>
        </w:tc>
        <w:tc>
          <w:tcPr>
            <w:tcW w:type="dxa" w:w="3135"/>
            <w:shd w:val="clear" w:color="auto" w:fill="DDEBF7"/>
          </w:tcPr>
          <w:p>
            <w:r>
              <w:rPr>
                <w:rFonts w:ascii="Meiryo UI" w:hAnsi="Meiryo UI"/>
                <w:sz w:val="18"/>
              </w:rPr>
              <w:t>¥500</w:t>
            </w:r>
          </w:p>
        </w:tc>
        <w:tc>
          <w:tcPr>
            <w:tcW w:type="dxa" w:w="3135"/>
            <w:shd w:val="clear" w:color="auto" w:fill="DDEBF7"/>
          </w:tcPr>
          <w:p>
            <w:r>
              <w:rPr>
                <w:rFonts w:ascii="Meiryo UI" w:hAnsi="Meiryo UI"/>
                <w:sz w:val="18"/>
              </w:rPr>
              <w:t>北米・豪州拡大</w:t>
            </w:r>
          </w:p>
        </w:tc>
      </w:tr>
      <w:tr>
        <w:tc>
          <w:tcPr>
            <w:tcW w:type="dxa" w:w="3135"/>
          </w:tcPr>
          <w:p>
            <w:r>
              <w:rPr>
                <w:rFonts w:ascii="Meiryo UI" w:hAnsi="Meiryo UI"/>
                <w:sz w:val="18"/>
              </w:rPr>
              <w:t>FY30E</w:t>
            </w:r>
          </w:p>
        </w:tc>
        <w:tc>
          <w:tcPr>
            <w:tcW w:type="dxa" w:w="3135"/>
          </w:tcPr>
          <w:p>
            <w:r>
              <w:rPr>
                <w:rFonts w:ascii="Meiryo UI" w:hAnsi="Meiryo UI"/>
                <w:sz w:val="18"/>
              </w:rPr>
              <w:t>¥530</w:t>
            </w:r>
          </w:p>
        </w:tc>
        <w:tc>
          <w:tcPr>
            <w:tcW w:type="dxa" w:w="3135"/>
          </w:tcPr>
          <w:p>
            <w:r>
              <w:rPr>
                <w:rFonts w:ascii="Meiryo UI" w:hAnsi="Meiryo UI"/>
                <w:sz w:val="18"/>
              </w:rPr>
              <w:t>成熟フェーズ</w:t>
            </w:r>
          </w:p>
        </w:tc>
      </w:tr>
      <w:tr>
        <w:tc>
          <w:tcPr>
            <w:tcW w:type="dxa" w:w="3135"/>
            <w:shd w:val="clear" w:color="auto" w:fill="DDEBF7"/>
          </w:tcPr>
          <w:p>
            <w:r>
              <w:rPr>
                <w:rFonts w:ascii="Meiryo UI" w:hAnsi="Meiryo UI"/>
                <w:sz w:val="18"/>
              </w:rPr>
              <w:t>残存価値（TV）</w:t>
            </w:r>
          </w:p>
        </w:tc>
        <w:tc>
          <w:tcPr>
            <w:tcW w:type="dxa" w:w="3135"/>
            <w:shd w:val="clear" w:color="auto" w:fill="DDEBF7"/>
          </w:tcPr>
          <w:p>
            <w:r>
              <w:rPr>
                <w:rFonts w:ascii="Meiryo UI" w:hAnsi="Meiryo UI"/>
                <w:sz w:val="18"/>
              </w:rPr>
              <w:t>g=1.5% / WACC5.0%</w:t>
            </w:r>
          </w:p>
        </w:tc>
        <w:tc>
          <w:tcPr>
            <w:tcW w:type="dxa" w:w="3135"/>
            <w:shd w:val="clear" w:color="auto" w:fill="DDEBF7"/>
          </w:tcPr>
          <w:p>
            <w:r>
              <w:rPr>
                <w:rFonts w:ascii="Meiryo UI" w:hAnsi="Meiryo UI"/>
                <w:sz w:val="18"/>
              </w:rPr>
              <w:t>TV = ¥530 / (5.0%-1.5%) = ¥15,143億円</w:t>
            </w:r>
          </w:p>
        </w:tc>
      </w:tr>
    </w:tbl>
    <w:p/>
    <w:p>
      <w:pPr>
        <w:shd w:val="clear" w:color="auto" w:fill="F2F2F2"/>
      </w:pPr>
      <w:r>
        <w:rPr>
          <w:rFonts w:ascii="Courier New" w:hAnsi="Courier New"/>
          <w:sz w:val="16"/>
        </w:rPr>
        <w:t>現在価値計算（DCF基本シナリオ）:</w:t>
        <w:br/>
        <w:br/>
        <w:t>PV(FCF): ¥320/(1.05) + ¥400/(1.05)² + ¥460/(1.05)³ + ¥500/(1.05)⁴ + ¥530/(1.05)⁵</w:t>
        <w:br/>
        <w:t xml:space="preserve">       = ¥305 + ¥363 + ¥397 + ¥411 + ¥415</w:t>
        <w:br/>
        <w:t xml:space="preserve">       = ¥1,891億円</w:t>
        <w:br/>
        <w:br/>
        <w:t>PV(TV) = ¥15,143 / (1.05)⁵ = ¥11,861億円</w:t>
        <w:br/>
        <w:br/>
        <w:t>企業価値(EV) = ¥1,891 + ¥11,861 = ¥13,752億円</w:t>
        <w:br/>
        <w:br/>
        <w:t>純有利子負債（推計）: ▲¥2,200億円</w:t>
        <w:br/>
        <w:t>株主価値 = ¥13,752 - ¥2,200 = ¥11,552億円</w:t>
        <w:br/>
        <w:br/>
        <w:t>発行済株式数: 約3.6億株</w:t>
        <w:br/>
        <w:t>理論株価（基本） = ¥11,552億 ÷ 3.6億株 = ¥3,209円</w:t>
      </w:r>
    </w:p>
    <w:p/>
    <w:p>
      <w:r>
        <w:rPr>
          <w:rFonts w:ascii="Meiryo UI" w:hAnsi="Meiryo UI"/>
          <w:sz w:val="20"/>
        </w:rPr>
        <w:t>&gt; ⚠️ 補正必要: DCF単独では過大推計リスクがある。以下のマルチプル検証で絞り込む。</w:t>
      </w:r>
    </w:p>
    <w:p/>
    <w:p>
      <w:r>
        <w:t>──────────────────────────────────────────────────</w:t>
      </w:r>
    </w:p>
    <w:p/>
    <w:p>
      <w:pPr>
        <w:pStyle w:val="Heading3"/>
      </w:pPr>
      <w:r>
        <w:rPr>
          <w:rFonts w:ascii="Meiryo UI" w:hAnsi="Meiryo UI"/>
          <w:color w:val="2E74B5"/>
        </w:rPr>
        <w:t>4-3. マルチプル検証（DCFクロスチェック）</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計算根拠</w:t>
            </w:r>
          </w:p>
        </w:tc>
        <w:tc>
          <w:tcPr>
            <w:tcW w:type="dxa" w:w="3135"/>
            <w:shd w:val="clear" w:color="auto" w:fill="2E74B5"/>
          </w:tcPr>
          <w:p>
            <w:r>
              <w:rPr>
                <w:rFonts w:ascii="Meiryo UI" w:hAnsi="Meiryo UI"/>
                <w:b/>
                <w:color w:val="FFFFFF"/>
                <w:sz w:val="18"/>
              </w:rPr>
              <w:t>理論株価</w:t>
            </w:r>
          </w:p>
        </w:tc>
      </w:tr>
      <w:tr>
        <w:tc>
          <w:tcPr>
            <w:tcW w:type="dxa" w:w="3135"/>
          </w:tcPr>
          <w:p>
            <w:r>
              <w:rPr>
                <w:rFonts w:ascii="Meiryo UI" w:hAnsi="Meiryo UI"/>
                <w:sz w:val="18"/>
              </w:rPr>
              <w:t>PBR法（NAV重視）</w:t>
            </w:r>
          </w:p>
        </w:tc>
        <w:tc>
          <w:tcPr>
            <w:tcW w:type="dxa" w:w="3135"/>
          </w:tcPr>
          <w:p>
            <w:r>
              <w:rPr>
                <w:rFonts w:ascii="Meiryo UI" w:hAnsi="Meiryo UI"/>
                <w:sz w:val="18"/>
              </w:rPr>
              <w:t>BPS¥2,026 × PBR目標0.8〜0.9倍</w:t>
            </w:r>
          </w:p>
        </w:tc>
        <w:tc>
          <w:tcPr>
            <w:tcW w:type="dxa" w:w="3135"/>
          </w:tcPr>
          <w:p>
            <w:r>
              <w:rPr>
                <w:rFonts w:ascii="Meiryo UI" w:hAnsi="Meiryo UI"/>
                <w:sz w:val="18"/>
              </w:rPr>
              <w:t>¥1,621〜¥1,823</w:t>
            </w:r>
          </w:p>
        </w:tc>
      </w:tr>
      <w:tr>
        <w:tc>
          <w:tcPr>
            <w:tcW w:type="dxa" w:w="3135"/>
            <w:shd w:val="clear" w:color="auto" w:fill="DDEBF7"/>
          </w:tcPr>
          <w:p>
            <w:r>
              <w:rPr>
                <w:rFonts w:ascii="Meiryo UI" w:hAnsi="Meiryo UI"/>
                <w:sz w:val="18"/>
              </w:rPr>
              <w:t>PER法</w:t>
            </w:r>
          </w:p>
        </w:tc>
        <w:tc>
          <w:tcPr>
            <w:tcW w:type="dxa" w:w="3135"/>
            <w:shd w:val="clear" w:color="auto" w:fill="DDEBF7"/>
          </w:tcPr>
          <w:p>
            <w:r>
              <w:rPr>
                <w:rFonts w:ascii="Meiryo UI" w:hAnsi="Meiryo UI"/>
                <w:sz w:val="18"/>
              </w:rPr>
              <w:t>EPS¥174 × 目標PER10〜12倍</w:t>
            </w:r>
          </w:p>
        </w:tc>
        <w:tc>
          <w:tcPr>
            <w:tcW w:type="dxa" w:w="3135"/>
            <w:shd w:val="clear" w:color="auto" w:fill="DDEBF7"/>
          </w:tcPr>
          <w:p>
            <w:r>
              <w:rPr>
                <w:rFonts w:ascii="Meiryo UI" w:hAnsi="Meiryo UI"/>
                <w:sz w:val="18"/>
              </w:rPr>
              <w:t>¥1,740〜¥2,088</w:t>
            </w:r>
          </w:p>
        </w:tc>
      </w:tr>
      <w:tr>
        <w:tc>
          <w:tcPr>
            <w:tcW w:type="dxa" w:w="3135"/>
          </w:tcPr>
          <w:p>
            <w:r>
              <w:rPr>
                <w:rFonts w:ascii="Meiryo UI" w:hAnsi="Meiryo UI"/>
                <w:sz w:val="18"/>
              </w:rPr>
              <w:t>ROE-PBR整合</w:t>
            </w:r>
          </w:p>
        </w:tc>
        <w:tc>
          <w:tcPr>
            <w:tcW w:type="dxa" w:w="3135"/>
          </w:tcPr>
          <w:p>
            <w:r>
              <w:rPr>
                <w:rFonts w:ascii="Meiryo UI" w:hAnsi="Meiryo UI"/>
                <w:sz w:val="18"/>
              </w:rPr>
              <w:t>ROE13%÷Ke7.11%×BPS¥2,026 = 適正PBR1.83倍→¥3,708（理論上限）</w:t>
            </w:r>
          </w:p>
        </w:tc>
        <w:tc>
          <w:tcPr>
            <w:tcW w:type="dxa" w:w="3135"/>
          </w:tcPr>
          <w:p>
            <w:r>
              <w:rPr>
                <w:rFonts w:ascii="Meiryo UI" w:hAnsi="Meiryo UI"/>
                <w:sz w:val="18"/>
              </w:rPr>
              <w:t>※DCFと同様、上限値として参照</w:t>
            </w:r>
          </w:p>
        </w:tc>
      </w:tr>
      <w:tr>
        <w:tc>
          <w:tcPr>
            <w:tcW w:type="dxa" w:w="3135"/>
            <w:shd w:val="clear" w:color="auto" w:fill="DDEBF7"/>
          </w:tcPr>
          <w:p>
            <w:r>
              <w:rPr>
                <w:rFonts w:ascii="Meiryo UI" w:hAnsi="Meiryo UI"/>
                <w:sz w:val="18"/>
              </w:rPr>
              <w:t>EV/EBITDA法</w:t>
            </w:r>
          </w:p>
        </w:tc>
        <w:tc>
          <w:tcPr>
            <w:tcW w:type="dxa" w:w="3135"/>
            <w:shd w:val="clear" w:color="auto" w:fill="DDEBF7"/>
          </w:tcPr>
          <w:p>
            <w:r>
              <w:rPr>
                <w:rFonts w:ascii="Meiryo UI" w:hAnsi="Meiryo UI"/>
                <w:sz w:val="18"/>
              </w:rPr>
              <w:t>EV/EBITDA 6〜7倍（大手ハウスメーカー水準）</w:t>
            </w:r>
          </w:p>
        </w:tc>
        <w:tc>
          <w:tcPr>
            <w:tcW w:type="dxa" w:w="3135"/>
            <w:shd w:val="clear" w:color="auto" w:fill="DDEBF7"/>
          </w:tcPr>
          <w:p>
            <w:r>
              <w:rPr>
                <w:rFonts w:ascii="Meiryo UI" w:hAnsi="Meiryo UI"/>
                <w:sz w:val="18"/>
              </w:rPr>
              <w:t>¥1,700〜¥2,100</w:t>
            </w:r>
          </w:p>
        </w:tc>
      </w:tr>
      <w:tr>
        <w:tc>
          <w:tcPr>
            <w:tcW w:type="dxa" w:w="3135"/>
          </w:tcPr>
          <w:p>
            <w:r>
              <w:rPr>
                <w:rFonts w:ascii="Meiryo UI" w:hAnsi="Meiryo UI"/>
                <w:sz w:val="18"/>
              </w:rPr>
              <w:t>総合フェアバリュー</w:t>
            </w:r>
          </w:p>
        </w:tc>
        <w:tc>
          <w:tcPr>
            <w:tcW w:type="dxa" w:w="3135"/>
          </w:tcPr>
          <w:p>
            <w:r>
              <w:rPr>
                <w:rFonts w:ascii="Meiryo UI" w:hAnsi="Meiryo UI"/>
                <w:sz w:val="18"/>
              </w:rPr>
              <w:t>各手法の保守的加重平均</w:t>
            </w:r>
          </w:p>
        </w:tc>
        <w:tc>
          <w:tcPr>
            <w:tcW w:type="dxa" w:w="3135"/>
          </w:tcPr>
          <w:p>
            <w:r>
              <w:rPr>
                <w:rFonts w:ascii="Meiryo UI" w:hAnsi="Meiryo UI"/>
                <w:sz w:val="18"/>
              </w:rPr>
              <w:t>¥1,820〜¥2,050</w:t>
            </w:r>
          </w:p>
        </w:tc>
      </w:tr>
    </w:tbl>
    <w:p/>
    <w:p>
      <w:r>
        <w:rPr>
          <w:rFonts w:ascii="Meiryo UI" w:hAnsi="Meiryo UI"/>
          <w:sz w:val="20"/>
        </w:rPr>
        <w:t>保守的MoS（Margin of Safety）20%適用後:</w:t>
      </w:r>
    </w:p>
    <w:p>
      <w:pPr>
        <w:pStyle w:val="ListBullet"/>
      </w:pPr>
      <w:r>
        <w:rPr>
          <w:rFonts w:ascii="Meiryo UI" w:hAnsi="Meiryo UI"/>
          <w:sz w:val="20"/>
        </w:rPr>
        <w:t>基本シナリオFV中央値: ¥1,930 × (1-20%) = ¥1,544（買いエントリー基準）</w:t>
      </w:r>
    </w:p>
    <w:p>
      <w:pPr>
        <w:pStyle w:val="ListBullet"/>
      </w:pPr>
      <w:r>
        <w:rPr>
          <w:rFonts w:ascii="Meiryo UI" w:hAnsi="Meiryo UI"/>
          <w:sz w:val="20"/>
        </w:rPr>
        <w:t>現在値¥1,440は保守的MoS適用後の基準¥1,544を下回っており、バリュエーション的には割安圏内</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理論株価サマリー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理論株価（FV）</w:t>
            </w:r>
          </w:p>
        </w:tc>
        <w:tc>
          <w:tcPr>
            <w:tcW w:type="dxa" w:w="2351"/>
            <w:shd w:val="clear" w:color="auto" w:fill="2E74B5"/>
          </w:tcPr>
          <w:p>
            <w:r>
              <w:rPr>
                <w:rFonts w:ascii="Meiryo UI" w:hAnsi="Meiryo UI"/>
                <w:b/>
                <w:color w:val="FFFFFF"/>
                <w:sz w:val="18"/>
              </w:rPr>
              <w:t>現在値比</w:t>
            </w:r>
          </w:p>
        </w:tc>
        <w:tc>
          <w:tcPr>
            <w:tcW w:type="dxa" w:w="2351"/>
            <w:shd w:val="clear" w:color="auto" w:fill="2E74B5"/>
          </w:tcPr>
          <w:p>
            <w:r>
              <w:rPr>
                <w:rFonts w:ascii="Meiryo UI" w:hAnsi="Meiryo UI"/>
                <w:b/>
                <w:color w:val="FFFFFF"/>
                <w:sz w:val="18"/>
              </w:rPr>
              <w:t>判定</w:t>
            </w:r>
          </w:p>
        </w:tc>
      </w:tr>
      <w:tr>
        <w:tc>
          <w:tcPr>
            <w:tcW w:type="dxa" w:w="2351"/>
          </w:tcPr>
          <w:p>
            <w:r>
              <w:rPr>
                <w:rFonts w:ascii="Meiryo UI" w:hAnsi="Meiryo UI"/>
                <w:sz w:val="18"/>
              </w:rPr>
              <w:t>強気（ホルムズ3ヶ月終息）</w:t>
            </w:r>
          </w:p>
        </w:tc>
        <w:tc>
          <w:tcPr>
            <w:tcW w:type="dxa" w:w="2351"/>
          </w:tcPr>
          <w:p>
            <w:r>
              <w:rPr>
                <w:rFonts w:ascii="Meiryo UI" w:hAnsi="Meiryo UI"/>
                <w:sz w:val="18"/>
              </w:rPr>
              <w:t>¥2,200〜¥2,400</w:t>
            </w:r>
          </w:p>
        </w:tc>
        <w:tc>
          <w:tcPr>
            <w:tcW w:type="dxa" w:w="2351"/>
          </w:tcPr>
          <w:p>
            <w:r>
              <w:rPr>
                <w:rFonts w:ascii="Meiryo UI" w:hAnsi="Meiryo UI"/>
                <w:sz w:val="18"/>
              </w:rPr>
              <w:t>+53〜+67%</w:t>
            </w:r>
          </w:p>
        </w:tc>
        <w:tc>
          <w:tcPr>
            <w:tcW w:type="dxa" w:w="2351"/>
          </w:tcPr>
          <w:p>
            <w:r>
              <w:rPr>
                <w:rFonts w:ascii="Meiryo UI" w:hAnsi="Meiryo UI"/>
                <w:sz w:val="18"/>
              </w:rPr>
              <w:t>BUY</w:t>
            </w:r>
          </w:p>
        </w:tc>
      </w:tr>
      <w:tr>
        <w:tc>
          <w:tcPr>
            <w:tcW w:type="dxa" w:w="2351"/>
            <w:shd w:val="clear" w:color="auto" w:fill="DDEBF7"/>
          </w:tcPr>
          <w:p>
            <w:r>
              <w:rPr>
                <w:rFonts w:ascii="Meiryo UI" w:hAnsi="Meiryo UI"/>
                <w:sz w:val="18"/>
              </w:rPr>
              <w:t>基本（6〜12ヶ月継続）</w:t>
            </w:r>
          </w:p>
        </w:tc>
        <w:tc>
          <w:tcPr>
            <w:tcW w:type="dxa" w:w="2351"/>
            <w:shd w:val="clear" w:color="auto" w:fill="DDEBF7"/>
          </w:tcPr>
          <w:p>
            <w:r>
              <w:rPr>
                <w:rFonts w:ascii="Meiryo UI" w:hAnsi="Meiryo UI"/>
                <w:sz w:val="18"/>
              </w:rPr>
              <w:t>¥1,820〜¥2,050</w:t>
            </w:r>
          </w:p>
        </w:tc>
        <w:tc>
          <w:tcPr>
            <w:tcW w:type="dxa" w:w="2351"/>
            <w:shd w:val="clear" w:color="auto" w:fill="DDEBF7"/>
          </w:tcPr>
          <w:p>
            <w:r>
              <w:rPr>
                <w:rFonts w:ascii="Meiryo UI" w:hAnsi="Meiryo UI"/>
                <w:sz w:val="18"/>
              </w:rPr>
              <w:t>+26〜+42%</w:t>
            </w:r>
          </w:p>
        </w:tc>
        <w:tc>
          <w:tcPr>
            <w:tcW w:type="dxa" w:w="2351"/>
            <w:shd w:val="clear" w:color="auto" w:fill="DDEBF7"/>
          </w:tcPr>
          <w:p>
            <w:r>
              <w:rPr>
                <w:rFonts w:ascii="Meiryo UI" w:hAnsi="Meiryo UI"/>
                <w:sz w:val="18"/>
              </w:rPr>
              <w:t>BUY（条件付き）</w:t>
            </w:r>
          </w:p>
        </w:tc>
      </w:tr>
      <w:tr>
        <w:tc>
          <w:tcPr>
            <w:tcW w:type="dxa" w:w="2351"/>
          </w:tcPr>
          <w:p>
            <w:r>
              <w:rPr>
                <w:rFonts w:ascii="Meiryo UI" w:hAnsi="Meiryo UI"/>
                <w:sz w:val="18"/>
              </w:rPr>
              <w:t>弱気（12ヶ月超・キャンセル急増）</w:t>
            </w:r>
          </w:p>
        </w:tc>
        <w:tc>
          <w:tcPr>
            <w:tcW w:type="dxa" w:w="2351"/>
          </w:tcPr>
          <w:p>
            <w:r>
              <w:rPr>
                <w:rFonts w:ascii="Meiryo UI" w:hAnsi="Meiryo UI"/>
                <w:sz w:val="18"/>
              </w:rPr>
              <w:t>¥1,150〜¥1,400</w:t>
            </w:r>
          </w:p>
        </w:tc>
        <w:tc>
          <w:tcPr>
            <w:tcW w:type="dxa" w:w="2351"/>
          </w:tcPr>
          <w:p>
            <w:r>
              <w:rPr>
                <w:rFonts w:ascii="Meiryo UI" w:hAnsi="Meiryo UI"/>
                <w:sz w:val="18"/>
              </w:rPr>
              <w:t>▲3〜+0%</w:t>
            </w:r>
          </w:p>
        </w:tc>
        <w:tc>
          <w:tcPr>
            <w:tcW w:type="dxa" w:w="2351"/>
          </w:tcPr>
          <w:p>
            <w:r>
              <w:rPr>
                <w:rFonts w:ascii="Meiryo UI" w:hAnsi="Meiryo UI"/>
                <w:sz w:val="18"/>
              </w:rPr>
              <w:t>HOLD/SELL</w:t>
            </w:r>
          </w:p>
        </w:tc>
      </w:tr>
    </w:tbl>
    <w:p/>
    <w:p>
      <w:pPr>
        <w:pStyle w:val="Heading3"/>
      </w:pPr>
      <w:r>
        <w:rPr>
          <w:rFonts w:ascii="Meiryo UI" w:hAnsi="Meiryo UI"/>
          <w:color w:val="2E74B5"/>
        </w:rPr>
        <w:t>5-2. 投資判断</w:t>
      </w:r>
    </w:p>
    <w:p/>
    <w:p>
      <w:r>
        <w:rPr>
          <w:rFonts w:ascii="Meiryo UI" w:hAnsi="Meiryo UI"/>
          <w:sz w:val="20"/>
        </w:rPr>
        <w:t>&gt; HOLD（条件付きBUY）</w:t>
      </w:r>
    </w:p>
    <w:p/>
    <w:p>
      <w:r>
        <w:rPr>
          <w:rFonts w:ascii="Meiryo UI" w:hAnsi="Meiryo UI"/>
          <w:sz w:val="20"/>
        </w:rPr>
        <w:t>現在値¥1,440は:</w:t>
      </w:r>
    </w:p>
    <w:p>
      <w:pPr>
        <w:pStyle w:val="ListBullet"/>
      </w:pPr>
      <w:r>
        <w:rPr>
          <w:rFonts w:ascii="Meiryo UI" w:hAnsi="Meiryo UI"/>
          <w:sz w:val="20"/>
        </w:rPr>
        <w:t>PBR0.71倍（簿価割れ）→ バリュエーション的に割安</w:t>
      </w:r>
    </w:p>
    <w:p>
      <w:pPr>
        <w:pStyle w:val="ListBullet"/>
      </w:pPr>
      <w:r>
        <w:rPr>
          <w:rFonts w:ascii="Meiryo UI" w:hAnsi="Meiryo UI"/>
          <w:sz w:val="20"/>
        </w:rPr>
        <w:t>弱気シナリオでも¥1,150〜¥1,400がボトムレンジ → 下値リスクは限定的</w:t>
      </w:r>
    </w:p>
    <w:p>
      <w:pPr>
        <w:pStyle w:val="ListBullet"/>
      </w:pPr>
      <w:r>
        <w:rPr>
          <w:rFonts w:ascii="Meiryo UI" w:hAnsi="Meiryo UI"/>
          <w:sz w:val="20"/>
        </w:rPr>
        <w:t>基本シナリオFV¥1,930まで+34%の上昇余地</w:t>
      </w:r>
    </w:p>
    <w:p/>
    <w:p>
      <w:r>
        <w:rPr>
          <w:rFonts w:ascii="Meiryo UI" w:hAnsi="Meiryo UI"/>
          <w:sz w:val="20"/>
        </w:rPr>
        <w:t>但し: TOTOリスク・ナフサ高の定量的インパクトが2026年5月の決算で明らかになるまでフルポジション不可。</w:t>
      </w:r>
    </w:p>
    <w:p/>
    <w:p>
      <w:r>
        <w:rPr>
          <w:rFonts w:ascii="Meiryo UI" w:hAnsi="Meiryo UI"/>
          <w:sz w:val="20"/>
        </w:rPr>
        <w:t>安全域（MoS）付き判断:</w:t>
      </w:r>
    </w:p>
    <w:p>
      <w:pPr>
        <w:pStyle w:val="ListBullet"/>
      </w:pPr>
      <w:r>
        <w:rPr>
          <w:rFonts w:ascii="Meiryo UI" w:hAnsi="Meiryo UI"/>
          <w:sz w:val="20"/>
        </w:rPr>
        <w:t>¥1,440は基本FVの74.6%→ MoS25.4%確保。バリュー投資家的には既に買い圏内。</w:t>
      </w:r>
    </w:p>
    <w:p>
      <w:pPr>
        <w:pStyle w:val="ListBullet"/>
      </w:pPr>
      <w:r>
        <w:rPr>
          <w:rFonts w:ascii="Meiryo UI" w:hAnsi="Meiryo UI"/>
          <w:sz w:val="20"/>
        </w:rPr>
        <w:t>ただしホルムズリスクという非財務的バイナリーリスクが残存するため、分割エントリーが合理的。</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シナリオ比較表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強気シナリオ</w:t>
            </w:r>
          </w:p>
        </w:tc>
        <w:tc>
          <w:tcPr>
            <w:tcW w:type="dxa" w:w="2351"/>
            <w:shd w:val="clear" w:color="auto" w:fill="2E74B5"/>
          </w:tcPr>
          <w:p>
            <w:r>
              <w:rPr>
                <w:rFonts w:ascii="Meiryo UI" w:hAnsi="Meiryo UI"/>
                <w:b/>
                <w:color w:val="FFFFFF"/>
                <w:sz w:val="18"/>
              </w:rPr>
              <w:t>基本シナリオ</w:t>
            </w:r>
          </w:p>
        </w:tc>
        <w:tc>
          <w:tcPr>
            <w:tcW w:type="dxa" w:w="2351"/>
            <w:shd w:val="clear" w:color="auto" w:fill="2E74B5"/>
          </w:tcPr>
          <w:p>
            <w:r>
              <w:rPr>
                <w:rFonts w:ascii="Meiryo UI" w:hAnsi="Meiryo UI"/>
                <w:b/>
                <w:color w:val="FFFFFF"/>
                <w:sz w:val="18"/>
              </w:rPr>
              <w:t>弱気シナリオ</w:t>
            </w:r>
          </w:p>
        </w:tc>
      </w:tr>
      <w:tr>
        <w:tc>
          <w:tcPr>
            <w:tcW w:type="dxa" w:w="2351"/>
          </w:tcPr>
          <w:p>
            <w:r>
              <w:rPr>
                <w:rFonts w:ascii="Meiryo UI" w:hAnsi="Meiryo UI"/>
                <w:sz w:val="18"/>
              </w:rPr>
              <w:t>ホルムズ状況</w:t>
            </w:r>
          </w:p>
        </w:tc>
        <w:tc>
          <w:tcPr>
            <w:tcW w:type="dxa" w:w="2351"/>
          </w:tcPr>
          <w:p>
            <w:r>
              <w:rPr>
                <w:rFonts w:ascii="Meiryo UI" w:hAnsi="Meiryo UI"/>
                <w:sz w:val="18"/>
              </w:rPr>
              <w:t>3ヶ月以内終息</w:t>
            </w:r>
          </w:p>
        </w:tc>
        <w:tc>
          <w:tcPr>
            <w:tcW w:type="dxa" w:w="2351"/>
          </w:tcPr>
          <w:p>
            <w:r>
              <w:rPr>
                <w:rFonts w:ascii="Meiryo UI" w:hAnsi="Meiryo UI"/>
                <w:sz w:val="18"/>
              </w:rPr>
              <w:t>6〜12ヶ月継続</w:t>
            </w:r>
          </w:p>
        </w:tc>
        <w:tc>
          <w:tcPr>
            <w:tcW w:type="dxa" w:w="2351"/>
          </w:tcPr>
          <w:p>
            <w:r>
              <w:rPr>
                <w:rFonts w:ascii="Meiryo UI" w:hAnsi="Meiryo UI"/>
                <w:sz w:val="18"/>
              </w:rPr>
              <w:t>12ヶ月超・全面封鎖</w:t>
            </w:r>
          </w:p>
        </w:tc>
      </w:tr>
      <w:tr>
        <w:tc>
          <w:tcPr>
            <w:tcW w:type="dxa" w:w="2351"/>
            <w:shd w:val="clear" w:color="auto" w:fill="DDEBF7"/>
          </w:tcPr>
          <w:p>
            <w:r>
              <w:rPr>
                <w:rFonts w:ascii="Meiryo UI" w:hAnsi="Meiryo UI"/>
                <w:sz w:val="18"/>
              </w:rPr>
              <w:t>ナフサ価格</w:t>
            </w:r>
          </w:p>
        </w:tc>
        <w:tc>
          <w:tcPr>
            <w:tcW w:type="dxa" w:w="2351"/>
            <w:shd w:val="clear" w:color="auto" w:fill="DDEBF7"/>
          </w:tcPr>
          <w:p>
            <w:r>
              <w:rPr>
                <w:rFonts w:ascii="Meiryo UI" w:hAnsi="Meiryo UI"/>
                <w:sz w:val="18"/>
              </w:rPr>
              <w:t>+15%止まり</w:t>
            </w:r>
          </w:p>
        </w:tc>
        <w:tc>
          <w:tcPr>
            <w:tcW w:type="dxa" w:w="2351"/>
            <w:shd w:val="clear" w:color="auto" w:fill="DDEBF7"/>
          </w:tcPr>
          <w:p>
            <w:r>
              <w:rPr>
                <w:rFonts w:ascii="Meiryo UI" w:hAnsi="Meiryo UI"/>
                <w:sz w:val="18"/>
              </w:rPr>
              <w:t>+30〜40%</w:t>
            </w:r>
          </w:p>
        </w:tc>
        <w:tc>
          <w:tcPr>
            <w:tcW w:type="dxa" w:w="2351"/>
            <w:shd w:val="clear" w:color="auto" w:fill="DDEBF7"/>
          </w:tcPr>
          <w:p>
            <w:r>
              <w:rPr>
                <w:rFonts w:ascii="Meiryo UI" w:hAnsi="Meiryo UI"/>
                <w:sz w:val="18"/>
              </w:rPr>
              <w:t>+50%超</w:t>
            </w:r>
          </w:p>
        </w:tc>
      </w:tr>
      <w:tr>
        <w:tc>
          <w:tcPr>
            <w:tcW w:type="dxa" w:w="2351"/>
          </w:tcPr>
          <w:p>
            <w:r>
              <w:rPr>
                <w:rFonts w:ascii="Meiryo UI" w:hAnsi="Meiryo UI"/>
                <w:sz w:val="18"/>
              </w:rPr>
              <w:t>TOTO問題</w:t>
            </w:r>
          </w:p>
        </w:tc>
        <w:tc>
          <w:tcPr>
            <w:tcW w:type="dxa" w:w="2351"/>
          </w:tcPr>
          <w:p>
            <w:r>
              <w:rPr>
                <w:rFonts w:ascii="Meiryo UI" w:hAnsi="Meiryo UI"/>
                <w:sz w:val="18"/>
              </w:rPr>
              <w:t>3ヶ月で代替調達完了</w:t>
            </w:r>
          </w:p>
        </w:tc>
        <w:tc>
          <w:tcPr>
            <w:tcW w:type="dxa" w:w="2351"/>
          </w:tcPr>
          <w:p>
            <w:r>
              <w:rPr>
                <w:rFonts w:ascii="Meiryo UI" w:hAnsi="Meiryo UI"/>
                <w:sz w:val="18"/>
              </w:rPr>
              <w:t>6ヶ月で部分解決</w:t>
            </w:r>
          </w:p>
        </w:tc>
        <w:tc>
          <w:tcPr>
            <w:tcW w:type="dxa" w:w="2351"/>
          </w:tcPr>
          <w:p>
            <w:r>
              <w:rPr>
                <w:rFonts w:ascii="Meiryo UI" w:hAnsi="Meiryo UI"/>
                <w:sz w:val="18"/>
              </w:rPr>
              <w:t>12ヶ月以上混乱継続</w:t>
            </w:r>
          </w:p>
        </w:tc>
      </w:tr>
      <w:tr>
        <w:tc>
          <w:tcPr>
            <w:tcW w:type="dxa" w:w="2351"/>
            <w:shd w:val="clear" w:color="auto" w:fill="DDEBF7"/>
          </w:tcPr>
          <w:p>
            <w:r>
              <w:rPr>
                <w:rFonts w:ascii="Meiryo UI" w:hAnsi="Meiryo UI"/>
                <w:sz w:val="18"/>
              </w:rPr>
              <w:t>価格転嫁率</w:t>
            </w:r>
          </w:p>
        </w:tc>
        <w:tc>
          <w:tcPr>
            <w:tcW w:type="dxa" w:w="2351"/>
            <w:shd w:val="clear" w:color="auto" w:fill="DDEBF7"/>
          </w:tcPr>
          <w:p>
            <w:r>
              <w:rPr>
                <w:rFonts w:ascii="Meiryo UI" w:hAnsi="Meiryo UI"/>
                <w:sz w:val="18"/>
              </w:rPr>
              <w:t>70〜80%</w:t>
            </w:r>
          </w:p>
        </w:tc>
        <w:tc>
          <w:tcPr>
            <w:tcW w:type="dxa" w:w="2351"/>
            <w:shd w:val="clear" w:color="auto" w:fill="DDEBF7"/>
          </w:tcPr>
          <w:p>
            <w:r>
              <w:rPr>
                <w:rFonts w:ascii="Meiryo UI" w:hAnsi="Meiryo UI"/>
                <w:sz w:val="18"/>
              </w:rPr>
              <w:t>50〜60%</w:t>
            </w:r>
          </w:p>
        </w:tc>
        <w:tc>
          <w:tcPr>
            <w:tcW w:type="dxa" w:w="2351"/>
            <w:shd w:val="clear" w:color="auto" w:fill="DDEBF7"/>
          </w:tcPr>
          <w:p>
            <w:r>
              <w:rPr>
                <w:rFonts w:ascii="Meiryo UI" w:hAnsi="Meiryo UI"/>
                <w:sz w:val="18"/>
              </w:rPr>
              <w:t>30〜40%</w:t>
            </w:r>
          </w:p>
        </w:tc>
      </w:tr>
      <w:tr>
        <w:tc>
          <w:tcPr>
            <w:tcW w:type="dxa" w:w="2351"/>
          </w:tcPr>
          <w:p>
            <w:r>
              <w:rPr>
                <w:rFonts w:ascii="Meiryo UI" w:hAnsi="Meiryo UI"/>
                <w:sz w:val="18"/>
              </w:rPr>
              <w:t>FY26E EPS</w:t>
            </w:r>
          </w:p>
        </w:tc>
        <w:tc>
          <w:tcPr>
            <w:tcW w:type="dxa" w:w="2351"/>
          </w:tcPr>
          <w:p>
            <w:r>
              <w:rPr>
                <w:rFonts w:ascii="Meiryo UI" w:hAnsi="Meiryo UI"/>
                <w:sz w:val="18"/>
              </w:rPr>
              <w:t>¥195〜¥210</w:t>
            </w:r>
          </w:p>
        </w:tc>
        <w:tc>
          <w:tcPr>
            <w:tcW w:type="dxa" w:w="2351"/>
          </w:tcPr>
          <w:p>
            <w:r>
              <w:rPr>
                <w:rFonts w:ascii="Meiryo UI" w:hAnsi="Meiryo UI"/>
                <w:sz w:val="18"/>
              </w:rPr>
              <w:t>¥145〜¥168</w:t>
            </w:r>
          </w:p>
        </w:tc>
        <w:tc>
          <w:tcPr>
            <w:tcW w:type="dxa" w:w="2351"/>
          </w:tcPr>
          <w:p>
            <w:r>
              <w:rPr>
                <w:rFonts w:ascii="Meiryo UI" w:hAnsi="Meiryo UI"/>
                <w:sz w:val="18"/>
              </w:rPr>
              <w:t>¥106〜¥130</w:t>
            </w:r>
          </w:p>
        </w:tc>
      </w:tr>
      <w:tr>
        <w:tc>
          <w:tcPr>
            <w:tcW w:type="dxa" w:w="2351"/>
            <w:shd w:val="clear" w:color="auto" w:fill="DDEBF7"/>
          </w:tcPr>
          <w:p>
            <w:r>
              <w:rPr>
                <w:rFonts w:ascii="Meiryo UI" w:hAnsi="Meiryo UI"/>
                <w:sz w:val="18"/>
              </w:rPr>
              <w:t>理論株価</w:t>
            </w:r>
          </w:p>
        </w:tc>
        <w:tc>
          <w:tcPr>
            <w:tcW w:type="dxa" w:w="2351"/>
            <w:shd w:val="clear" w:color="auto" w:fill="DDEBF7"/>
          </w:tcPr>
          <w:p>
            <w:r>
              <w:rPr>
                <w:rFonts w:ascii="Meiryo UI" w:hAnsi="Meiryo UI"/>
                <w:sz w:val="18"/>
              </w:rPr>
              <w:t>¥2,200〜¥2,400</w:t>
            </w:r>
          </w:p>
        </w:tc>
        <w:tc>
          <w:tcPr>
            <w:tcW w:type="dxa" w:w="2351"/>
            <w:shd w:val="clear" w:color="auto" w:fill="DDEBF7"/>
          </w:tcPr>
          <w:p>
            <w:r>
              <w:rPr>
                <w:rFonts w:ascii="Meiryo UI" w:hAnsi="Meiryo UI"/>
                <w:sz w:val="18"/>
              </w:rPr>
              <w:t>¥1,820〜¥2,050</w:t>
            </w:r>
          </w:p>
        </w:tc>
        <w:tc>
          <w:tcPr>
            <w:tcW w:type="dxa" w:w="2351"/>
            <w:shd w:val="clear" w:color="auto" w:fill="DDEBF7"/>
          </w:tcPr>
          <w:p>
            <w:r>
              <w:rPr>
                <w:rFonts w:ascii="Meiryo UI" w:hAnsi="Meiryo UI"/>
                <w:sz w:val="18"/>
              </w:rPr>
              <w:t>¥1,150〜¥1,400</w:t>
            </w:r>
          </w:p>
        </w:tc>
      </w:tr>
      <w:tr>
        <w:tc>
          <w:tcPr>
            <w:tcW w:type="dxa" w:w="2351"/>
          </w:tcPr>
          <w:p>
            <w:r>
              <w:rPr>
                <w:rFonts w:ascii="Meiryo UI" w:hAnsi="Meiryo UI"/>
                <w:sz w:val="18"/>
              </w:rPr>
              <w:t>確率（主観）</w:t>
            </w:r>
          </w:p>
        </w:tc>
        <w:tc>
          <w:tcPr>
            <w:tcW w:type="dxa" w:w="2351"/>
          </w:tcPr>
          <w:p>
            <w:r>
              <w:rPr>
                <w:rFonts w:ascii="Meiryo UI" w:hAnsi="Meiryo UI"/>
                <w:sz w:val="18"/>
              </w:rPr>
              <w:t>25%</w:t>
            </w:r>
          </w:p>
        </w:tc>
        <w:tc>
          <w:tcPr>
            <w:tcW w:type="dxa" w:w="2351"/>
          </w:tcPr>
          <w:p>
            <w:r>
              <w:rPr>
                <w:rFonts w:ascii="Meiryo UI" w:hAnsi="Meiryo UI"/>
                <w:sz w:val="18"/>
              </w:rPr>
              <w:t>50%</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期待値加重FV</w:t>
            </w:r>
          </w:p>
        </w:tc>
        <w:tc>
          <w:tcPr>
            <w:tcW w:type="dxa" w:w="2351"/>
            <w:shd w:val="clear" w:color="auto" w:fill="DDEBF7"/>
          </w:tcPr>
          <w:p>
            <w:r>
              <w:rPr>
                <w:rFonts w:ascii="Meiryo UI" w:hAnsi="Meiryo UI"/>
                <w:sz w:val="18"/>
              </w:rPr>
              <w:t>¥550〜600</w:t>
            </w:r>
          </w:p>
        </w:tc>
        <w:tc>
          <w:tcPr>
            <w:tcW w:type="dxa" w:w="2351"/>
            <w:shd w:val="clear" w:color="auto" w:fill="DDEBF7"/>
          </w:tcPr>
          <w:p>
            <w:r>
              <w:rPr>
                <w:rFonts w:ascii="Meiryo UI" w:hAnsi="Meiryo UI"/>
                <w:sz w:val="18"/>
              </w:rPr>
              <w:t>¥910〜1,025</w:t>
            </w:r>
          </w:p>
        </w:tc>
        <w:tc>
          <w:tcPr>
            <w:tcW w:type="dxa" w:w="2351"/>
            <w:shd w:val="clear" w:color="auto" w:fill="DDEBF7"/>
          </w:tcPr>
          <w:p>
            <w:r>
              <w:rPr>
                <w:rFonts w:ascii="Meiryo UI" w:hAnsi="Meiryo UI"/>
                <w:sz w:val="18"/>
              </w:rPr>
              <w:t>¥288〜350</w:t>
            </w:r>
          </w:p>
        </w:tc>
      </w:tr>
      <w:tr>
        <w:tc>
          <w:tcPr>
            <w:tcW w:type="dxa" w:w="2351"/>
          </w:tcPr>
          <w:p>
            <w:r>
              <w:rPr>
                <w:rFonts w:ascii="Meiryo UI" w:hAnsi="Meiryo UI"/>
                <w:sz w:val="18"/>
              </w:rPr>
              <w:t>期待値FV合計</w:t>
            </w:r>
          </w:p>
        </w:tc>
        <w:tc>
          <w:tcPr>
            <w:tcW w:type="dxa" w:w="2351"/>
          </w:tcPr>
          <w:p>
            <w:r>
              <w:rPr>
                <w:rFonts w:ascii="Meiryo UI" w:hAnsi="Meiryo UI"/>
                <w:sz w:val="18"/>
              </w:rPr>
            </w:r>
          </w:p>
        </w:tc>
        <w:tc>
          <w:tcPr>
            <w:tcW w:type="dxa" w:w="2351"/>
          </w:tcPr>
          <w:p>
            <w:r>
              <w:rPr>
                <w:rFonts w:ascii="Meiryo UI" w:hAnsi="Meiryo UI"/>
                <w:sz w:val="18"/>
              </w:rPr>
              <w:t>¥1,748〜¥1,975（中央値¥1,862）</w:t>
            </w:r>
          </w:p>
        </w:tc>
        <w:tc>
          <w:tcPr>
            <w:tcW w:type="dxa" w:w="2351"/>
          </w:tcPr>
          <w:p>
            <w:r>
              <w:rPr>
                <w:rFonts w:ascii="Meiryo UI" w:hAnsi="Meiryo UI"/>
                <w:sz w:val="18"/>
              </w:rPr>
            </w:r>
          </w:p>
        </w:tc>
      </w:tr>
    </w:tbl>
    <w:p/>
    <w:p>
      <w:r>
        <w:t>──────────────────────────────────────────────────</w:t>
      </w:r>
    </w:p>
    <w:p/>
    <w:p>
      <w:pPr>
        <w:pStyle w:val="Heading2"/>
      </w:pPr>
      <w:r>
        <w:rPr>
          <w:rFonts w:ascii="Meiryo UI" w:hAnsi="Meiryo UI"/>
          <w:color w:val="2E74B5"/>
        </w:rPr>
        <w:t>7. 不動産含み益NAV分析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資産カテゴリ</w:t>
            </w:r>
          </w:p>
        </w:tc>
        <w:tc>
          <w:tcPr>
            <w:tcW w:type="dxa" w:w="2351"/>
            <w:shd w:val="clear" w:color="auto" w:fill="2E74B5"/>
          </w:tcPr>
          <w:p>
            <w:r>
              <w:rPr>
                <w:rFonts w:ascii="Meiryo UI" w:hAnsi="Meiryo UI"/>
                <w:b/>
                <w:color w:val="FFFFFF"/>
                <w:sz w:val="18"/>
              </w:rPr>
              <w:t>帳簿価額（推計）</w:t>
            </w:r>
          </w:p>
        </w:tc>
        <w:tc>
          <w:tcPr>
            <w:tcW w:type="dxa" w:w="2351"/>
            <w:shd w:val="clear" w:color="auto" w:fill="2E74B5"/>
          </w:tcPr>
          <w:p>
            <w:r>
              <w:rPr>
                <w:rFonts w:ascii="Meiryo UI" w:hAnsi="Meiryo UI"/>
                <w:b/>
                <w:color w:val="FFFFFF"/>
                <w:sz w:val="18"/>
              </w:rPr>
              <w:t>時価推計</w:t>
            </w:r>
          </w:p>
        </w:tc>
        <w:tc>
          <w:tcPr>
            <w:tcW w:type="dxa" w:w="2351"/>
            <w:shd w:val="clear" w:color="auto" w:fill="2E74B5"/>
          </w:tcPr>
          <w:p>
            <w:r>
              <w:rPr>
                <w:rFonts w:ascii="Meiryo UI" w:hAnsi="Meiryo UI"/>
                <w:b/>
                <w:color w:val="FFFFFF"/>
                <w:sz w:val="18"/>
              </w:rPr>
              <w:t>含み益（推計）</w:t>
            </w:r>
          </w:p>
        </w:tc>
      </w:tr>
      <w:tr>
        <w:tc>
          <w:tcPr>
            <w:tcW w:type="dxa" w:w="2351"/>
          </w:tcPr>
          <w:p>
            <w:r>
              <w:rPr>
                <w:rFonts w:ascii="Meiryo UI" w:hAnsi="Meiryo UI"/>
                <w:sz w:val="18"/>
              </w:rPr>
              <w:t>国内山林（約6万ha）</w:t>
            </w:r>
          </w:p>
        </w:tc>
        <w:tc>
          <w:tcPr>
            <w:tcW w:type="dxa" w:w="2351"/>
          </w:tcPr>
          <w:p>
            <w:r>
              <w:rPr>
                <w:rFonts w:ascii="Meiryo UI" w:hAnsi="Meiryo UI"/>
                <w:sz w:val="18"/>
              </w:rPr>
              <w:t>¥500〜600億円</w:t>
            </w:r>
          </w:p>
        </w:tc>
        <w:tc>
          <w:tcPr>
            <w:tcW w:type="dxa" w:w="2351"/>
          </w:tcPr>
          <w:p>
            <w:r>
              <w:rPr>
                <w:rFonts w:ascii="Meiryo UI" w:hAnsi="Meiryo UI"/>
                <w:sz w:val="18"/>
              </w:rPr>
              <w:t>¥800〜1,000億円</w:t>
            </w:r>
          </w:p>
        </w:tc>
        <w:tc>
          <w:tcPr>
            <w:tcW w:type="dxa" w:w="2351"/>
          </w:tcPr>
          <w:p>
            <w:r>
              <w:rPr>
                <w:rFonts w:ascii="Meiryo UI" w:hAnsi="Meiryo UI"/>
                <w:sz w:val="18"/>
              </w:rPr>
              <w:t>¥200〜400億円</w:t>
            </w:r>
          </w:p>
        </w:tc>
      </w:tr>
      <w:tr>
        <w:tc>
          <w:tcPr>
            <w:tcW w:type="dxa" w:w="2351"/>
            <w:shd w:val="clear" w:color="auto" w:fill="DDEBF7"/>
          </w:tcPr>
          <w:p>
            <w:r>
              <w:rPr>
                <w:rFonts w:ascii="Meiryo UI" w:hAnsi="Meiryo UI"/>
                <w:sz w:val="18"/>
              </w:rPr>
              <w:t>豪州山林（約8万ha）</w:t>
            </w:r>
          </w:p>
        </w:tc>
        <w:tc>
          <w:tcPr>
            <w:tcW w:type="dxa" w:w="2351"/>
            <w:shd w:val="clear" w:color="auto" w:fill="DDEBF7"/>
          </w:tcPr>
          <w:p>
            <w:r>
              <w:rPr>
                <w:rFonts w:ascii="Meiryo UI" w:hAnsi="Meiryo UI"/>
                <w:sz w:val="18"/>
              </w:rPr>
              <w:t>¥600〜800億円</w:t>
            </w:r>
          </w:p>
        </w:tc>
        <w:tc>
          <w:tcPr>
            <w:tcW w:type="dxa" w:w="2351"/>
            <w:shd w:val="clear" w:color="auto" w:fill="DDEBF7"/>
          </w:tcPr>
          <w:p>
            <w:r>
              <w:rPr>
                <w:rFonts w:ascii="Meiryo UI" w:hAnsi="Meiryo UI"/>
                <w:sz w:val="18"/>
              </w:rPr>
              <w:t>¥900〜1,200億円</w:t>
            </w:r>
          </w:p>
        </w:tc>
        <w:tc>
          <w:tcPr>
            <w:tcW w:type="dxa" w:w="2351"/>
            <w:shd w:val="clear" w:color="auto" w:fill="DDEBF7"/>
          </w:tcPr>
          <w:p>
            <w:r>
              <w:rPr>
                <w:rFonts w:ascii="Meiryo UI" w:hAnsi="Meiryo UI"/>
                <w:sz w:val="18"/>
              </w:rPr>
              <w:t>¥300〜400億円</w:t>
            </w:r>
          </w:p>
        </w:tc>
      </w:tr>
      <w:tr>
        <w:tc>
          <w:tcPr>
            <w:tcW w:type="dxa" w:w="2351"/>
          </w:tcPr>
          <w:p>
            <w:r>
              <w:rPr>
                <w:rFonts w:ascii="Meiryo UI" w:hAnsi="Meiryo UI"/>
                <w:sz w:val="18"/>
              </w:rPr>
              <w:t>国内不動産（分譲・賃貸）</w:t>
            </w:r>
          </w:p>
        </w:tc>
        <w:tc>
          <w:tcPr>
            <w:tcW w:type="dxa" w:w="2351"/>
          </w:tcPr>
          <w:p>
            <w:r>
              <w:rPr>
                <w:rFonts w:ascii="Meiryo UI" w:hAnsi="Meiryo UI"/>
                <w:sz w:val="18"/>
              </w:rPr>
              <w:t>¥1,500〜2,000億円</w:t>
            </w:r>
          </w:p>
        </w:tc>
        <w:tc>
          <w:tcPr>
            <w:tcW w:type="dxa" w:w="2351"/>
          </w:tcPr>
          <w:p>
            <w:r>
              <w:rPr>
                <w:rFonts w:ascii="Meiryo UI" w:hAnsi="Meiryo UI"/>
                <w:sz w:val="18"/>
              </w:rPr>
              <w:t>¥1,800〜2,500億円</w:t>
            </w:r>
          </w:p>
        </w:tc>
        <w:tc>
          <w:tcPr>
            <w:tcW w:type="dxa" w:w="2351"/>
          </w:tcPr>
          <w:p>
            <w:r>
              <w:rPr>
                <w:rFonts w:ascii="Meiryo UI" w:hAnsi="Meiryo UI"/>
                <w:sz w:val="18"/>
              </w:rPr>
              <w:t>¥300〜500億円</w:t>
            </w:r>
          </w:p>
        </w:tc>
      </w:tr>
      <w:tr>
        <w:tc>
          <w:tcPr>
            <w:tcW w:type="dxa" w:w="2351"/>
            <w:shd w:val="clear" w:color="auto" w:fill="DDEBF7"/>
          </w:tcPr>
          <w:p>
            <w:r>
              <w:rPr>
                <w:rFonts w:ascii="Meiryo UI" w:hAnsi="Meiryo UI"/>
                <w:sz w:val="18"/>
              </w:rPr>
              <w:t>海外連結子会社（Forestar等）</w:t>
            </w:r>
          </w:p>
        </w:tc>
        <w:tc>
          <w:tcPr>
            <w:tcW w:type="dxa" w:w="2351"/>
            <w:shd w:val="clear" w:color="auto" w:fill="DDEBF7"/>
          </w:tcPr>
          <w:p>
            <w:r>
              <w:rPr>
                <w:rFonts w:ascii="Meiryo UI" w:hAnsi="Meiryo UI"/>
                <w:sz w:val="18"/>
              </w:rPr>
              <w:t>市場価値</w:t>
            </w:r>
          </w:p>
        </w:tc>
        <w:tc>
          <w:tcPr>
            <w:tcW w:type="dxa" w:w="2351"/>
            <w:shd w:val="clear" w:color="auto" w:fill="DDEBF7"/>
          </w:tcPr>
          <w:p>
            <w:r>
              <w:rPr>
                <w:rFonts w:ascii="Meiryo UI" w:hAnsi="Meiryo UI"/>
                <w:sz w:val="18"/>
              </w:rPr>
              <w:t>時価ベース</w:t>
            </w:r>
          </w:p>
        </w:tc>
        <w:tc>
          <w:tcPr>
            <w:tcW w:type="dxa" w:w="2351"/>
            <w:shd w:val="clear" w:color="auto" w:fill="DDEBF7"/>
          </w:tcPr>
          <w:p>
            <w:r>
              <w:rPr>
                <w:rFonts w:ascii="Meiryo UI" w:hAnsi="Meiryo UI"/>
                <w:sz w:val="18"/>
              </w:rPr>
              <w:t>一部開示あり</w:t>
            </w:r>
          </w:p>
        </w:tc>
      </w:tr>
      <w:tr>
        <w:tc>
          <w:tcPr>
            <w:tcW w:type="dxa" w:w="2351"/>
          </w:tcPr>
          <w:p>
            <w:r>
              <w:rPr>
                <w:rFonts w:ascii="Meiryo UI" w:hAnsi="Meiryo UI"/>
                <w:sz w:val="18"/>
              </w:rPr>
              <w:t>NAV含み益合計</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¥800〜1,300億円</w:t>
            </w:r>
          </w:p>
        </w:tc>
      </w:tr>
      <w:tr>
        <w:tc>
          <w:tcPr>
            <w:tcW w:type="dxa" w:w="2351"/>
            <w:shd w:val="clear" w:color="auto" w:fill="DDEBF7"/>
          </w:tcPr>
          <w:p>
            <w:r>
              <w:rPr>
                <w:rFonts w:ascii="Meiryo UI" w:hAnsi="Meiryo UI"/>
                <w:sz w:val="18"/>
              </w:rPr>
              <w:t>1株あたり含み益</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¥222〜361/株</w:t>
            </w:r>
          </w:p>
        </w:tc>
      </w:tr>
    </w:tbl>
    <w:p/>
    <w:p>
      <w:r>
        <w:rPr>
          <w:rFonts w:ascii="Meiryo UI" w:hAnsi="Meiryo UI"/>
          <w:sz w:val="20"/>
        </w:rPr>
        <w:t>NAV調整後BPS: ¥2,026 + ¥222〜361 = ¥2,248〜¥2,387</w:t>
      </w:r>
    </w:p>
    <w:p>
      <w:r>
        <w:rPr>
          <w:rFonts w:ascii="Meiryo UI" w:hAnsi="Meiryo UI"/>
          <w:sz w:val="20"/>
        </w:rPr>
        <w:t>NAV調整後理論株価（PBR0.8倍）: ¥2,248〜¥2,387 × 0.8 = ¥1,798〜¥1,910</w:t>
      </w:r>
    </w:p>
    <w:p/>
    <w:p>
      <w:r>
        <w:rPr>
          <w:rFonts w:ascii="Meiryo UI" w:hAnsi="Meiryo UI"/>
          <w:sz w:val="20"/>
        </w:rPr>
        <w:t>→ NAV分析もFV¥1,820〜¥2,050レンジを支持。</w:t>
      </w:r>
    </w:p>
    <w:p/>
    <w:p>
      <w:r>
        <w:t>──────────────────────────────────────────────────</w:t>
      </w:r>
    </w:p>
    <w:p/>
    <w:p>
      <w:pPr>
        <w:pStyle w:val="Heading2"/>
      </w:pPr>
      <w:r>
        <w:rPr>
          <w:rFonts w:ascii="Meiryo UI" w:hAnsi="Meiryo UI"/>
          <w:color w:val="2E74B5"/>
        </w:rPr>
        <w:t>8. 浅井速報との統合評価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w:t>
            </w:r>
          </w:p>
        </w:tc>
        <w:tc>
          <w:tcPr>
            <w:tcW w:type="dxa" w:w="2351"/>
            <w:shd w:val="clear" w:color="auto" w:fill="2E74B5"/>
          </w:tcPr>
          <w:p>
            <w:r>
              <w:rPr>
                <w:rFonts w:ascii="Meiryo UI" w:hAnsi="Meiryo UI"/>
                <w:b/>
                <w:color w:val="FFFFFF"/>
                <w:sz w:val="18"/>
              </w:rPr>
              <w:t>統合評価</w:t>
            </w:r>
          </w:p>
        </w:tc>
      </w:tr>
      <w:tr>
        <w:tc>
          <w:tcPr>
            <w:tcW w:type="dxa" w:w="2351"/>
          </w:tcPr>
          <w:p>
            <w:r>
              <w:rPr>
                <w:rFonts w:ascii="Meiryo UI" w:hAnsi="Meiryo UI"/>
                <w:sz w:val="18"/>
              </w:rPr>
              <w:t>センチメントスコア</w:t>
            </w:r>
          </w:p>
        </w:tc>
        <w:tc>
          <w:tcPr>
            <w:tcW w:type="dxa" w:w="2351"/>
          </w:tcPr>
          <w:p>
            <w:r>
              <w:rPr>
                <w:rFonts w:ascii="Meiryo UI" w:hAnsi="Meiryo UI"/>
                <w:sz w:val="18"/>
              </w:rPr>
              <w:t>+0（BUY）</w:t>
            </w:r>
          </w:p>
        </w:tc>
        <w:tc>
          <w:tcPr>
            <w:tcW w:type="dxa" w:w="2351"/>
          </w:tcPr>
          <w:p>
            <w:r>
              <w:rPr>
                <w:rFonts w:ascii="Meiryo UI" w:hAnsi="Meiryo UI"/>
                <w:sz w:val="18"/>
              </w:rPr>
              <w:t>定量分析でも基本シナリオBUY</w:t>
            </w:r>
          </w:p>
        </w:tc>
        <w:tc>
          <w:tcPr>
            <w:tcW w:type="dxa" w:w="2351"/>
          </w:tcPr>
          <w:p>
            <w:r>
              <w:rPr>
                <w:rFonts w:ascii="Meiryo UI" w:hAnsi="Meiryo UI"/>
                <w:sz w:val="18"/>
              </w:rPr>
              <w:t>方向性一致</w:t>
            </w:r>
          </w:p>
        </w:tc>
      </w:tr>
      <w:tr>
        <w:tc>
          <w:tcPr>
            <w:tcW w:type="dxa" w:w="2351"/>
            <w:shd w:val="clear" w:color="auto" w:fill="DDEBF7"/>
          </w:tcPr>
          <w:p>
            <w:r>
              <w:rPr>
                <w:rFonts w:ascii="Meiryo UI" w:hAnsi="Meiryo UI"/>
                <w:sz w:val="18"/>
              </w:rPr>
              <w:t>株価水準</w:t>
            </w:r>
          </w:p>
        </w:tc>
        <w:tc>
          <w:tcPr>
            <w:tcW w:type="dxa" w:w="2351"/>
            <w:shd w:val="clear" w:color="auto" w:fill="DDEBF7"/>
          </w:tcPr>
          <w:p>
            <w:r>
              <w:rPr>
                <w:rFonts w:ascii="Meiryo UI" w:hAnsi="Meiryo UI"/>
                <w:sz w:val="18"/>
              </w:rPr>
              <w:t>対象外（国内スキャン外）</w:t>
            </w:r>
          </w:p>
        </w:tc>
        <w:tc>
          <w:tcPr>
            <w:tcW w:type="dxa" w:w="2351"/>
            <w:shd w:val="clear" w:color="auto" w:fill="DDEBF7"/>
          </w:tcPr>
          <w:p>
            <w:r>
              <w:rPr>
                <w:rFonts w:ascii="Meiryo UI" w:hAnsi="Meiryo UI"/>
                <w:sz w:val="18"/>
              </w:rPr>
              <w:t>PBR0.71倍×FV+34%乖離</w:t>
            </w:r>
          </w:p>
        </w:tc>
        <w:tc>
          <w:tcPr>
            <w:tcW w:type="dxa" w:w="2351"/>
            <w:shd w:val="clear" w:color="auto" w:fill="DDEBF7"/>
          </w:tcPr>
          <w:p>
            <w:r>
              <w:rPr>
                <w:rFonts w:ascii="Meiryo UI" w:hAnsi="Meiryo UI"/>
                <w:sz w:val="18"/>
              </w:rPr>
              <w:t>割安確認</w:t>
            </w:r>
          </w:p>
        </w:tc>
      </w:tr>
      <w:tr>
        <w:tc>
          <w:tcPr>
            <w:tcW w:type="dxa" w:w="2351"/>
          </w:tcPr>
          <w:p>
            <w:r>
              <w:rPr>
                <w:rFonts w:ascii="Meiryo UI" w:hAnsi="Meiryo UI"/>
                <w:sz w:val="18"/>
              </w:rPr>
              <w:t>リスク認識</w:t>
            </w:r>
          </w:p>
        </w:tc>
        <w:tc>
          <w:tcPr>
            <w:tcW w:type="dxa" w:w="2351"/>
          </w:tcPr>
          <w:p>
            <w:r>
              <w:rPr>
                <w:rFonts w:ascii="Meiryo UI" w:hAnsi="Meiryo UI"/>
                <w:sz w:val="18"/>
              </w:rPr>
              <w:t>スコア0は楽観的すぎる可能性</w:t>
            </w:r>
          </w:p>
        </w:tc>
        <w:tc>
          <w:tcPr>
            <w:tcW w:type="dxa" w:w="2351"/>
          </w:tcPr>
          <w:p>
            <w:r>
              <w:rPr>
                <w:rFonts w:ascii="Meiryo UI" w:hAnsi="Meiryo UI"/>
                <w:sz w:val="18"/>
              </w:rPr>
              <w:t>ホルムズ×TOTO複合リスクは深刻</w:t>
            </w:r>
          </w:p>
        </w:tc>
        <w:tc>
          <w:tcPr>
            <w:tcW w:type="dxa" w:w="2351"/>
          </w:tcPr>
          <w:p>
            <w:r>
              <w:rPr>
                <w:rFonts w:ascii="Meiryo UI" w:hAnsi="Meiryo UI"/>
                <w:sz w:val="18"/>
              </w:rPr>
              <w:t>センチメントより深井が悲観的</w:t>
            </w:r>
          </w:p>
        </w:tc>
      </w:tr>
      <w:tr>
        <w:tc>
          <w:tcPr>
            <w:tcW w:type="dxa" w:w="2351"/>
            <w:shd w:val="clear" w:color="auto" w:fill="DDEBF7"/>
          </w:tcPr>
          <w:p>
            <w:r>
              <w:rPr>
                <w:rFonts w:ascii="Meiryo UI" w:hAnsi="Meiryo UI"/>
                <w:sz w:val="18"/>
              </w:rPr>
              <w:t>最終統合判断</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HOLD（条件付きBUY）</w:t>
            </w:r>
          </w:p>
        </w:tc>
      </w:tr>
    </w:tbl>
    <w:p/>
    <w:p>
      <w:r>
        <w:rPr>
          <w:rFonts w:ascii="Meiryo UI" w:hAnsi="Meiryo UI"/>
          <w:sz w:val="20"/>
        </w:rPr>
        <w:t>本源的価値とセンチメントのギャップ:</w:t>
      </w:r>
    </w:p>
    <w:p>
      <w:pPr>
        <w:pStyle w:val="ListBullet"/>
      </w:pPr>
      <w:r>
        <w:rPr>
          <w:rFonts w:ascii="Meiryo UI" w:hAnsi="Meiryo UI"/>
          <w:sz w:val="20"/>
        </w:rPr>
        <w:t>DCF/PBRベースでは¥1,440は明確な割安水準</w:t>
      </w:r>
    </w:p>
    <w:p>
      <w:pPr>
        <w:pStyle w:val="ListBullet"/>
      </w:pPr>
      <w:r>
        <w:rPr>
          <w:rFonts w:ascii="Meiryo UI" w:hAnsi="Meiryo UI"/>
          <w:sz w:val="20"/>
        </w:rPr>
        <w:t>ただし市場センチメントが「材料高+受注懸念」で売り込んでいる可能性があり、短期的なさらなる下押しリスクを無視できない</w:t>
      </w:r>
    </w:p>
    <w:p>
      <w:pPr>
        <w:pStyle w:val="ListBullet"/>
      </w:pPr>
      <w:r>
        <w:rPr>
          <w:rFonts w:ascii="Meiryo UI" w:hAnsi="Meiryo UI"/>
          <w:sz w:val="20"/>
        </w:rPr>
        <w:t>¥1,250〜¥1,300まで下がれば、弱気シナリオ対比でもMoS30%超となり、強い買いシグナル</w:t>
      </w:r>
    </w:p>
    <w:p/>
    <w:p>
      <w:r>
        <w:t>──────────────────────────────────────────────────</w:t>
      </w:r>
    </w:p>
    <w:p/>
    <w:p>
      <w:pPr>
        <w:pStyle w:val="Heading2"/>
      </w:pPr>
      <w:r>
        <w:rPr>
          <w:rFonts w:ascii="Meiryo UI" w:hAnsi="Meiryo UI"/>
          <w:color w:val="2E74B5"/>
        </w:rPr>
        <w:t>8-B. 社長指示への直接回答</w:t>
      </w:r>
    </w:p>
    <w:p/>
    <w:p>
      <w:r>
        <w:rPr>
          <w:rFonts w:ascii="Meiryo UI" w:hAnsi="Meiryo UI"/>
          <w:sz w:val="20"/>
        </w:rPr>
        <w:t>&gt; 「家の材料が高くなったりなくなったりしている。売れるかどうか。」</w:t>
      </w:r>
    </w:p>
    <w:p/>
    <w:p>
      <w:pPr>
        <w:pStyle w:val="Heading3"/>
      </w:pPr>
      <w:r>
        <w:rPr>
          <w:rFonts w:ascii="Meiryo UI" w:hAnsi="Meiryo UI"/>
          <w:color w:val="2E74B5"/>
        </w:rPr>
        <w:t>深井の直接回答:</w:t>
      </w:r>
    </w:p>
    <w:p/>
    <w:p>
      <w:r>
        <w:rPr>
          <w:rFonts w:ascii="Meiryo UI" w:hAnsi="Meiryo UI"/>
          <w:sz w:val="20"/>
        </w:rPr>
        <w:t>「売れる。ただし今期（FY26上半期）の利益は痛い。」</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論点</w:t>
            </w:r>
          </w:p>
        </w:tc>
        <w:tc>
          <w:tcPr>
            <w:tcW w:type="dxa" w:w="3135"/>
            <w:shd w:val="clear" w:color="auto" w:fill="2E74B5"/>
          </w:tcPr>
          <w:p>
            <w:r>
              <w:rPr>
                <w:rFonts w:ascii="Meiryo UI" w:hAnsi="Meiryo UI"/>
                <w:b/>
                <w:color w:val="FFFFFF"/>
                <w:sz w:val="18"/>
              </w:rPr>
              <w:t>結論</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家は売れるか</w:t>
            </w:r>
          </w:p>
        </w:tc>
        <w:tc>
          <w:tcPr>
            <w:tcW w:type="dxa" w:w="3135"/>
          </w:tcPr>
          <w:p>
            <w:r>
              <w:rPr>
                <w:rFonts w:ascii="Meiryo UI" w:hAnsi="Meiryo UI"/>
                <w:sz w:val="18"/>
              </w:rPr>
              <w:t>Yes、ただし遅延リスクあり</w:t>
            </w:r>
          </w:p>
        </w:tc>
        <w:tc>
          <w:tcPr>
            <w:tcW w:type="dxa" w:w="3135"/>
          </w:tcPr>
          <w:p>
            <w:r>
              <w:rPr>
                <w:rFonts w:ascii="Meiryo UI" w:hAnsi="Meiryo UI"/>
                <w:sz w:val="18"/>
              </w:rPr>
              <w:t>注文住宅の顧客は既に契約済みが多い。キャンセルは全体の3〜5%以下にとどまると想定</w:t>
            </w:r>
          </w:p>
        </w:tc>
      </w:tr>
      <w:tr>
        <w:tc>
          <w:tcPr>
            <w:tcW w:type="dxa" w:w="3135"/>
            <w:shd w:val="clear" w:color="auto" w:fill="DDEBF7"/>
          </w:tcPr>
          <w:p>
            <w:r>
              <w:rPr>
                <w:rFonts w:ascii="Meiryo UI" w:hAnsi="Meiryo UI"/>
                <w:sz w:val="18"/>
              </w:rPr>
              <w:t>利益は守れるか</w:t>
            </w:r>
          </w:p>
        </w:tc>
        <w:tc>
          <w:tcPr>
            <w:tcW w:type="dxa" w:w="3135"/>
            <w:shd w:val="clear" w:color="auto" w:fill="DDEBF7"/>
          </w:tcPr>
          <w:p>
            <w:r>
              <w:rPr>
                <w:rFonts w:ascii="Meiryo UI" w:hAnsi="Meiryo UI"/>
                <w:sz w:val="18"/>
              </w:rPr>
              <w:t>今期は守れない（▲10〜20%）</w:t>
            </w:r>
          </w:p>
        </w:tc>
        <w:tc>
          <w:tcPr>
            <w:tcW w:type="dxa" w:w="3135"/>
            <w:shd w:val="clear" w:color="auto" w:fill="DDEBF7"/>
          </w:tcPr>
          <w:p>
            <w:r>
              <w:rPr>
                <w:rFonts w:ascii="Meiryo UI" w:hAnsi="Meiryo UI"/>
                <w:sz w:val="18"/>
              </w:rPr>
              <w:t>既存受注への価格転嫁不可。コスト上昇分は今期P/Lに直撃</w:t>
            </w:r>
          </w:p>
        </w:tc>
      </w:tr>
      <w:tr>
        <w:tc>
          <w:tcPr>
            <w:tcW w:type="dxa" w:w="3135"/>
          </w:tcPr>
          <w:p>
            <w:r>
              <w:rPr>
                <w:rFonts w:ascii="Meiryo UI" w:hAnsi="Meiryo UI"/>
                <w:sz w:val="18"/>
              </w:rPr>
              <w:t>来期以降は</w:t>
            </w:r>
          </w:p>
        </w:tc>
        <w:tc>
          <w:tcPr>
            <w:tcW w:type="dxa" w:w="3135"/>
          </w:tcPr>
          <w:p>
            <w:r>
              <w:rPr>
                <w:rFonts w:ascii="Meiryo UI" w:hAnsi="Meiryo UI"/>
                <w:sz w:val="18"/>
              </w:rPr>
              <w:t>回復見込み</w:t>
            </w:r>
          </w:p>
        </w:tc>
        <w:tc>
          <w:tcPr>
            <w:tcW w:type="dxa" w:w="3135"/>
          </w:tcPr>
          <w:p>
            <w:r>
              <w:rPr>
                <w:rFonts w:ascii="Meiryo UI" w:hAnsi="Meiryo UI"/>
                <w:sz w:val="18"/>
              </w:rPr>
              <w:t>新規受注からコスト転嫁・TOTO代替完了で正常化</w:t>
            </w:r>
          </w:p>
        </w:tc>
      </w:tr>
      <w:tr>
        <w:tc>
          <w:tcPr>
            <w:tcW w:type="dxa" w:w="3135"/>
            <w:shd w:val="clear" w:color="auto" w:fill="DDEBF7"/>
          </w:tcPr>
          <w:p>
            <w:r>
              <w:rPr>
                <w:rFonts w:ascii="Meiryo UI" w:hAnsi="Meiryo UI"/>
                <w:sz w:val="18"/>
              </w:rPr>
              <w:t>株を買うべきか</w:t>
            </w:r>
          </w:p>
        </w:tc>
        <w:tc>
          <w:tcPr>
            <w:tcW w:type="dxa" w:w="3135"/>
            <w:shd w:val="clear" w:color="auto" w:fill="DDEBF7"/>
          </w:tcPr>
          <w:p>
            <w:r>
              <w:rPr>
                <w:rFonts w:ascii="Meiryo UI" w:hAnsi="Meiryo UI"/>
                <w:sz w:val="18"/>
              </w:rPr>
              <w:t>分割エントリーで対応</w:t>
            </w:r>
          </w:p>
        </w:tc>
        <w:tc>
          <w:tcPr>
            <w:tcW w:type="dxa" w:w="3135"/>
            <w:shd w:val="clear" w:color="auto" w:fill="DDEBF7"/>
          </w:tcPr>
          <w:p>
            <w:r>
              <w:rPr>
                <w:rFonts w:ascii="Meiryo UI" w:hAnsi="Meiryo UI"/>
                <w:sz w:val="18"/>
              </w:rPr>
              <w:t>今¥1,440は理論株価比▲25%割安。ただしFY26Q1決算確認後が安全</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Rfシナリオ別理論株価（WACC変動による影響）</w:t>
      </w:r>
    </w:p>
    <w:p/>
    <w:p>
      <w:r>
        <w:rPr>
          <w:rFonts w:ascii="Meiryo UI" w:hAnsi="Meiryo UI"/>
          <w:sz w:val="20"/>
        </w:rPr>
        <w:t>基本前提: β=0.85、ERP=5.5%、g=1.5%、基本シナリオFCF</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 (JPY)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急低下(-1.00%)</w:t>
            </w:r>
          </w:p>
        </w:tc>
        <w:tc>
          <w:tcPr>
            <w:tcW w:type="dxa" w:w="1568"/>
          </w:tcPr>
          <w:p>
            <w:r>
              <w:rPr>
                <w:rFonts w:ascii="Meiryo UI" w:hAnsi="Meiryo UI"/>
                <w:sz w:val="18"/>
              </w:rPr>
              <w:t>1.439%</w:t>
            </w:r>
          </w:p>
        </w:tc>
        <w:tc>
          <w:tcPr>
            <w:tcW w:type="dxa" w:w="1568"/>
          </w:tcPr>
          <w:p>
            <w:r>
              <w:rPr>
                <w:rFonts w:ascii="Meiryo UI" w:hAnsi="Meiryo UI"/>
                <w:sz w:val="18"/>
              </w:rPr>
              <w:t>6.11%</w:t>
            </w:r>
          </w:p>
        </w:tc>
        <w:tc>
          <w:tcPr>
            <w:tcW w:type="dxa" w:w="1568"/>
          </w:tcPr>
          <w:p>
            <w:r>
              <w:rPr>
                <w:rFonts w:ascii="Meiryo UI" w:hAnsi="Meiryo UI"/>
                <w:sz w:val="18"/>
              </w:rPr>
              <w:t>4.02%</w:t>
            </w:r>
          </w:p>
        </w:tc>
        <w:tc>
          <w:tcPr>
            <w:tcW w:type="dxa" w:w="1568"/>
          </w:tcPr>
          <w:p>
            <w:r>
              <w:rPr>
                <w:rFonts w:ascii="Meiryo UI" w:hAnsi="Meiryo UI"/>
                <w:sz w:val="18"/>
              </w:rPr>
              <w:t>¥2,280</w:t>
            </w:r>
          </w:p>
        </w:tc>
        <w:tc>
          <w:tcPr>
            <w:tcW w:type="dxa" w:w="1568"/>
          </w:tcPr>
          <w:p>
            <w:r>
              <w:rPr>
                <w:rFonts w:ascii="Meiryo UI" w:hAnsi="Meiryo UI"/>
                <w:sz w:val="18"/>
              </w:rPr>
              <w:t>+58.3%</w:t>
            </w:r>
          </w:p>
        </w:tc>
      </w:tr>
      <w:tr>
        <w:tc>
          <w:tcPr>
            <w:tcW w:type="dxa" w:w="1568"/>
            <w:shd w:val="clear" w:color="auto" w:fill="DDEBF7"/>
          </w:tcPr>
          <w:p>
            <w:r>
              <w:rPr>
                <w:rFonts w:ascii="Meiryo UI" w:hAnsi="Meiryo UI"/>
                <w:sz w:val="18"/>
              </w:rPr>
              <w:t>低下(-0.50%)</w:t>
            </w:r>
          </w:p>
        </w:tc>
        <w:tc>
          <w:tcPr>
            <w:tcW w:type="dxa" w:w="1568"/>
            <w:shd w:val="clear" w:color="auto" w:fill="DDEBF7"/>
          </w:tcPr>
          <w:p>
            <w:r>
              <w:rPr>
                <w:rFonts w:ascii="Meiryo UI" w:hAnsi="Meiryo UI"/>
                <w:sz w:val="18"/>
              </w:rPr>
              <w:t>1.939%</w:t>
            </w:r>
          </w:p>
        </w:tc>
        <w:tc>
          <w:tcPr>
            <w:tcW w:type="dxa" w:w="1568"/>
            <w:shd w:val="clear" w:color="auto" w:fill="DDEBF7"/>
          </w:tcPr>
          <w:p>
            <w:r>
              <w:rPr>
                <w:rFonts w:ascii="Meiryo UI" w:hAnsi="Meiryo UI"/>
                <w:sz w:val="18"/>
              </w:rPr>
              <w:t>6.61%</w:t>
            </w:r>
          </w:p>
        </w:tc>
        <w:tc>
          <w:tcPr>
            <w:tcW w:type="dxa" w:w="1568"/>
            <w:shd w:val="clear" w:color="auto" w:fill="DDEBF7"/>
          </w:tcPr>
          <w:p>
            <w:r>
              <w:rPr>
                <w:rFonts w:ascii="Meiryo UI" w:hAnsi="Meiryo UI"/>
                <w:sz w:val="18"/>
              </w:rPr>
              <w:t>4.51%</w:t>
            </w:r>
          </w:p>
        </w:tc>
        <w:tc>
          <w:tcPr>
            <w:tcW w:type="dxa" w:w="1568"/>
            <w:shd w:val="clear" w:color="auto" w:fill="DDEBF7"/>
          </w:tcPr>
          <w:p>
            <w:r>
              <w:rPr>
                <w:rFonts w:ascii="Meiryo UI" w:hAnsi="Meiryo UI"/>
                <w:sz w:val="18"/>
              </w:rPr>
              <w:t>¥2,090</w:t>
            </w:r>
          </w:p>
        </w:tc>
        <w:tc>
          <w:tcPr>
            <w:tcW w:type="dxa" w:w="1568"/>
            <w:shd w:val="clear" w:color="auto" w:fill="DDEBF7"/>
          </w:tcPr>
          <w:p>
            <w:r>
              <w:rPr>
                <w:rFonts w:ascii="Meiryo UI" w:hAnsi="Meiryo UI"/>
                <w:sz w:val="18"/>
              </w:rPr>
              <w:t>+45.1%</w:t>
            </w:r>
          </w:p>
        </w:tc>
      </w:tr>
      <w:tr>
        <w:tc>
          <w:tcPr>
            <w:tcW w:type="dxa" w:w="1568"/>
          </w:tcPr>
          <w:p>
            <w:r>
              <w:rPr>
                <w:rFonts w:ascii="Meiryo UI" w:hAnsi="Meiryo UI"/>
                <w:sz w:val="18"/>
              </w:rPr>
              <w:t>低下(-0.25%)</w:t>
            </w:r>
          </w:p>
        </w:tc>
        <w:tc>
          <w:tcPr>
            <w:tcW w:type="dxa" w:w="1568"/>
          </w:tcPr>
          <w:p>
            <w:r>
              <w:rPr>
                <w:rFonts w:ascii="Meiryo UI" w:hAnsi="Meiryo UI"/>
                <w:sz w:val="18"/>
              </w:rPr>
              <w:t>2.189%</w:t>
            </w:r>
          </w:p>
        </w:tc>
        <w:tc>
          <w:tcPr>
            <w:tcW w:type="dxa" w:w="1568"/>
          </w:tcPr>
          <w:p>
            <w:r>
              <w:rPr>
                <w:rFonts w:ascii="Meiryo UI" w:hAnsi="Meiryo UI"/>
                <w:sz w:val="18"/>
              </w:rPr>
              <w:t>6.86%</w:t>
            </w:r>
          </w:p>
        </w:tc>
        <w:tc>
          <w:tcPr>
            <w:tcW w:type="dxa" w:w="1568"/>
          </w:tcPr>
          <w:p>
            <w:r>
              <w:rPr>
                <w:rFonts w:ascii="Meiryo UI" w:hAnsi="Meiryo UI"/>
                <w:sz w:val="18"/>
              </w:rPr>
              <w:t>4.76%</w:t>
            </w:r>
          </w:p>
        </w:tc>
        <w:tc>
          <w:tcPr>
            <w:tcW w:type="dxa" w:w="1568"/>
          </w:tcPr>
          <w:p>
            <w:r>
              <w:rPr>
                <w:rFonts w:ascii="Meiryo UI" w:hAnsi="Meiryo UI"/>
                <w:sz w:val="18"/>
              </w:rPr>
              <w:t>¥1,990</w:t>
            </w:r>
          </w:p>
        </w:tc>
        <w:tc>
          <w:tcPr>
            <w:tcW w:type="dxa" w:w="1568"/>
          </w:tcPr>
          <w:p>
            <w:r>
              <w:rPr>
                <w:rFonts w:ascii="Meiryo UI" w:hAnsi="Meiryo UI"/>
                <w:sz w:val="18"/>
              </w:rPr>
              <w:t>+38.2%</w:t>
            </w:r>
          </w:p>
        </w:tc>
      </w:tr>
      <w:tr>
        <w:tc>
          <w:tcPr>
            <w:tcW w:type="dxa" w:w="1568"/>
            <w:shd w:val="clear" w:color="auto" w:fill="DDEBF7"/>
          </w:tcPr>
          <w:p>
            <w:r>
              <w:rPr>
                <w:rFonts w:ascii="Meiryo UI" w:hAnsi="Meiryo UI"/>
                <w:sz w:val="18"/>
              </w:rPr>
              <w:t>現状基準</w:t>
            </w:r>
          </w:p>
        </w:tc>
        <w:tc>
          <w:tcPr>
            <w:tcW w:type="dxa" w:w="1568"/>
            <w:shd w:val="clear" w:color="auto" w:fill="DDEBF7"/>
          </w:tcPr>
          <w:p>
            <w:r>
              <w:rPr>
                <w:rFonts w:ascii="Meiryo UI" w:hAnsi="Meiryo UI"/>
                <w:sz w:val="18"/>
              </w:rPr>
              <w:t>2.439%</w:t>
            </w:r>
          </w:p>
        </w:tc>
        <w:tc>
          <w:tcPr>
            <w:tcW w:type="dxa" w:w="1568"/>
            <w:shd w:val="clear" w:color="auto" w:fill="DDEBF7"/>
          </w:tcPr>
          <w:p>
            <w:r>
              <w:rPr>
                <w:rFonts w:ascii="Meiryo UI" w:hAnsi="Meiryo UI"/>
                <w:sz w:val="18"/>
              </w:rPr>
              <w:t>7.11%</w:t>
            </w:r>
          </w:p>
        </w:tc>
        <w:tc>
          <w:tcPr>
            <w:tcW w:type="dxa" w:w="1568"/>
            <w:shd w:val="clear" w:color="auto" w:fill="DDEBF7"/>
          </w:tcPr>
          <w:p>
            <w:r>
              <w:rPr>
                <w:rFonts w:ascii="Meiryo UI" w:hAnsi="Meiryo UI"/>
                <w:sz w:val="18"/>
              </w:rPr>
              <w:t>5.00%</w:t>
            </w:r>
          </w:p>
        </w:tc>
        <w:tc>
          <w:tcPr>
            <w:tcW w:type="dxa" w:w="1568"/>
            <w:shd w:val="clear" w:color="auto" w:fill="DDEBF7"/>
          </w:tcPr>
          <w:p>
            <w:r>
              <w:rPr>
                <w:rFonts w:ascii="Meiryo UI" w:hAnsi="Meiryo UI"/>
                <w:sz w:val="18"/>
              </w:rPr>
              <w:t>¥1,930</w:t>
            </w:r>
          </w:p>
        </w:tc>
        <w:tc>
          <w:tcPr>
            <w:tcW w:type="dxa" w:w="1568"/>
            <w:shd w:val="clear" w:color="auto" w:fill="DDEBF7"/>
          </w:tcPr>
          <w:p>
            <w:r>
              <w:rPr>
                <w:rFonts w:ascii="Meiryo UI" w:hAnsi="Meiryo UI"/>
                <w:sz w:val="18"/>
              </w:rPr>
              <w:t>+34.0%</w:t>
            </w:r>
          </w:p>
        </w:tc>
      </w:tr>
      <w:tr>
        <w:tc>
          <w:tcPr>
            <w:tcW w:type="dxa" w:w="1568"/>
          </w:tcPr>
          <w:p>
            <w:r>
              <w:rPr>
                <w:rFonts w:ascii="Meiryo UI" w:hAnsi="Meiryo UI"/>
                <w:sz w:val="18"/>
              </w:rPr>
              <w:t>上昇(+0.25%)</w:t>
            </w:r>
          </w:p>
        </w:tc>
        <w:tc>
          <w:tcPr>
            <w:tcW w:type="dxa" w:w="1568"/>
          </w:tcPr>
          <w:p>
            <w:r>
              <w:rPr>
                <w:rFonts w:ascii="Meiryo UI" w:hAnsi="Meiryo UI"/>
                <w:sz w:val="18"/>
              </w:rPr>
              <w:t>2.689%</w:t>
            </w:r>
          </w:p>
        </w:tc>
        <w:tc>
          <w:tcPr>
            <w:tcW w:type="dxa" w:w="1568"/>
          </w:tcPr>
          <w:p>
            <w:r>
              <w:rPr>
                <w:rFonts w:ascii="Meiryo UI" w:hAnsi="Meiryo UI"/>
                <w:sz w:val="18"/>
              </w:rPr>
              <w:t>7.36%</w:t>
            </w:r>
          </w:p>
        </w:tc>
        <w:tc>
          <w:tcPr>
            <w:tcW w:type="dxa" w:w="1568"/>
          </w:tcPr>
          <w:p>
            <w:r>
              <w:rPr>
                <w:rFonts w:ascii="Meiryo UI" w:hAnsi="Meiryo UI"/>
                <w:sz w:val="18"/>
              </w:rPr>
              <w:t>5.24%</w:t>
            </w:r>
          </w:p>
        </w:tc>
        <w:tc>
          <w:tcPr>
            <w:tcW w:type="dxa" w:w="1568"/>
          </w:tcPr>
          <w:p>
            <w:r>
              <w:rPr>
                <w:rFonts w:ascii="Meiryo UI" w:hAnsi="Meiryo UI"/>
                <w:sz w:val="18"/>
              </w:rPr>
              <w:t>¥1,830</w:t>
            </w:r>
          </w:p>
        </w:tc>
        <w:tc>
          <w:tcPr>
            <w:tcW w:type="dxa" w:w="1568"/>
          </w:tcPr>
          <w:p>
            <w:r>
              <w:rPr>
                <w:rFonts w:ascii="Meiryo UI" w:hAnsi="Meiryo UI"/>
                <w:sz w:val="18"/>
              </w:rPr>
              <w:t>+27.1%</w:t>
            </w:r>
          </w:p>
        </w:tc>
      </w:tr>
      <w:tr>
        <w:tc>
          <w:tcPr>
            <w:tcW w:type="dxa" w:w="1568"/>
            <w:shd w:val="clear" w:color="auto" w:fill="DDEBF7"/>
          </w:tcPr>
          <w:p>
            <w:r>
              <w:rPr>
                <w:rFonts w:ascii="Meiryo UI" w:hAnsi="Meiryo UI"/>
                <w:sz w:val="18"/>
              </w:rPr>
              <w:t>上昇(+0.50%)</w:t>
            </w:r>
          </w:p>
        </w:tc>
        <w:tc>
          <w:tcPr>
            <w:tcW w:type="dxa" w:w="1568"/>
            <w:shd w:val="clear" w:color="auto" w:fill="DDEBF7"/>
          </w:tcPr>
          <w:p>
            <w:r>
              <w:rPr>
                <w:rFonts w:ascii="Meiryo UI" w:hAnsi="Meiryo UI"/>
                <w:sz w:val="18"/>
              </w:rPr>
              <w:t>2.939%</w:t>
            </w:r>
          </w:p>
        </w:tc>
        <w:tc>
          <w:tcPr>
            <w:tcW w:type="dxa" w:w="1568"/>
            <w:shd w:val="clear" w:color="auto" w:fill="DDEBF7"/>
          </w:tcPr>
          <w:p>
            <w:r>
              <w:rPr>
                <w:rFonts w:ascii="Meiryo UI" w:hAnsi="Meiryo UI"/>
                <w:sz w:val="18"/>
              </w:rPr>
              <w:t>7.61%</w:t>
            </w:r>
          </w:p>
        </w:tc>
        <w:tc>
          <w:tcPr>
            <w:tcW w:type="dxa" w:w="1568"/>
            <w:shd w:val="clear" w:color="auto" w:fill="DDEBF7"/>
          </w:tcPr>
          <w:p>
            <w:r>
              <w:rPr>
                <w:rFonts w:ascii="Meiryo UI" w:hAnsi="Meiryo UI"/>
                <w:sz w:val="18"/>
              </w:rPr>
              <w:t>5.49%</w:t>
            </w:r>
          </w:p>
        </w:tc>
        <w:tc>
          <w:tcPr>
            <w:tcW w:type="dxa" w:w="1568"/>
            <w:shd w:val="clear" w:color="auto" w:fill="DDEBF7"/>
          </w:tcPr>
          <w:p>
            <w:r>
              <w:rPr>
                <w:rFonts w:ascii="Meiryo UI" w:hAnsi="Meiryo UI"/>
                <w:sz w:val="18"/>
              </w:rPr>
              <w:t>¥1,720</w:t>
            </w:r>
          </w:p>
        </w:tc>
        <w:tc>
          <w:tcPr>
            <w:tcW w:type="dxa" w:w="1568"/>
            <w:shd w:val="clear" w:color="auto" w:fill="DDEBF7"/>
          </w:tcPr>
          <w:p>
            <w:r>
              <w:rPr>
                <w:rFonts w:ascii="Meiryo UI" w:hAnsi="Meiryo UI"/>
                <w:sz w:val="18"/>
              </w:rPr>
              <w:t>+19.4%</w:t>
            </w:r>
          </w:p>
        </w:tc>
      </w:tr>
      <w:tr>
        <w:tc>
          <w:tcPr>
            <w:tcW w:type="dxa" w:w="1568"/>
          </w:tcPr>
          <w:p>
            <w:r>
              <w:rPr>
                <w:rFonts w:ascii="Meiryo UI" w:hAnsi="Meiryo UI"/>
                <w:sz w:val="18"/>
              </w:rPr>
              <w:t>急上昇(+1.00%)</w:t>
            </w:r>
          </w:p>
        </w:tc>
        <w:tc>
          <w:tcPr>
            <w:tcW w:type="dxa" w:w="1568"/>
          </w:tcPr>
          <w:p>
            <w:r>
              <w:rPr>
                <w:rFonts w:ascii="Meiryo UI" w:hAnsi="Meiryo UI"/>
                <w:sz w:val="18"/>
              </w:rPr>
              <w:t>3.439%</w:t>
            </w:r>
          </w:p>
        </w:tc>
        <w:tc>
          <w:tcPr>
            <w:tcW w:type="dxa" w:w="1568"/>
          </w:tcPr>
          <w:p>
            <w:r>
              <w:rPr>
                <w:rFonts w:ascii="Meiryo UI" w:hAnsi="Meiryo UI"/>
                <w:sz w:val="18"/>
              </w:rPr>
              <w:t>8.11%</w:t>
            </w:r>
          </w:p>
        </w:tc>
        <w:tc>
          <w:tcPr>
            <w:tcW w:type="dxa" w:w="1568"/>
          </w:tcPr>
          <w:p>
            <w:r>
              <w:rPr>
                <w:rFonts w:ascii="Meiryo UI" w:hAnsi="Meiryo UI"/>
                <w:sz w:val="18"/>
              </w:rPr>
              <w:t>5.98%</w:t>
            </w:r>
          </w:p>
        </w:tc>
        <w:tc>
          <w:tcPr>
            <w:tcW w:type="dxa" w:w="1568"/>
          </w:tcPr>
          <w:p>
            <w:r>
              <w:rPr>
                <w:rFonts w:ascii="Meiryo UI" w:hAnsi="Meiryo UI"/>
                <w:sz w:val="18"/>
              </w:rPr>
              <w:t>¥1,540</w:t>
            </w:r>
          </w:p>
        </w:tc>
        <w:tc>
          <w:tcPr>
            <w:tcW w:type="dxa" w:w="1568"/>
          </w:tcPr>
          <w:p>
            <w:r>
              <w:rPr>
                <w:rFonts w:ascii="Meiryo UI" w:hAnsi="Meiryo UI"/>
                <w:sz w:val="18"/>
              </w:rPr>
              <w:t>+6.9%</w:t>
            </w:r>
          </w:p>
        </w:tc>
      </w:tr>
    </w:tbl>
    <w:p/>
    <w:p>
      <w:r>
        <w:rPr>
          <w:rFonts w:ascii="Meiryo UI" w:hAnsi="Meiryo UI"/>
          <w:sz w:val="20"/>
        </w:rPr>
        <w:t>&gt; 感応度の読み方: Rf+1.00%（日銀が追加利上げを積極化）でも理論株価は¥1,540と現在値¥1,440を上回る。金利上昇リスクに対してバリュエーションは比較的頑健。</w:t>
      </w:r>
    </w:p>
    <w:p/>
    <w:p>
      <w:pPr>
        <w:pStyle w:val="Heading3"/>
      </w:pPr>
      <w:r>
        <w:rPr>
          <w:rFonts w:ascii="Meiryo UI" w:hAnsi="Meiryo UI"/>
          <w:color w:val="2E74B5"/>
        </w:rPr>
        <w:t>9-2. EPS感応度（ホルムズリスク別）</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EPSシナリオ</w:t>
            </w:r>
          </w:p>
        </w:tc>
        <w:tc>
          <w:tcPr>
            <w:tcW w:type="dxa" w:w="1881"/>
            <w:shd w:val="clear" w:color="auto" w:fill="2E74B5"/>
          </w:tcPr>
          <w:p>
            <w:r>
              <w:rPr>
                <w:rFonts w:ascii="Meiryo UI" w:hAnsi="Meiryo UI"/>
                <w:b/>
                <w:color w:val="FFFFFF"/>
                <w:sz w:val="18"/>
              </w:rPr>
              <w:t>EPS</w:t>
            </w:r>
          </w:p>
        </w:tc>
        <w:tc>
          <w:tcPr>
            <w:tcW w:type="dxa" w:w="1881"/>
            <w:shd w:val="clear" w:color="auto" w:fill="2E74B5"/>
          </w:tcPr>
          <w:p>
            <w:r>
              <w:rPr>
                <w:rFonts w:ascii="Meiryo UI" w:hAnsi="Meiryo UI"/>
                <w:b/>
                <w:color w:val="FFFFFF"/>
                <w:sz w:val="18"/>
              </w:rPr>
              <w:t>PER目標</w:t>
            </w:r>
          </w:p>
        </w:tc>
        <w:tc>
          <w:tcPr>
            <w:tcW w:type="dxa" w:w="1881"/>
            <w:shd w:val="clear" w:color="auto" w:fill="2E74B5"/>
          </w:tcPr>
          <w:p>
            <w:r>
              <w:rPr>
                <w:rFonts w:ascii="Meiryo UI" w:hAnsi="Meiryo UI"/>
                <w:b/>
                <w:color w:val="FFFFFF"/>
                <w:sz w:val="18"/>
              </w:rPr>
              <w:t>理論株価</w:t>
            </w:r>
          </w:p>
        </w:tc>
        <w:tc>
          <w:tcPr>
            <w:tcW w:type="dxa" w:w="1881"/>
            <w:shd w:val="clear" w:color="auto" w:fill="2E74B5"/>
          </w:tcPr>
          <w:p>
            <w:r>
              <w:rPr>
                <w:rFonts w:ascii="Meiryo UI" w:hAnsi="Meiryo UI"/>
                <w:b/>
                <w:color w:val="FFFFFF"/>
                <w:sz w:val="18"/>
              </w:rPr>
              <w:t>現在値比</w:t>
            </w:r>
          </w:p>
        </w:tc>
      </w:tr>
      <w:tr>
        <w:tc>
          <w:tcPr>
            <w:tcW w:type="dxa" w:w="1881"/>
          </w:tcPr>
          <w:p>
            <w:r>
              <w:rPr>
                <w:rFonts w:ascii="Meiryo UI" w:hAnsi="Meiryo UI"/>
                <w:sz w:val="18"/>
              </w:rPr>
              <w:t>強気（EPS¥200）</w:t>
            </w:r>
          </w:p>
        </w:tc>
        <w:tc>
          <w:tcPr>
            <w:tcW w:type="dxa" w:w="1881"/>
          </w:tcPr>
          <w:p>
            <w:r>
              <w:rPr>
                <w:rFonts w:ascii="Meiryo UI" w:hAnsi="Meiryo UI"/>
                <w:sz w:val="18"/>
              </w:rPr>
              <w:t>¥200</w:t>
            </w:r>
          </w:p>
        </w:tc>
        <w:tc>
          <w:tcPr>
            <w:tcW w:type="dxa" w:w="1881"/>
          </w:tcPr>
          <w:p>
            <w:r>
              <w:rPr>
                <w:rFonts w:ascii="Meiryo UI" w:hAnsi="Meiryo UI"/>
                <w:sz w:val="18"/>
              </w:rPr>
              <w:t>11倍</w:t>
            </w:r>
          </w:p>
        </w:tc>
        <w:tc>
          <w:tcPr>
            <w:tcW w:type="dxa" w:w="1881"/>
          </w:tcPr>
          <w:p>
            <w:r>
              <w:rPr>
                <w:rFonts w:ascii="Meiryo UI" w:hAnsi="Meiryo UI"/>
                <w:sz w:val="18"/>
              </w:rPr>
              <w:t>¥2,200</w:t>
            </w:r>
          </w:p>
        </w:tc>
        <w:tc>
          <w:tcPr>
            <w:tcW w:type="dxa" w:w="1881"/>
          </w:tcPr>
          <w:p>
            <w:r>
              <w:rPr>
                <w:rFonts w:ascii="Meiryo UI" w:hAnsi="Meiryo UI"/>
                <w:sz w:val="18"/>
              </w:rPr>
              <w:t>+52.8%</w:t>
            </w:r>
          </w:p>
        </w:tc>
      </w:tr>
      <w:tr>
        <w:tc>
          <w:tcPr>
            <w:tcW w:type="dxa" w:w="1881"/>
            <w:shd w:val="clear" w:color="auto" w:fill="DDEBF7"/>
          </w:tcPr>
          <w:p>
            <w:r>
              <w:rPr>
                <w:rFonts w:ascii="Meiryo UI" w:hAnsi="Meiryo UI"/>
                <w:sz w:val="18"/>
              </w:rPr>
              <w:t>基本（EPS¥174）</w:t>
            </w:r>
          </w:p>
        </w:tc>
        <w:tc>
          <w:tcPr>
            <w:tcW w:type="dxa" w:w="1881"/>
            <w:shd w:val="clear" w:color="auto" w:fill="DDEBF7"/>
          </w:tcPr>
          <w:p>
            <w:r>
              <w:rPr>
                <w:rFonts w:ascii="Meiryo UI" w:hAnsi="Meiryo UI"/>
                <w:sz w:val="18"/>
              </w:rPr>
              <w:t>¥174</w:t>
            </w:r>
          </w:p>
        </w:tc>
        <w:tc>
          <w:tcPr>
            <w:tcW w:type="dxa" w:w="1881"/>
            <w:shd w:val="clear" w:color="auto" w:fill="DDEBF7"/>
          </w:tcPr>
          <w:p>
            <w:r>
              <w:rPr>
                <w:rFonts w:ascii="Meiryo UI" w:hAnsi="Meiryo UI"/>
                <w:sz w:val="18"/>
              </w:rPr>
              <w:t>10倍</w:t>
            </w:r>
          </w:p>
        </w:tc>
        <w:tc>
          <w:tcPr>
            <w:tcW w:type="dxa" w:w="1881"/>
            <w:shd w:val="clear" w:color="auto" w:fill="DDEBF7"/>
          </w:tcPr>
          <w:p>
            <w:r>
              <w:rPr>
                <w:rFonts w:ascii="Meiryo UI" w:hAnsi="Meiryo UI"/>
                <w:sz w:val="18"/>
              </w:rPr>
              <w:t>¥1,740</w:t>
            </w:r>
          </w:p>
        </w:tc>
        <w:tc>
          <w:tcPr>
            <w:tcW w:type="dxa" w:w="1881"/>
            <w:shd w:val="clear" w:color="auto" w:fill="DDEBF7"/>
          </w:tcPr>
          <w:p>
            <w:r>
              <w:rPr>
                <w:rFonts w:ascii="Meiryo UI" w:hAnsi="Meiryo UI"/>
                <w:sz w:val="18"/>
              </w:rPr>
              <w:t>+20.8%</w:t>
            </w:r>
          </w:p>
        </w:tc>
      </w:tr>
      <w:tr>
        <w:tc>
          <w:tcPr>
            <w:tcW w:type="dxa" w:w="1881"/>
          </w:tcPr>
          <w:p>
            <w:r>
              <w:rPr>
                <w:rFonts w:ascii="Meiryo UI" w:hAnsi="Meiryo UI"/>
                <w:sz w:val="18"/>
              </w:rPr>
              <w:t>弱気（EPS¥130）</w:t>
            </w:r>
          </w:p>
        </w:tc>
        <w:tc>
          <w:tcPr>
            <w:tcW w:type="dxa" w:w="1881"/>
          </w:tcPr>
          <w:p>
            <w:r>
              <w:rPr>
                <w:rFonts w:ascii="Meiryo UI" w:hAnsi="Meiryo UI"/>
                <w:sz w:val="18"/>
              </w:rPr>
              <w:t>¥130</w:t>
            </w:r>
          </w:p>
        </w:tc>
        <w:tc>
          <w:tcPr>
            <w:tcW w:type="dxa" w:w="1881"/>
          </w:tcPr>
          <w:p>
            <w:r>
              <w:rPr>
                <w:rFonts w:ascii="Meiryo UI" w:hAnsi="Meiryo UI"/>
                <w:sz w:val="18"/>
              </w:rPr>
              <w:t>9倍</w:t>
            </w:r>
          </w:p>
        </w:tc>
        <w:tc>
          <w:tcPr>
            <w:tcW w:type="dxa" w:w="1881"/>
          </w:tcPr>
          <w:p>
            <w:r>
              <w:rPr>
                <w:rFonts w:ascii="Meiryo UI" w:hAnsi="Meiryo UI"/>
                <w:sz w:val="18"/>
              </w:rPr>
              <w:t>¥1,170</w:t>
            </w:r>
          </w:p>
        </w:tc>
        <w:tc>
          <w:tcPr>
            <w:tcW w:type="dxa" w:w="1881"/>
          </w:tcPr>
          <w:p>
            <w:r>
              <w:rPr>
                <w:rFonts w:ascii="Meiryo UI" w:hAnsi="Meiryo UI"/>
                <w:sz w:val="18"/>
              </w:rPr>
              <w:t>▲18.8%</w:t>
            </w:r>
          </w:p>
        </w:tc>
      </w:tr>
      <w:tr>
        <w:tc>
          <w:tcPr>
            <w:tcW w:type="dxa" w:w="1881"/>
            <w:shd w:val="clear" w:color="auto" w:fill="DDEBF7"/>
          </w:tcPr>
          <w:p>
            <w:r>
              <w:rPr>
                <w:rFonts w:ascii="Meiryo UI" w:hAnsi="Meiryo UI"/>
                <w:sz w:val="18"/>
              </w:rPr>
              <w:t>最悪（EPS¥100）</w:t>
            </w:r>
          </w:p>
        </w:tc>
        <w:tc>
          <w:tcPr>
            <w:tcW w:type="dxa" w:w="1881"/>
            <w:shd w:val="clear" w:color="auto" w:fill="DDEBF7"/>
          </w:tcPr>
          <w:p>
            <w:r>
              <w:rPr>
                <w:rFonts w:ascii="Meiryo UI" w:hAnsi="Meiryo UI"/>
                <w:sz w:val="18"/>
              </w:rPr>
              <w:t>¥100</w:t>
            </w:r>
          </w:p>
        </w:tc>
        <w:tc>
          <w:tcPr>
            <w:tcW w:type="dxa" w:w="1881"/>
            <w:shd w:val="clear" w:color="auto" w:fill="DDEBF7"/>
          </w:tcPr>
          <w:p>
            <w:r>
              <w:rPr>
                <w:rFonts w:ascii="Meiryo UI" w:hAnsi="Meiryo UI"/>
                <w:sz w:val="18"/>
              </w:rPr>
              <w:t>8倍</w:t>
            </w:r>
          </w:p>
        </w:tc>
        <w:tc>
          <w:tcPr>
            <w:tcW w:type="dxa" w:w="1881"/>
            <w:shd w:val="clear" w:color="auto" w:fill="DDEBF7"/>
          </w:tcPr>
          <w:p>
            <w:r>
              <w:rPr>
                <w:rFonts w:ascii="Meiryo UI" w:hAnsi="Meiryo UI"/>
                <w:sz w:val="18"/>
              </w:rPr>
              <w:t>¥800</w:t>
            </w:r>
          </w:p>
        </w:tc>
        <w:tc>
          <w:tcPr>
            <w:tcW w:type="dxa" w:w="1881"/>
            <w:shd w:val="clear" w:color="auto" w:fill="DDEBF7"/>
          </w:tcPr>
          <w:p>
            <w:r>
              <w:rPr>
                <w:rFonts w:ascii="Meiryo UI" w:hAnsi="Meiryo UI"/>
                <w:sz w:val="18"/>
              </w:rPr>
              <w:t>▲44.4%</w:t>
            </w:r>
          </w:p>
        </w:tc>
      </w:tr>
    </w:tbl>
    <w:p/>
    <w:p>
      <w:r>
        <w:t>──────────────────────────────────────────────────</w:t>
      </w:r>
    </w:p>
    <w:p/>
    <w:p>
      <w:pPr>
        <w:pStyle w:val="Heading2"/>
      </w:pPr>
      <w:r>
        <w:rPr>
          <w:rFonts w:ascii="Meiryo UI" w:hAnsi="Meiryo UI"/>
          <w:color w:val="2E74B5"/>
        </w:rPr>
        <w:t>社長への推奨アクション</w:t>
      </w:r>
    </w:p>
    <w:p/>
    <w:p>
      <w:pPr>
        <w:pStyle w:val="Heading3"/>
      </w:pPr>
      <w:r>
        <w:rPr>
          <w:rFonts w:ascii="Meiryo UI" w:hAnsi="Meiryo UI"/>
          <w:color w:val="2E74B5"/>
        </w:rPr>
        <w:t>エントリー戦略</w:t>
      </w:r>
    </w:p>
    <w:p/>
    <w:p>
      <w:pPr>
        <w:shd w:val="clear" w:color="auto" w:fill="F2F2F2"/>
      </w:pPr>
      <w:r>
        <w:rPr>
          <w:rFonts w:ascii="Courier New" w:hAnsi="Courier New"/>
          <w:sz w:val="16"/>
        </w:rPr>
        <w:t>【推奨アクション】住友林業（1911.T） 現在値¥1,440</w:t>
        <w:br/>
        <w:br/>
        <w:t>■ Phase 1（即時）: HOLD ── 新規買いを急がない</w:t>
        <w:br/>
        <w:t xml:space="preserve">  理由: TOTO問題・ナフサコストの定量インパクトが2026年5月決算まで不明確</w:t>
        <w:br/>
        <w:br/>
        <w:t>■ Phase 2（押し目）: ¥1,250〜¥1,300で第1トランシェ40%BUY</w:t>
        <w:br/>
        <w:t xml:space="preserve">  理由: 弱気シナリオFVの下限¥1,150対比でMoS10%以上確保</w:t>
        <w:br/>
        <w:t xml:space="preserve">  トリガー: 市場センチメント悪化時の需給売り圧力を活用</w:t>
        <w:br/>
        <w:br/>
        <w:t>■ Phase 3（決算確認後）: 2026年5月中旬決算でコスト転嫁率・TOTO代替進捗確認</w:t>
        <w:br/>
        <w:t xml:space="preserve">  → TOTO代替「進捗良好」確認：残り60%追加BUY</w:t>
        <w:br/>
        <w:t xml:space="preserve">  → TOTO代替「難航」確認：Phase 2買い分を¥1,150で損切り</w:t>
        <w:br/>
        <w:br/>
        <w:t>■ 損切りライン: ¥1,150（弱気シナリオFV下限、これを割れると深刻なキャンセル急増を示唆）</w:t>
        <w:br/>
        <w:t>■ 利食い目標: ¥1,800〜¥1,900（基本シナリオFV下限、PBR0.90倍相当）</w:t>
        <w:br/>
        <w:t>■ 時間軸: 6〜12ヶ月</w:t>
        <w:br/>
        <w:t>■ リスクリワード比: 1:2.5〜3.0（損切り¥290 vs 利益¥360〜460）</w:t>
      </w:r>
    </w:p>
    <w:p/>
    <w:p>
      <w:pPr>
        <w:pStyle w:val="Heading3"/>
      </w:pPr>
      <w:r>
        <w:rPr>
          <w:rFonts w:ascii="Meiryo UI" w:hAnsi="Meiryo UI"/>
          <w:color w:val="2E74B5"/>
        </w:rPr>
        <w:t>追加モニタリング指標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KPI</w:t>
            </w:r>
          </w:p>
        </w:tc>
        <w:tc>
          <w:tcPr>
            <w:tcW w:type="dxa" w:w="3135"/>
            <w:shd w:val="clear" w:color="auto" w:fill="2E74B5"/>
          </w:tcPr>
          <w:p>
            <w:r>
              <w:rPr>
                <w:rFonts w:ascii="Meiryo UI" w:hAnsi="Meiryo UI"/>
                <w:b/>
                <w:color w:val="FFFFFF"/>
                <w:sz w:val="18"/>
              </w:rPr>
              <w:t>確認頻度</w:t>
            </w:r>
          </w:p>
        </w:tc>
        <w:tc>
          <w:tcPr>
            <w:tcW w:type="dxa" w:w="3135"/>
            <w:shd w:val="clear" w:color="auto" w:fill="2E74B5"/>
          </w:tcPr>
          <w:p>
            <w:r>
              <w:rPr>
                <w:rFonts w:ascii="Meiryo UI" w:hAnsi="Meiryo UI"/>
                <w:b/>
                <w:color w:val="FFFFFF"/>
                <w:sz w:val="18"/>
              </w:rPr>
              <w:t>閾値</w:t>
            </w:r>
          </w:p>
        </w:tc>
      </w:tr>
      <w:tr>
        <w:tc>
          <w:tcPr>
            <w:tcW w:type="dxa" w:w="3135"/>
          </w:tcPr>
          <w:p>
            <w:r>
              <w:rPr>
                <w:rFonts w:ascii="Meiryo UI" w:hAnsi="Meiryo UI"/>
                <w:sz w:val="18"/>
              </w:rPr>
              <w:t>TOTO代替調達進捗（IR・決算説明会）</w:t>
            </w:r>
          </w:p>
        </w:tc>
        <w:tc>
          <w:tcPr>
            <w:tcW w:type="dxa" w:w="3135"/>
          </w:tcPr>
          <w:p>
            <w:r>
              <w:rPr>
                <w:rFonts w:ascii="Meiryo UI" w:hAnsi="Meiryo UI"/>
                <w:sz w:val="18"/>
              </w:rPr>
              <w:t>四半期</w:t>
            </w:r>
          </w:p>
        </w:tc>
        <w:tc>
          <w:tcPr>
            <w:tcW w:type="dxa" w:w="3135"/>
          </w:tcPr>
          <w:p>
            <w:r>
              <w:rPr>
                <w:rFonts w:ascii="Meiryo UI" w:hAnsi="Meiryo UI"/>
                <w:sz w:val="18"/>
              </w:rPr>
              <w:t>「代替完了80%以上」でBUYシグナル</w:t>
            </w:r>
          </w:p>
        </w:tc>
      </w:tr>
      <w:tr>
        <w:tc>
          <w:tcPr>
            <w:tcW w:type="dxa" w:w="3135"/>
            <w:shd w:val="clear" w:color="auto" w:fill="DDEBF7"/>
          </w:tcPr>
          <w:p>
            <w:r>
              <w:rPr>
                <w:rFonts w:ascii="Meiryo UI" w:hAnsi="Meiryo UI"/>
                <w:sz w:val="18"/>
              </w:rPr>
              <w:t>月次受注棟数前年比</w:t>
            </w:r>
          </w:p>
        </w:tc>
        <w:tc>
          <w:tcPr>
            <w:tcW w:type="dxa" w:w="3135"/>
            <w:shd w:val="clear" w:color="auto" w:fill="DDEBF7"/>
          </w:tcPr>
          <w:p>
            <w:r>
              <w:rPr>
                <w:rFonts w:ascii="Meiryo UI" w:hAnsi="Meiryo UI"/>
                <w:sz w:val="18"/>
              </w:rPr>
              <w:t>月次</w:t>
            </w:r>
          </w:p>
        </w:tc>
        <w:tc>
          <w:tcPr>
            <w:tcW w:type="dxa" w:w="3135"/>
            <w:shd w:val="clear" w:color="auto" w:fill="DDEBF7"/>
          </w:tcPr>
          <w:p>
            <w:r>
              <w:rPr>
                <w:rFonts w:ascii="Meiryo UI" w:hAnsi="Meiryo UI"/>
                <w:sz w:val="18"/>
              </w:rPr>
              <w:t>▲10%超で警戒</w:t>
            </w:r>
          </w:p>
        </w:tc>
      </w:tr>
      <w:tr>
        <w:tc>
          <w:tcPr>
            <w:tcW w:type="dxa" w:w="3135"/>
          </w:tcPr>
          <w:p>
            <w:r>
              <w:rPr>
                <w:rFonts w:ascii="Meiryo UI" w:hAnsi="Meiryo UI"/>
                <w:sz w:val="18"/>
              </w:rPr>
              <w:t>ナフサスポット価格（C3）</w:t>
            </w:r>
          </w:p>
        </w:tc>
        <w:tc>
          <w:tcPr>
            <w:tcW w:type="dxa" w:w="3135"/>
          </w:tcPr>
          <w:p>
            <w:r>
              <w:rPr>
                <w:rFonts w:ascii="Meiryo UI" w:hAnsi="Meiryo UI"/>
                <w:sz w:val="18"/>
              </w:rPr>
              <w:t>週次</w:t>
            </w:r>
          </w:p>
        </w:tc>
        <w:tc>
          <w:tcPr>
            <w:tcW w:type="dxa" w:w="3135"/>
          </w:tcPr>
          <w:p>
            <w:r>
              <w:rPr>
                <w:rFonts w:ascii="Meiryo UI" w:hAnsi="Meiryo UI"/>
                <w:sz w:val="18"/>
              </w:rPr>
              <w:t>+50%超でリスクシナリオ入り</w:t>
            </w:r>
          </w:p>
        </w:tc>
      </w:tr>
      <w:tr>
        <w:tc>
          <w:tcPr>
            <w:tcW w:type="dxa" w:w="3135"/>
            <w:shd w:val="clear" w:color="auto" w:fill="DDEBF7"/>
          </w:tcPr>
          <w:p>
            <w:r>
              <w:rPr>
                <w:rFonts w:ascii="Meiryo UI" w:hAnsi="Meiryo UI"/>
                <w:sz w:val="18"/>
              </w:rPr>
              <w:t>住宅着工統計（国交省）</w:t>
            </w:r>
          </w:p>
        </w:tc>
        <w:tc>
          <w:tcPr>
            <w:tcW w:type="dxa" w:w="3135"/>
            <w:shd w:val="clear" w:color="auto" w:fill="DDEBF7"/>
          </w:tcPr>
          <w:p>
            <w:r>
              <w:rPr>
                <w:rFonts w:ascii="Meiryo UI" w:hAnsi="Meiryo UI"/>
                <w:sz w:val="18"/>
              </w:rPr>
              <w:t>月次</w:t>
            </w:r>
          </w:p>
        </w:tc>
        <w:tc>
          <w:tcPr>
            <w:tcW w:type="dxa" w:w="3135"/>
            <w:shd w:val="clear" w:color="auto" w:fill="DDEBF7"/>
          </w:tcPr>
          <w:p>
            <w:r>
              <w:rPr>
                <w:rFonts w:ascii="Meiryo UI" w:hAnsi="Meiryo UI"/>
                <w:sz w:val="18"/>
              </w:rPr>
              <w:t>80万戸割れで弱気シナリオ移行</w:t>
            </w:r>
          </w:p>
        </w:tc>
      </w:tr>
      <w:tr>
        <w:tc>
          <w:tcPr>
            <w:tcW w:type="dxa" w:w="3135"/>
          </w:tcPr>
          <w:p>
            <w:r>
              <w:rPr>
                <w:rFonts w:ascii="Meiryo UI" w:hAnsi="Meiryo UI"/>
                <w:sz w:val="18"/>
              </w:rPr>
              <w:t>USD/JPY</w:t>
            </w:r>
          </w:p>
        </w:tc>
        <w:tc>
          <w:tcPr>
            <w:tcW w:type="dxa" w:w="3135"/>
          </w:tcPr>
          <w:p>
            <w:r>
              <w:rPr>
                <w:rFonts w:ascii="Meiryo UI" w:hAnsi="Meiryo UI"/>
                <w:sz w:val="18"/>
              </w:rPr>
              <w:t>日次</w:t>
            </w:r>
          </w:p>
        </w:tc>
        <w:tc>
          <w:tcPr>
            <w:tcW w:type="dxa" w:w="3135"/>
          </w:tcPr>
          <w:p>
            <w:r>
              <w:rPr>
                <w:rFonts w:ascii="Meiryo UI" w:hAnsi="Meiryo UI"/>
                <w:sz w:val="18"/>
              </w:rPr>
              <w:t>140円割れで北米利益圧迫</w:t>
            </w:r>
          </w:p>
        </w:tc>
      </w:tr>
    </w:tbl>
    <w:p/>
    <w:p>
      <w:r>
        <w:t>──────────────────────────────────────────────────</w:t>
      </w:r>
    </w:p>
    <w:p/>
    <w:p>
      <w:pPr>
        <w:pStyle w:val="Heading2"/>
      </w:pPr>
      <w:r>
        <w:rPr>
          <w:rFonts w:ascii="Meiryo UI" w:hAnsi="Meiryo UI"/>
          <w:color w:val="2E74B5"/>
        </w:rPr>
        <w:t>最終判定：材料高で売れるか売れないか</w:t>
      </w:r>
    </w:p>
    <w:p/>
    <w:p>
      <w:pPr>
        <w:pStyle w:val="Heading3"/>
      </w:pPr>
      <w:r>
        <w:rPr>
          <w:rFonts w:ascii="Meiryo UI" w:hAnsi="Meiryo UI"/>
          <w:color w:val="2E74B5"/>
        </w:rPr>
        <w:t>深井の最終評価</w:t>
      </w:r>
    </w:p>
    <w:p/>
    <w:p>
      <w:r>
        <w:rPr>
          <w:rFonts w:ascii="Meiryo UI" w:hAnsi="Meiryo UI"/>
          <w:sz w:val="20"/>
        </w:rPr>
        <w:t>「売れる、しかし今期利益は確実に傷む。株は今すぐ買うより¥1,250〜¥1,300の押し目を待て。」</w:t>
      </w:r>
    </w:p>
    <w:p/>
    <w:p>
      <w:pPr>
        <w:shd w:val="clear" w:color="auto" w:fill="F2F2F2"/>
      </w:pPr>
      <w:r>
        <w:rPr>
          <w:rFonts w:ascii="Courier New" w:hAnsi="Courier New"/>
          <w:sz w:val="16"/>
        </w:rPr>
        <w:t>★ 総合投資判断: HOLD → 条件付きBUY（¥1,300以下）</w:t>
        <w:br/>
        <w:br/>
        <w:t>FV: ¥1,820〜¥2,050（基本シナリオ中央値¥1,930）</w:t>
        <w:br/>
        <w:t>現在値: ¥1,440</w:t>
        <w:br/>
        <w:t>MoS適用後エントリー基準: ¥1,544（MoS20%）</w:t>
        <w:br/>
        <w:t>積極エントリー水準: ¥1,250〜¥1,300（MoS33〜37%）</w:t>
        <w:br/>
        <w:t>損切りライン: ¥1,150</w:t>
        <w:br/>
        <w:t>12ヶ月目標: ¥1,800〜¥1,900</w:t>
        <w:br/>
        <w:br/>
        <w:t>ホルムズ封鎖の早期終息（3ヶ月以内）なら強気に転換し</w:t>
        <w:br/>
        <w:t>¥2,200〜¥2,400が視野に入る。社長、今は焦らず待つ一手。</w:t>
      </w:r>
    </w:p>
    <w:p/>
    <w:p>
      <w:r>
        <w:t>──────────────────────────────────────────────────</w:t>
      </w:r>
    </w:p>
    <w:p/>
    <w:p>
      <w:r>
        <w:rPr>
          <w:rFonts w:ascii="Meiryo UI" w:hAnsi="Meiryo UI"/>
          <w:sz w:val="20"/>
        </w:rPr>
        <w:t>免責事項: 本レポートは竹村トレードカンパニー内部分析用途のみ。投資判断は最終的にご自身の責任で行ってください。財務指標はYahoo Finance（2026-04-13 13:19 JST）取得値を使用。</w:t>
      </w:r>
    </w:p>
    <w:p/>
    <w:p>
      <w:r>
        <w:rPr>
          <w:rFonts w:ascii="Meiryo UI" w:hAnsi="Meiryo UI"/>
          <w:sz w:val="20"/>
        </w:rPr>
        <w:t>アナリスト: 深井 / 竹村トレードカンパニー / 2026-04-13</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2.439%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日本10年国債（JGB10Y）2.439%</w:t>
            </w:r>
          </w:p>
        </w:tc>
      </w:tr>
      <w:tr>
        <w:tc>
          <w:tcPr>
            <w:tcW w:type="dxa" w:w="4703"/>
          </w:tcPr>
          <w:p>
            <w:r>
              <w:rPr>
                <w:rFonts w:ascii="Meiryo UI" w:hAnsi="Meiryo UI"/>
                <w:sz w:val="18"/>
              </w:rPr>
              <w:t>データ取得日時</w:t>
            </w:r>
          </w:p>
        </w:tc>
        <w:tc>
          <w:tcPr>
            <w:tcW w:type="dxa" w:w="4703"/>
          </w:tcPr>
          <w:p>
            <w:r>
              <w:rPr>
                <w:rFonts w:ascii="Meiryo UI" w:hAnsi="Meiryo UI"/>
                <w:sz w:val="18"/>
              </w:rPr>
              <w:t>2026-04-13 13:19 JST（財務省日次 R8.4.10）</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1911_住友林業_HOLD_DeepResearch_20260413.md を出力しました。</w:t>
      </w:r>
    </w:p>
    <w:p>
      <w:r>
        <w:rPr>
          <w:rFonts w:ascii="Meiryo UI" w:hAnsi="Meiryo UI"/>
          <w:sz w:val="20"/>
        </w:rPr>
        <w:t>浅井スコア +0 の銘柄 [1911]住友林業 についてDeepResearch完了。</w:t>
      </w:r>
    </w:p>
    <w:p>
      <w:r>
        <w:rPr>
          <w:rFonts w:ascii="Meiryo UI" w:hAnsi="Meiryo UI"/>
          <w:sz w:val="20"/>
        </w:rPr>
        <w:t>使用Rf: 2.439%（取得: 2026-04-13 13:19 JST（財務省日次 R8.4.10））</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