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Meiryo UI" w:hAnsi="Meiryo UI"/>
          <w:color w:val="2E74B5"/>
          <w:sz w:val="24"/>
        </w:rPr>
        <w:t>竹村トレードカンパニー</w:t>
      </w:r>
    </w:p>
    <w:p/>
    <w:p>
      <w:pPr>
        <w:jc w:val="center"/>
      </w:pPr>
      <w:r>
        <w:rPr>
          <w:rFonts w:ascii="Meiryo UI" w:hAnsi="Meiryo UI"/>
          <w:b/>
          <w:color w:val="1F3864"/>
          <w:sz w:val="40"/>
        </w:rPr>
        <w:t>きんでん（1944）DeepResearch</w:t>
      </w:r>
    </w:p>
    <w:p/>
    <w:p/>
    <w:p>
      <w:pPr>
        <w:jc w:val="center"/>
      </w:pPr>
      <w:r>
        <w:rPr>
          <w:rFonts w:ascii="Meiryo UI" w:hAnsi="Meiryo UI"/>
          <w:sz w:val="24"/>
        </w:rPr>
        <w:t>アナリスト：深井</w:t>
      </w:r>
    </w:p>
    <w:p>
      <w:pPr>
        <w:jc w:val="center"/>
      </w:pPr>
      <w:r>
        <w:rPr>
          <w:rFonts w:ascii="Meiryo UI" w:hAnsi="Meiryo UI"/>
          <w:sz w:val="24"/>
        </w:rPr>
        <w:t>分析日：2026年4月28日</w:t>
      </w:r>
    </w:p>
    <w:p>
      <w:r>
        <w:br w:type="page"/>
      </w:r>
    </w:p>
    <w:p>
      <w:pPr>
        <w:pStyle w:val="Heading1"/>
      </w:pPr>
      <w:r>
        <w:rPr>
          <w:rFonts w:ascii="Meiryo UI" w:hAnsi="Meiryo UI"/>
          <w:color w:val="1F3864"/>
        </w:rPr>
        <w:t>きんでん（1944）DeepResearch</w:t>
      </w:r>
    </w:p>
    <w:p/>
    <w:p>
      <w:r>
        <w:rPr>
          <w:rFonts w:ascii="Meiryo UI" w:hAnsi="Meiryo UI"/>
          <w:sz w:val="20"/>
        </w:rPr>
        <w:t>アナリスト: 深井</w:t>
      </w:r>
    </w:p>
    <w:p>
      <w:r>
        <w:rPr>
          <w:rFonts w:ascii="Meiryo UI" w:hAnsi="Meiryo UI"/>
          <w:sz w:val="20"/>
        </w:rPr>
        <w:t>作成日: 2026年4月28日</w:t>
      </w:r>
    </w:p>
    <w:p>
      <w:r>
        <w:rPr>
          <w:rFonts w:ascii="Meiryo UI" w:hAnsi="Meiryo UI"/>
          <w:sz w:val="20"/>
        </w:rPr>
        <w:t>IRページ: https://www.kinden.co.jp/ir/</w:t>
      </w:r>
    </w:p>
    <w:p>
      <w:r>
        <w:rPr>
          <w:rFonts w:ascii="Meiryo UI" w:hAnsi="Meiryo UI"/>
          <w:sz w:val="20"/>
        </w:rPr>
        <w:t>IRコンタクト: https://www.kinden.co.jp/ir/contact/（竹村トレードカンパニー名義）</w:t>
      </w:r>
    </w:p>
    <w:p/>
    <w:p>
      <w:r>
        <w:t>──────────────────────────────────────────────────</w:t>
      </w:r>
    </w:p>
    <w:p/>
    <w:p>
      <w:pPr>
        <w:pStyle w:val="Heading2"/>
      </w:pPr>
      <w:r>
        <w:rPr>
          <w:rFonts w:ascii="Meiryo UI" w:hAnsi="Meiryo UI"/>
          <w:color w:val="2E74B5"/>
        </w:rPr>
        <w:t>■ 10秒サマリー（結論ファースト）</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項目</w:t>
            </w:r>
          </w:p>
        </w:tc>
        <w:tc>
          <w:tcPr>
            <w:tcW w:type="dxa" w:w="4703"/>
            <w:shd w:val="clear" w:color="auto" w:fill="2E74B5"/>
          </w:tcPr>
          <w:p>
            <w:r>
              <w:rPr>
                <w:rFonts w:ascii="Meiryo UI" w:hAnsi="Meiryo UI"/>
                <w:b/>
                <w:color w:val="FFFFFF"/>
                <w:sz w:val="18"/>
              </w:rPr>
              <w:t>内容</w:t>
            </w:r>
          </w:p>
        </w:tc>
      </w:tr>
      <w:tr>
        <w:tc>
          <w:tcPr>
            <w:tcW w:type="dxa" w:w="4703"/>
          </w:tcPr>
          <w:p>
            <w:r>
              <w:rPr>
                <w:rFonts w:ascii="Meiryo UI" w:hAnsi="Meiryo UI"/>
                <w:sz w:val="18"/>
              </w:rPr>
              <w:t>投資判断</w:t>
            </w:r>
          </w:p>
        </w:tc>
        <w:tc>
          <w:tcPr>
            <w:tcW w:type="dxa" w:w="4703"/>
          </w:tcPr>
          <w:p>
            <w:r>
              <w:rPr>
                <w:rFonts w:ascii="Meiryo UI" w:hAnsi="Meiryo UI"/>
                <w:sz w:val="18"/>
              </w:rPr>
              <w:t>WATCH +58</w:t>
            </w:r>
          </w:p>
        </w:tc>
      </w:tr>
      <w:tr>
        <w:tc>
          <w:tcPr>
            <w:tcW w:type="dxa" w:w="4703"/>
            <w:shd w:val="clear" w:color="auto" w:fill="DDEBF7"/>
          </w:tcPr>
          <w:p>
            <w:r>
              <w:rPr>
                <w:rFonts w:ascii="Meiryo UI" w:hAnsi="Meiryo UI"/>
                <w:sz w:val="18"/>
              </w:rPr>
              <w:t>BaseTP</w:t>
            </w:r>
          </w:p>
        </w:tc>
        <w:tc>
          <w:tcPr>
            <w:tcW w:type="dxa" w:w="4703"/>
            <w:shd w:val="clear" w:color="auto" w:fill="DDEBF7"/>
          </w:tcPr>
          <w:p>
            <w:r>
              <w:rPr>
                <w:rFonts w:ascii="Meiryo UI" w:hAnsi="Meiryo UI"/>
                <w:sz w:val="18"/>
              </w:rPr>
              <w:t>¥7,800（現値+13%）</w:t>
            </w:r>
          </w:p>
        </w:tc>
      </w:tr>
      <w:tr>
        <w:tc>
          <w:tcPr>
            <w:tcW w:type="dxa" w:w="4703"/>
          </w:tcPr>
          <w:p>
            <w:r>
              <w:rPr>
                <w:rFonts w:ascii="Meiryo UI" w:hAnsi="Meiryo UI"/>
                <w:sz w:val="18"/>
              </w:rPr>
              <w:t>BullTP</w:t>
            </w:r>
          </w:p>
        </w:tc>
        <w:tc>
          <w:tcPr>
            <w:tcW w:type="dxa" w:w="4703"/>
          </w:tcPr>
          <w:p>
            <w:r>
              <w:rPr>
                <w:rFonts w:ascii="Meiryo UI" w:hAnsi="Meiryo UI"/>
                <w:sz w:val="18"/>
              </w:rPr>
              <w:t>¥9,000（現値+30%）</w:t>
            </w:r>
          </w:p>
        </w:tc>
      </w:tr>
      <w:tr>
        <w:tc>
          <w:tcPr>
            <w:tcW w:type="dxa" w:w="4703"/>
            <w:shd w:val="clear" w:color="auto" w:fill="DDEBF7"/>
          </w:tcPr>
          <w:p>
            <w:r>
              <w:rPr>
                <w:rFonts w:ascii="Meiryo UI" w:hAnsi="Meiryo UI"/>
                <w:sz w:val="18"/>
              </w:rPr>
              <w:t>安全域</w:t>
            </w:r>
          </w:p>
        </w:tc>
        <w:tc>
          <w:tcPr>
            <w:tcW w:type="dxa" w:w="4703"/>
            <w:shd w:val="clear" w:color="auto" w:fill="DDEBF7"/>
          </w:tcPr>
          <w:p>
            <w:r>
              <w:rPr>
                <w:rFonts w:ascii="Meiryo UI" w:hAnsi="Meiryo UI"/>
                <w:sz w:val="18"/>
              </w:rPr>
              <w:t>決算翌日▲3.9%（売り先行）→ ¥6,800以下で打診</w:t>
            </w:r>
          </w:p>
        </w:tc>
      </w:tr>
      <w:tr>
        <w:tc>
          <w:tcPr>
            <w:tcW w:type="dxa" w:w="4703"/>
          </w:tcPr>
          <w:p>
            <w:r>
              <w:rPr>
                <w:rFonts w:ascii="Meiryo UI" w:hAnsi="Meiryo UI"/>
                <w:sz w:val="18"/>
              </w:rPr>
              <w:t>現在株価</w:t>
            </w:r>
          </w:p>
        </w:tc>
        <w:tc>
          <w:tcPr>
            <w:tcW w:type="dxa" w:w="4703"/>
          </w:tcPr>
          <w:p>
            <w:r>
              <w:rPr>
                <w:rFonts w:ascii="Meiryo UI" w:hAnsi="Meiryo UI"/>
                <w:sz w:val="18"/>
              </w:rPr>
              <w:t>¥6,932（2026/4/27・決算発表日▲3.9%）</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¥5,800</w:t>
            </w:r>
          </w:p>
        </w:tc>
      </w:tr>
    </w:tbl>
    <w:p/>
    <w:p>
      <w:r>
        <w:rPr>
          <w:rFonts w:ascii="Meiryo UI" w:hAnsi="Meiryo UI"/>
          <w:sz w:val="20"/>
        </w:rPr>
        <w:t>3弾丸：</w:t>
      </w:r>
    </w:p>
    <w:p>
      <w:pPr>
        <w:pStyle w:val="ListNumber"/>
      </w:pPr>
      <w:r>
        <w:rPr>
          <w:rFonts w:ascii="Meiryo UI" w:hAnsi="Meiryo UI"/>
          <w:sz w:val="20"/>
        </w:rPr>
        <w:t>FY2026 OP+48%（¥902億）3期連続最高益・DPS¥125（+22.5%）→ データセンター電気工事の爆発的需要が業績に直結。本業は完全に上昇サイクル</w:t>
      </w:r>
    </w:p>
    <w:p>
      <w:pPr>
        <w:pStyle w:val="ListNumber"/>
      </w:pPr>
      <w:r>
        <w:rPr>
          <w:rFonts w:ascii="Meiryo UI" w:hAnsi="Meiryo UI"/>
          <w:sz w:val="20"/>
        </w:rPr>
        <w:t>ナフサ高の影響は限定的→ FY2026の+48%OP成長が「転嫁力」の実証。電線PVC/PE絶縁材コスト上昇分は顧客契約に転嫁済み。主要コスト（銅価格）は上昇だが受注価格に反映</w:t>
      </w:r>
    </w:p>
    <w:p>
      <w:pPr>
        <w:pStyle w:val="ListNumber"/>
      </w:pPr>
      <w:r>
        <w:rPr>
          <w:rFonts w:ascii="Meiryo UI" w:hAnsi="Meiryo UI"/>
          <w:sz w:val="20"/>
        </w:rPr>
        <w:t>FY2027 OP¥970億（+7.5%）ガイダンスは保守的→ 過去3年いずれも実績がガイダンスを大幅上回り。純利益+0.8%の保守的設定は特別税務効果消失が主因と推定</w:t>
      </w:r>
    </w:p>
    <w:p/>
    <w:p>
      <w:r>
        <w:rPr>
          <w:rFonts w:ascii="Meiryo UI" w:hAnsi="Meiryo UI"/>
          <w:sz w:val="20"/>
        </w:rPr>
        <w:t>1リスク： FY2027純利益ガイダンス+0.8%（実質横ばい）が株価の上値を抑制。現値¥6,932はアナリストTPコンセンサス¥5,900を上回っており、割高感が残る。決算売りが示す「期待先行・現実追いつかず」の構図</w:t>
      </w:r>
    </w:p>
    <w:p/>
    <w:p>
      <w:r>
        <w:rPr>
          <w:rFonts w:ascii="Meiryo UI" w:hAnsi="Meiryo UI"/>
          <w:sz w:val="20"/>
        </w:rPr>
        <w:t>推奨アクション：打診なし（WATCH）。¥6,800以下（本日安値近辺）でBUY転換検討。本玉はFY2027 Q1（7月）でOPガイダンス上振れ確認後</w:t>
      </w:r>
    </w:p>
    <w:p/>
    <w:p>
      <w:r>
        <w:t>──────────────────────────────────────────────────</w:t>
      </w:r>
    </w:p>
    <w:p/>
    <w:p>
      <w:pPr>
        <w:pStyle w:val="Heading2"/>
      </w:pPr>
      <w:r>
        <w:rPr>
          <w:rFonts w:ascii="Meiryo UI" w:hAnsi="Meiryo UI"/>
          <w:color w:val="2E74B5"/>
        </w:rPr>
        <w:t>1. FY2026実績（2026年4月27日発表）★最重要★</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指標</w:t>
            </w:r>
          </w:p>
        </w:tc>
        <w:tc>
          <w:tcPr>
            <w:tcW w:type="dxa" w:w="2351"/>
            <w:shd w:val="clear" w:color="auto" w:fill="2E74B5"/>
          </w:tcPr>
          <w:p>
            <w:r>
              <w:rPr>
                <w:rFonts w:ascii="Meiryo UI" w:hAnsi="Meiryo UI"/>
                <w:b/>
                <w:color w:val="FFFFFF"/>
                <w:sz w:val="18"/>
              </w:rPr>
              <w:t>FY2026実績</w:t>
            </w:r>
          </w:p>
        </w:tc>
        <w:tc>
          <w:tcPr>
            <w:tcW w:type="dxa" w:w="2351"/>
            <w:shd w:val="clear" w:color="auto" w:fill="2E74B5"/>
          </w:tcPr>
          <w:p>
            <w:r>
              <w:rPr>
                <w:rFonts w:ascii="Meiryo UI" w:hAnsi="Meiryo UI"/>
                <w:b/>
                <w:color w:val="FFFFFF"/>
                <w:sz w:val="18"/>
              </w:rPr>
              <w:t>対前期</w:t>
            </w:r>
          </w:p>
        </w:tc>
        <w:tc>
          <w:tcPr>
            <w:tcW w:type="dxa" w:w="2351"/>
            <w:shd w:val="clear" w:color="auto" w:fill="2E74B5"/>
          </w:tcPr>
          <w:p>
            <w:r>
              <w:rPr>
                <w:rFonts w:ascii="Meiryo UI" w:hAnsi="Meiryo UI"/>
                <w:b/>
                <w:color w:val="FFFFFF"/>
                <w:sz w:val="18"/>
              </w:rPr>
              <w:t>対コンセンサス</w:t>
            </w:r>
          </w:p>
        </w:tc>
      </w:tr>
      <w:tr>
        <w:tc>
          <w:tcPr>
            <w:tcW w:type="dxa" w:w="2351"/>
          </w:tcPr>
          <w:p>
            <w:r>
              <w:rPr>
                <w:rFonts w:ascii="Meiryo UI" w:hAnsi="Meiryo UI"/>
                <w:sz w:val="18"/>
              </w:rPr>
              <w:t>売上高</w:t>
            </w:r>
          </w:p>
        </w:tc>
        <w:tc>
          <w:tcPr>
            <w:tcW w:type="dxa" w:w="2351"/>
          </w:tcPr>
          <w:p>
            <w:r>
              <w:rPr>
                <w:rFonts w:ascii="Meiryo UI" w:hAnsi="Meiryo UI"/>
                <w:sz w:val="18"/>
              </w:rPr>
              <w:t>¥7,507億</w:t>
            </w:r>
          </w:p>
        </w:tc>
        <w:tc>
          <w:tcPr>
            <w:tcW w:type="dxa" w:w="2351"/>
          </w:tcPr>
          <w:p>
            <w:r>
              <w:rPr>
                <w:rFonts w:ascii="Meiryo UI" w:hAnsi="Meiryo UI"/>
                <w:sz w:val="18"/>
              </w:rPr>
              <w:t>+6.5%</w:t>
            </w:r>
          </w:p>
        </w:tc>
        <w:tc>
          <w:tcPr>
            <w:tcW w:type="dxa" w:w="2351"/>
          </w:tcPr>
          <w:p>
            <w:r>
              <w:rPr>
                <w:rFonts w:ascii="Meiryo UI" w:hAnsi="Meiryo UI"/>
                <w:sz w:val="18"/>
              </w:rPr>
              <w:t>上振れ</w:t>
            </w:r>
          </w:p>
        </w:tc>
      </w:tr>
      <w:tr>
        <w:tc>
          <w:tcPr>
            <w:tcW w:type="dxa" w:w="2351"/>
            <w:shd w:val="clear" w:color="auto" w:fill="DDEBF7"/>
          </w:tcPr>
          <w:p>
            <w:r>
              <w:rPr>
                <w:rFonts w:ascii="Meiryo UI" w:hAnsi="Meiryo UI"/>
                <w:sz w:val="18"/>
              </w:rPr>
              <w:t>営業利益</w:t>
            </w:r>
          </w:p>
        </w:tc>
        <w:tc>
          <w:tcPr>
            <w:tcW w:type="dxa" w:w="2351"/>
            <w:shd w:val="clear" w:color="auto" w:fill="DDEBF7"/>
          </w:tcPr>
          <w:p>
            <w:r>
              <w:rPr>
                <w:rFonts w:ascii="Meiryo UI" w:hAnsi="Meiryo UI"/>
                <w:sz w:val="18"/>
              </w:rPr>
              <w:t>¥902億</w:t>
            </w:r>
          </w:p>
        </w:tc>
        <w:tc>
          <w:tcPr>
            <w:tcW w:type="dxa" w:w="2351"/>
            <w:shd w:val="clear" w:color="auto" w:fill="DDEBF7"/>
          </w:tcPr>
          <w:p>
            <w:r>
              <w:rPr>
                <w:rFonts w:ascii="Meiryo UI" w:hAnsi="Meiryo UI"/>
                <w:sz w:val="18"/>
              </w:rPr>
              <w:t>+48.0%</w:t>
            </w:r>
          </w:p>
        </w:tc>
        <w:tc>
          <w:tcPr>
            <w:tcW w:type="dxa" w:w="2351"/>
            <w:shd w:val="clear" w:color="auto" w:fill="DDEBF7"/>
          </w:tcPr>
          <w:p>
            <w:r>
              <w:rPr>
                <w:rFonts w:ascii="Meiryo UI" w:hAnsi="Meiryo UI"/>
                <w:sz w:val="18"/>
              </w:rPr>
              <w:t>大幅上振れ</w:t>
            </w:r>
          </w:p>
        </w:tc>
      </w:tr>
      <w:tr>
        <w:tc>
          <w:tcPr>
            <w:tcW w:type="dxa" w:w="2351"/>
          </w:tcPr>
          <w:p>
            <w:r>
              <w:rPr>
                <w:rFonts w:ascii="Meiryo UI" w:hAnsi="Meiryo UI"/>
                <w:sz w:val="18"/>
              </w:rPr>
              <w:t>経常利益</w:t>
            </w:r>
          </w:p>
        </w:tc>
        <w:tc>
          <w:tcPr>
            <w:tcW w:type="dxa" w:w="2351"/>
          </w:tcPr>
          <w:p>
            <w:r>
              <w:rPr>
                <w:rFonts w:ascii="Meiryo UI" w:hAnsi="Meiryo UI"/>
                <w:sz w:val="18"/>
              </w:rPr>
              <w:t>¥944億</w:t>
            </w:r>
          </w:p>
        </w:tc>
        <w:tc>
          <w:tcPr>
            <w:tcW w:type="dxa" w:w="2351"/>
          </w:tcPr>
          <w:p>
            <w:r>
              <w:rPr>
                <w:rFonts w:ascii="Meiryo UI" w:hAnsi="Meiryo UI"/>
                <w:sz w:val="18"/>
              </w:rPr>
              <w:t>+46.4%</w:t>
            </w:r>
          </w:p>
        </w:tc>
        <w:tc>
          <w:tcPr>
            <w:tcW w:type="dxa" w:w="2351"/>
          </w:tcPr>
          <w:p>
            <w:r>
              <w:rPr>
                <w:rFonts w:ascii="Meiryo UI" w:hAnsi="Meiryo UI"/>
                <w:sz w:val="18"/>
              </w:rPr>
              <w:t>コンセンサス+5.8%</w:t>
            </w:r>
          </w:p>
        </w:tc>
      </w:tr>
      <w:tr>
        <w:tc>
          <w:tcPr>
            <w:tcW w:type="dxa" w:w="2351"/>
            <w:shd w:val="clear" w:color="auto" w:fill="DDEBF7"/>
          </w:tcPr>
          <w:p>
            <w:r>
              <w:rPr>
                <w:rFonts w:ascii="Meiryo UI" w:hAnsi="Meiryo UI"/>
                <w:sz w:val="18"/>
              </w:rPr>
              <w:t>純利益</w:t>
            </w:r>
          </w:p>
        </w:tc>
        <w:tc>
          <w:tcPr>
            <w:tcW w:type="dxa" w:w="2351"/>
            <w:shd w:val="clear" w:color="auto" w:fill="DDEBF7"/>
          </w:tcPr>
          <w:p>
            <w:r>
              <w:rPr>
                <w:rFonts w:ascii="Meiryo UI" w:hAnsi="Meiryo UI"/>
                <w:sz w:val="18"/>
              </w:rPr>
              <w:t>¥694億</w:t>
            </w:r>
          </w:p>
        </w:tc>
        <w:tc>
          <w:tcPr>
            <w:tcW w:type="dxa" w:w="2351"/>
            <w:shd w:val="clear" w:color="auto" w:fill="DDEBF7"/>
          </w:tcPr>
          <w:p>
            <w:r>
              <w:rPr>
                <w:rFonts w:ascii="Meiryo UI" w:hAnsi="Meiryo UI"/>
                <w:sz w:val="18"/>
              </w:rPr>
              <w:t>+47.0%</w:t>
            </w:r>
          </w:p>
        </w:tc>
        <w:tc>
          <w:tcPr>
            <w:tcW w:type="dxa" w:w="2351"/>
            <w:shd w:val="clear" w:color="auto" w:fill="DDEBF7"/>
          </w:tcPr>
          <w:p>
            <w:r>
              <w:rPr>
                <w:rFonts w:ascii="Meiryo UI" w:hAnsi="Meiryo UI"/>
                <w:sz w:val="18"/>
              </w:rPr>
              <w:t>+5.4%上振れ</w:t>
            </w:r>
          </w:p>
        </w:tc>
      </w:tr>
      <w:tr>
        <w:tc>
          <w:tcPr>
            <w:tcW w:type="dxa" w:w="2351"/>
          </w:tcPr>
          <w:p>
            <w:r>
              <w:rPr>
                <w:rFonts w:ascii="Meiryo UI" w:hAnsi="Meiryo UI"/>
                <w:sz w:val="18"/>
              </w:rPr>
              <w:t>EPS</w:t>
            </w:r>
          </w:p>
        </w:tc>
        <w:tc>
          <w:tcPr>
            <w:tcW w:type="dxa" w:w="2351"/>
          </w:tcPr>
          <w:p>
            <w:r>
              <w:rPr>
                <w:rFonts w:ascii="Meiryo UI" w:hAnsi="Meiryo UI"/>
                <w:sz w:val="18"/>
              </w:rPr>
              <w:t>¥347</w:t>
            </w:r>
          </w:p>
        </w:tc>
        <w:tc>
          <w:tcPr>
            <w:tcW w:type="dxa" w:w="2351"/>
          </w:tcPr>
          <w:p>
            <w:r>
              <w:rPr>
                <w:rFonts w:ascii="Meiryo UI" w:hAnsi="Meiryo UI"/>
                <w:sz w:val="18"/>
              </w:rPr>
              <w:t>+47%</w:t>
            </w:r>
          </w:p>
        </w:tc>
        <w:tc>
          <w:tcPr>
            <w:tcW w:type="dxa" w:w="2351"/>
          </w:tcPr>
          <w:p>
            <w:r>
              <w:rPr>
                <w:rFonts w:ascii="Meiryo UI" w:hAnsi="Meiryo UI"/>
                <w:sz w:val="18"/>
              </w:rPr>
            </w:r>
          </w:p>
        </w:tc>
      </w:tr>
      <w:tr>
        <w:tc>
          <w:tcPr>
            <w:tcW w:type="dxa" w:w="2351"/>
            <w:shd w:val="clear" w:color="auto" w:fill="DDEBF7"/>
          </w:tcPr>
          <w:p>
            <w:r>
              <w:rPr>
                <w:rFonts w:ascii="Meiryo UI" w:hAnsi="Meiryo UI"/>
                <w:sz w:val="18"/>
              </w:rPr>
              <w:t>DPS</w:t>
            </w:r>
          </w:p>
        </w:tc>
        <w:tc>
          <w:tcPr>
            <w:tcW w:type="dxa" w:w="2351"/>
            <w:shd w:val="clear" w:color="auto" w:fill="DDEBF7"/>
          </w:tcPr>
          <w:p>
            <w:r>
              <w:rPr>
                <w:rFonts w:ascii="Meiryo UI" w:hAnsi="Meiryo UI"/>
                <w:sz w:val="18"/>
              </w:rPr>
              <w:t>¥125（期末¥65）</w:t>
            </w:r>
          </w:p>
        </w:tc>
        <w:tc>
          <w:tcPr>
            <w:tcW w:type="dxa" w:w="2351"/>
            <w:shd w:val="clear" w:color="auto" w:fill="DDEBF7"/>
          </w:tcPr>
          <w:p>
            <w:r>
              <w:rPr>
                <w:rFonts w:ascii="Meiryo UI" w:hAnsi="Meiryo UI"/>
                <w:sz w:val="18"/>
              </w:rPr>
              <w:t>+22.5%</w:t>
            </w:r>
          </w:p>
        </w:tc>
        <w:tc>
          <w:tcPr>
            <w:tcW w:type="dxa" w:w="2351"/>
            <w:shd w:val="clear" w:color="auto" w:fill="DDEBF7"/>
          </w:tcPr>
          <w:p>
            <w:r>
              <w:rPr>
                <w:rFonts w:ascii="Meiryo UI" w:hAnsi="Meiryo UI"/>
                <w:sz w:val="18"/>
              </w:rPr>
              <w:t>期中に¥15増額</w:t>
            </w:r>
          </w:p>
        </w:tc>
      </w:tr>
      <w:tr>
        <w:tc>
          <w:tcPr>
            <w:tcW w:type="dxa" w:w="2351"/>
          </w:tcPr>
          <w:p>
            <w:r>
              <w:rPr>
                <w:rFonts w:ascii="Meiryo UI" w:hAnsi="Meiryo UI"/>
                <w:sz w:val="18"/>
              </w:rPr>
              <w:t>OPM</w:t>
            </w:r>
          </w:p>
        </w:tc>
        <w:tc>
          <w:tcPr>
            <w:tcW w:type="dxa" w:w="2351"/>
          </w:tcPr>
          <w:p>
            <w:r>
              <w:rPr>
                <w:rFonts w:ascii="Meiryo UI" w:hAnsi="Meiryo UI"/>
                <w:sz w:val="18"/>
              </w:rPr>
              <w:t>12.0%</w:t>
            </w:r>
          </w:p>
        </w:tc>
        <w:tc>
          <w:tcPr>
            <w:tcW w:type="dxa" w:w="2351"/>
          </w:tcPr>
          <w:p>
            <w:r>
              <w:rPr>
                <w:rFonts w:ascii="Meiryo UI" w:hAnsi="Meiryo UI"/>
                <w:sz w:val="18"/>
              </w:rPr>
              <w:t>+3.5pt</w:t>
            </w:r>
          </w:p>
        </w:tc>
        <w:tc>
          <w:tcPr>
            <w:tcW w:type="dxa" w:w="2351"/>
          </w:tcPr>
          <w:p>
            <w:r>
              <w:rPr>
                <w:rFonts w:ascii="Meiryo UI" w:hAnsi="Meiryo UI"/>
                <w:sz w:val="18"/>
              </w:rPr>
              <w:t>FY2024（8.5%）から急拡大</w:t>
            </w:r>
          </w:p>
        </w:tc>
      </w:tr>
    </w:tbl>
    <w:p/>
    <w:p>
      <w:r>
        <w:rPr>
          <w:rFonts w:ascii="Meiryo UI" w:hAnsi="Meiryo UI"/>
          <w:sz w:val="20"/>
        </w:rPr>
        <w:t>これで3期連続最高益。 FY2024 OP ¥488億 → FY2025 → FY2026 ¥902億と2年で+85%。</w:t>
      </w:r>
    </w:p>
    <w:p/>
    <w:p>
      <w:pPr>
        <w:pStyle w:val="Heading3"/>
      </w:pPr>
      <w:r>
        <w:rPr>
          <w:rFonts w:ascii="Meiryo UI" w:hAnsi="Meiryo UI"/>
          <w:color w:val="2E74B5"/>
        </w:rPr>
        <w:t>四半期トレンド（稼働率確認）</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期間</w:t>
            </w:r>
          </w:p>
        </w:tc>
        <w:tc>
          <w:tcPr>
            <w:tcW w:type="dxa" w:w="2351"/>
            <w:shd w:val="clear" w:color="auto" w:fill="2E74B5"/>
          </w:tcPr>
          <w:p>
            <w:r>
              <w:rPr>
                <w:rFonts w:ascii="Meiryo UI" w:hAnsi="Meiryo UI"/>
                <w:b/>
                <w:color w:val="FFFFFF"/>
                <w:sz w:val="18"/>
              </w:rPr>
              <w:t>売上</w:t>
            </w:r>
          </w:p>
        </w:tc>
        <w:tc>
          <w:tcPr>
            <w:tcW w:type="dxa" w:w="2351"/>
            <w:shd w:val="clear" w:color="auto" w:fill="2E74B5"/>
          </w:tcPr>
          <w:p>
            <w:r>
              <w:rPr>
                <w:rFonts w:ascii="Meiryo UI" w:hAnsi="Meiryo UI"/>
                <w:b/>
                <w:color w:val="FFFFFF"/>
                <w:sz w:val="18"/>
              </w:rPr>
              <w:t>OP</w:t>
            </w:r>
          </w:p>
        </w:tc>
        <w:tc>
          <w:tcPr>
            <w:tcW w:type="dxa" w:w="2351"/>
            <w:shd w:val="clear" w:color="auto" w:fill="2E74B5"/>
          </w:tcPr>
          <w:p>
            <w:r>
              <w:rPr>
                <w:rFonts w:ascii="Meiryo UI" w:hAnsi="Meiryo UI"/>
                <w:b/>
                <w:color w:val="FFFFFF"/>
                <w:sz w:val="18"/>
              </w:rPr>
              <w:t>OPM</w:t>
            </w:r>
          </w:p>
        </w:tc>
      </w:tr>
      <w:tr>
        <w:tc>
          <w:tcPr>
            <w:tcW w:type="dxa" w:w="2351"/>
          </w:tcPr>
          <w:p>
            <w:r>
              <w:rPr>
                <w:rFonts w:ascii="Meiryo UI" w:hAnsi="Meiryo UI"/>
                <w:sz w:val="18"/>
              </w:rPr>
              <w:t>H1 FY2026</w:t>
            </w:r>
          </w:p>
        </w:tc>
        <w:tc>
          <w:tcPr>
            <w:tcW w:type="dxa" w:w="2351"/>
          </w:tcPr>
          <w:p>
            <w:r>
              <w:rPr>
                <w:rFonts w:ascii="Meiryo UI" w:hAnsi="Meiryo UI"/>
                <w:sz w:val="18"/>
              </w:rPr>
              <w:t>¥3,214億</w:t>
            </w:r>
          </w:p>
        </w:tc>
        <w:tc>
          <w:tcPr>
            <w:tcW w:type="dxa" w:w="2351"/>
          </w:tcPr>
          <w:p>
            <w:r>
              <w:rPr>
                <w:rFonts w:ascii="Meiryo UI" w:hAnsi="Meiryo UI"/>
                <w:sz w:val="18"/>
              </w:rPr>
              <w:t>¥319億</w:t>
            </w:r>
          </w:p>
        </w:tc>
        <w:tc>
          <w:tcPr>
            <w:tcW w:type="dxa" w:w="2351"/>
          </w:tcPr>
          <w:p>
            <w:r>
              <w:rPr>
                <w:rFonts w:ascii="Meiryo UI" w:hAnsi="Meiryo UI"/>
                <w:sz w:val="18"/>
              </w:rPr>
              <w:t>9.9%</w:t>
            </w:r>
          </w:p>
        </w:tc>
      </w:tr>
      <w:tr>
        <w:tc>
          <w:tcPr>
            <w:tcW w:type="dxa" w:w="2351"/>
            <w:shd w:val="clear" w:color="auto" w:fill="DDEBF7"/>
          </w:tcPr>
          <w:p>
            <w:r>
              <w:rPr>
                <w:rFonts w:ascii="Meiryo UI" w:hAnsi="Meiryo UI"/>
                <w:sz w:val="18"/>
              </w:rPr>
              <w:t>Q3 FY2026（9ヶ月）</w:t>
            </w:r>
          </w:p>
        </w:tc>
        <w:tc>
          <w:tcPr>
            <w:tcW w:type="dxa" w:w="2351"/>
            <w:shd w:val="clear" w:color="auto" w:fill="DDEBF7"/>
          </w:tcPr>
          <w:p>
            <w:r>
              <w:rPr>
                <w:rFonts w:ascii="Meiryo UI" w:hAnsi="Meiryo UI"/>
                <w:sz w:val="18"/>
              </w:rPr>
              <w:t>¥4,993億</w:t>
            </w:r>
          </w:p>
        </w:tc>
        <w:tc>
          <w:tcPr>
            <w:tcW w:type="dxa" w:w="2351"/>
            <w:shd w:val="clear" w:color="auto" w:fill="DDEBF7"/>
          </w:tcPr>
          <w:p>
            <w:r>
              <w:rPr>
                <w:rFonts w:ascii="Meiryo UI" w:hAnsi="Meiryo UI"/>
                <w:sz w:val="18"/>
              </w:rPr>
              <w:t>¥520億</w:t>
            </w:r>
          </w:p>
        </w:tc>
        <w:tc>
          <w:tcPr>
            <w:tcW w:type="dxa" w:w="2351"/>
            <w:shd w:val="clear" w:color="auto" w:fill="DDEBF7"/>
          </w:tcPr>
          <w:p>
            <w:r>
              <w:rPr>
                <w:rFonts w:ascii="Meiryo UI" w:hAnsi="Meiryo UI"/>
                <w:sz w:val="18"/>
              </w:rPr>
              <w:t>10.4%</w:t>
            </w:r>
          </w:p>
        </w:tc>
      </w:tr>
      <w:tr>
        <w:tc>
          <w:tcPr>
            <w:tcW w:type="dxa" w:w="2351"/>
          </w:tcPr>
          <w:p>
            <w:r>
              <w:rPr>
                <w:rFonts w:ascii="Meiryo UI" w:hAnsi="Meiryo UI"/>
                <w:sz w:val="18"/>
              </w:rPr>
              <w:t>FY2026通期</w:t>
            </w:r>
          </w:p>
        </w:tc>
        <w:tc>
          <w:tcPr>
            <w:tcW w:type="dxa" w:w="2351"/>
          </w:tcPr>
          <w:p>
            <w:r>
              <w:rPr>
                <w:rFonts w:ascii="Meiryo UI" w:hAnsi="Meiryo UI"/>
                <w:sz w:val="18"/>
              </w:rPr>
              <w:t>¥7,507億</w:t>
            </w:r>
          </w:p>
        </w:tc>
        <w:tc>
          <w:tcPr>
            <w:tcW w:type="dxa" w:w="2351"/>
          </w:tcPr>
          <w:p>
            <w:r>
              <w:rPr>
                <w:rFonts w:ascii="Meiryo UI" w:hAnsi="Meiryo UI"/>
                <w:sz w:val="18"/>
              </w:rPr>
              <w:t>¥902億</w:t>
            </w:r>
          </w:p>
        </w:tc>
        <w:tc>
          <w:tcPr>
            <w:tcW w:type="dxa" w:w="2351"/>
          </w:tcPr>
          <w:p>
            <w:r>
              <w:rPr>
                <w:rFonts w:ascii="Meiryo UI" w:hAnsi="Meiryo UI"/>
                <w:sz w:val="18"/>
              </w:rPr>
              <w:t>12.0%</w:t>
            </w:r>
          </w:p>
        </w:tc>
      </w:tr>
    </w:tbl>
    <w:p/>
    <w:p>
      <w:r>
        <w:rPr>
          <w:rFonts w:ascii="Meiryo UI" w:hAnsi="Meiryo UI"/>
          <w:sz w:val="20"/>
        </w:rPr>
        <w:t>Q4（1〜3月）のみ: 売上¥2,514億、OP¥382億、OPM 15.2% → 大型案件完工集中で最高水準OPM</w:t>
      </w:r>
    </w:p>
    <w:p/>
    <w:p>
      <w:r>
        <w:t>──────────────────────────────────────────────────</w:t>
      </w:r>
    </w:p>
    <w:p/>
    <w:p>
      <w:pPr>
        <w:pStyle w:val="Heading2"/>
      </w:pPr>
      <w:r>
        <w:rPr>
          <w:rFonts w:ascii="Meiryo UI" w:hAnsi="Meiryo UI"/>
          <w:color w:val="2E74B5"/>
        </w:rPr>
        <w:t>2. FY2027ガイダンス（2026年4月27日発表）</w:t>
      </w:r>
    </w:p>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val="clear" w:color="auto" w:fill="2E74B5"/>
          </w:tcPr>
          <w:p>
            <w:r>
              <w:rPr>
                <w:rFonts w:ascii="Meiryo UI" w:hAnsi="Meiryo UI"/>
                <w:b/>
                <w:color w:val="FFFFFF"/>
                <w:sz w:val="18"/>
              </w:rPr>
              <w:t>指標</w:t>
            </w:r>
          </w:p>
        </w:tc>
        <w:tc>
          <w:tcPr>
            <w:tcW w:type="dxa" w:w="1881"/>
            <w:shd w:val="clear" w:color="auto" w:fill="2E74B5"/>
          </w:tcPr>
          <w:p>
            <w:r>
              <w:rPr>
                <w:rFonts w:ascii="Meiryo UI" w:hAnsi="Meiryo UI"/>
                <w:b/>
                <w:color w:val="FFFFFF"/>
                <w:sz w:val="18"/>
              </w:rPr>
              <w:t>FY2027ガイダンス</w:t>
            </w:r>
          </w:p>
        </w:tc>
        <w:tc>
          <w:tcPr>
            <w:tcW w:type="dxa" w:w="1881"/>
            <w:shd w:val="clear" w:color="auto" w:fill="2E74B5"/>
          </w:tcPr>
          <w:p>
            <w:r>
              <w:rPr>
                <w:rFonts w:ascii="Meiryo UI" w:hAnsi="Meiryo UI"/>
                <w:b/>
                <w:color w:val="FFFFFF"/>
                <w:sz w:val="18"/>
              </w:rPr>
              <w:t>前期実績</w:t>
            </w:r>
          </w:p>
        </w:tc>
        <w:tc>
          <w:tcPr>
            <w:tcW w:type="dxa" w:w="1881"/>
            <w:shd w:val="clear" w:color="auto" w:fill="2E74B5"/>
          </w:tcPr>
          <w:p>
            <w:r>
              <w:rPr>
                <w:rFonts w:ascii="Meiryo UI" w:hAnsi="Meiryo UI"/>
                <w:b/>
                <w:color w:val="FFFFFF"/>
                <w:sz w:val="18"/>
              </w:rPr>
              <w:t>成長率</w:t>
            </w:r>
          </w:p>
        </w:tc>
        <w:tc>
          <w:tcPr>
            <w:tcW w:type="dxa" w:w="1881"/>
            <w:shd w:val="clear" w:color="auto" w:fill="2E74B5"/>
          </w:tcPr>
          <w:p>
            <w:r>
              <w:rPr>
                <w:rFonts w:ascii="Meiryo UI" w:hAnsi="Meiryo UI"/>
                <w:b/>
                <w:color w:val="FFFFFF"/>
                <w:sz w:val="18"/>
              </w:rPr>
              <w:t>分析</w:t>
            </w:r>
          </w:p>
        </w:tc>
      </w:tr>
      <w:tr>
        <w:tc>
          <w:tcPr>
            <w:tcW w:type="dxa" w:w="1881"/>
          </w:tcPr>
          <w:p>
            <w:r>
              <w:rPr>
                <w:rFonts w:ascii="Meiryo UI" w:hAnsi="Meiryo UI"/>
                <w:sz w:val="18"/>
              </w:rPr>
              <w:t>売上高</w:t>
            </w:r>
          </w:p>
        </w:tc>
        <w:tc>
          <w:tcPr>
            <w:tcW w:type="dxa" w:w="1881"/>
          </w:tcPr>
          <w:p>
            <w:r>
              <w:rPr>
                <w:rFonts w:ascii="Meiryo UI" w:hAnsi="Meiryo UI"/>
                <w:sz w:val="18"/>
              </w:rPr>
              <w:t>¥8,100億</w:t>
            </w:r>
          </w:p>
        </w:tc>
        <w:tc>
          <w:tcPr>
            <w:tcW w:type="dxa" w:w="1881"/>
          </w:tcPr>
          <w:p>
            <w:r>
              <w:rPr>
                <w:rFonts w:ascii="Meiryo UI" w:hAnsi="Meiryo UI"/>
                <w:sz w:val="18"/>
              </w:rPr>
              <w:t>¥7,507億</w:t>
            </w:r>
          </w:p>
        </w:tc>
        <w:tc>
          <w:tcPr>
            <w:tcW w:type="dxa" w:w="1881"/>
          </w:tcPr>
          <w:p>
            <w:r>
              <w:rPr>
                <w:rFonts w:ascii="Meiryo UI" w:hAnsi="Meiryo UI"/>
                <w:sz w:val="18"/>
              </w:rPr>
              <w:t>+7.9%</w:t>
            </w:r>
          </w:p>
        </w:tc>
        <w:tc>
          <w:tcPr>
            <w:tcW w:type="dxa" w:w="1881"/>
          </w:tcPr>
          <w:p>
            <w:r>
              <w:rPr>
                <w:rFonts w:ascii="Meiryo UI" w:hAnsi="Meiryo UI"/>
                <w:sz w:val="18"/>
              </w:rPr>
              <w:t>受注残積み上げ反映</w:t>
            </w:r>
          </w:p>
        </w:tc>
      </w:tr>
      <w:tr>
        <w:tc>
          <w:tcPr>
            <w:tcW w:type="dxa" w:w="1881"/>
            <w:shd w:val="clear" w:color="auto" w:fill="DDEBF7"/>
          </w:tcPr>
          <w:p>
            <w:r>
              <w:rPr>
                <w:rFonts w:ascii="Meiryo UI" w:hAnsi="Meiryo UI"/>
                <w:sz w:val="18"/>
              </w:rPr>
              <w:t>営業利益</w:t>
            </w:r>
          </w:p>
        </w:tc>
        <w:tc>
          <w:tcPr>
            <w:tcW w:type="dxa" w:w="1881"/>
            <w:shd w:val="clear" w:color="auto" w:fill="DDEBF7"/>
          </w:tcPr>
          <w:p>
            <w:r>
              <w:rPr>
                <w:rFonts w:ascii="Meiryo UI" w:hAnsi="Meiryo UI"/>
                <w:sz w:val="18"/>
              </w:rPr>
              <w:t>¥970億</w:t>
            </w:r>
          </w:p>
        </w:tc>
        <w:tc>
          <w:tcPr>
            <w:tcW w:type="dxa" w:w="1881"/>
            <w:shd w:val="clear" w:color="auto" w:fill="DDEBF7"/>
          </w:tcPr>
          <w:p>
            <w:r>
              <w:rPr>
                <w:rFonts w:ascii="Meiryo UI" w:hAnsi="Meiryo UI"/>
                <w:sz w:val="18"/>
              </w:rPr>
              <w:t>¥902億</w:t>
            </w:r>
          </w:p>
        </w:tc>
        <w:tc>
          <w:tcPr>
            <w:tcW w:type="dxa" w:w="1881"/>
            <w:shd w:val="clear" w:color="auto" w:fill="DDEBF7"/>
          </w:tcPr>
          <w:p>
            <w:r>
              <w:rPr>
                <w:rFonts w:ascii="Meiryo UI" w:hAnsi="Meiryo UI"/>
                <w:sz w:val="18"/>
              </w:rPr>
              <w:t>+7.5%</w:t>
            </w:r>
          </w:p>
        </w:tc>
        <w:tc>
          <w:tcPr>
            <w:tcW w:type="dxa" w:w="1881"/>
            <w:shd w:val="clear" w:color="auto" w:fill="DDEBF7"/>
          </w:tcPr>
          <w:p>
            <w:r>
              <w:rPr>
                <w:rFonts w:ascii="Meiryo UI" w:hAnsi="Meiryo UI"/>
                <w:sz w:val="18"/>
              </w:rPr>
              <w:t>保守的。過去3年全て上振れ</w:t>
            </w:r>
          </w:p>
        </w:tc>
      </w:tr>
      <w:tr>
        <w:tc>
          <w:tcPr>
            <w:tcW w:type="dxa" w:w="1881"/>
          </w:tcPr>
          <w:p>
            <w:r>
              <w:rPr>
                <w:rFonts w:ascii="Meiryo UI" w:hAnsi="Meiryo UI"/>
                <w:sz w:val="18"/>
              </w:rPr>
              <w:t>経常利益</w:t>
            </w:r>
          </w:p>
        </w:tc>
        <w:tc>
          <w:tcPr>
            <w:tcW w:type="dxa" w:w="1881"/>
          </w:tcPr>
          <w:p>
            <w:r>
              <w:rPr>
                <w:rFonts w:ascii="Meiryo UI" w:hAnsi="Meiryo UI"/>
                <w:sz w:val="18"/>
              </w:rPr>
              <w:t>¥960億</w:t>
            </w:r>
          </w:p>
        </w:tc>
        <w:tc>
          <w:tcPr>
            <w:tcW w:type="dxa" w:w="1881"/>
          </w:tcPr>
          <w:p>
            <w:r>
              <w:rPr>
                <w:rFonts w:ascii="Meiryo UI" w:hAnsi="Meiryo UI"/>
                <w:sz w:val="18"/>
              </w:rPr>
              <w:t>¥944億</w:t>
            </w:r>
          </w:p>
        </w:tc>
        <w:tc>
          <w:tcPr>
            <w:tcW w:type="dxa" w:w="1881"/>
          </w:tcPr>
          <w:p>
            <w:r>
              <w:rPr>
                <w:rFonts w:ascii="Meiryo UI" w:hAnsi="Meiryo UI"/>
                <w:sz w:val="18"/>
              </w:rPr>
              <w:t>+1.6%</w:t>
            </w:r>
          </w:p>
        </w:tc>
        <w:tc>
          <w:tcPr>
            <w:tcW w:type="dxa" w:w="1881"/>
          </w:tcPr>
          <w:p>
            <w:r>
              <w:rPr>
                <w:rFonts w:ascii="Meiryo UI" w:hAnsi="Meiryo UI"/>
                <w:sz w:val="18"/>
              </w:rPr>
              <w:t>OP増加に反し圧縮 ← 注目</w:t>
            </w:r>
          </w:p>
        </w:tc>
      </w:tr>
      <w:tr>
        <w:tc>
          <w:tcPr>
            <w:tcW w:type="dxa" w:w="1881"/>
            <w:shd w:val="clear" w:color="auto" w:fill="DDEBF7"/>
          </w:tcPr>
          <w:p>
            <w:r>
              <w:rPr>
                <w:rFonts w:ascii="Meiryo UI" w:hAnsi="Meiryo UI"/>
                <w:sz w:val="18"/>
              </w:rPr>
              <w:t>純利益</w:t>
            </w:r>
          </w:p>
        </w:tc>
        <w:tc>
          <w:tcPr>
            <w:tcW w:type="dxa" w:w="1881"/>
            <w:shd w:val="clear" w:color="auto" w:fill="DDEBF7"/>
          </w:tcPr>
          <w:p>
            <w:r>
              <w:rPr>
                <w:rFonts w:ascii="Meiryo UI" w:hAnsi="Meiryo UI"/>
                <w:sz w:val="18"/>
              </w:rPr>
              <w:t>¥700億</w:t>
            </w:r>
          </w:p>
        </w:tc>
        <w:tc>
          <w:tcPr>
            <w:tcW w:type="dxa" w:w="1881"/>
            <w:shd w:val="clear" w:color="auto" w:fill="DDEBF7"/>
          </w:tcPr>
          <w:p>
            <w:r>
              <w:rPr>
                <w:rFonts w:ascii="Meiryo UI" w:hAnsi="Meiryo UI"/>
                <w:sz w:val="18"/>
              </w:rPr>
              <w:t>¥694億</w:t>
            </w:r>
          </w:p>
        </w:tc>
        <w:tc>
          <w:tcPr>
            <w:tcW w:type="dxa" w:w="1881"/>
            <w:shd w:val="clear" w:color="auto" w:fill="DDEBF7"/>
          </w:tcPr>
          <w:p>
            <w:r>
              <w:rPr>
                <w:rFonts w:ascii="Meiryo UI" w:hAnsi="Meiryo UI"/>
                <w:sz w:val="18"/>
              </w:rPr>
              <w:t>+0.8%（実質横ばい）</w:t>
            </w:r>
          </w:p>
        </w:tc>
        <w:tc>
          <w:tcPr>
            <w:tcW w:type="dxa" w:w="1881"/>
            <w:shd w:val="clear" w:color="auto" w:fill="DDEBF7"/>
          </w:tcPr>
          <w:p>
            <w:r>
              <w:rPr>
                <w:rFonts w:ascii="Meiryo UI" w:hAnsi="Meiryo UI"/>
                <w:sz w:val="18"/>
              </w:rPr>
              <w:t>← 株価下落の主因</w:t>
            </w:r>
          </w:p>
        </w:tc>
      </w:tr>
      <w:tr>
        <w:tc>
          <w:tcPr>
            <w:tcW w:type="dxa" w:w="1881"/>
          </w:tcPr>
          <w:p>
            <w:r>
              <w:rPr>
                <w:rFonts w:ascii="Meiryo UI" w:hAnsi="Meiryo UI"/>
                <w:sz w:val="18"/>
              </w:rPr>
              <w:t>EPS想定</w:t>
            </w:r>
          </w:p>
        </w:tc>
        <w:tc>
          <w:tcPr>
            <w:tcW w:type="dxa" w:w="1881"/>
          </w:tcPr>
          <w:p>
            <w:r>
              <w:rPr>
                <w:rFonts w:ascii="Meiryo UI" w:hAnsi="Meiryo UI"/>
                <w:sz w:val="18"/>
              </w:rPr>
              <w:t>¥350</w:t>
            </w:r>
          </w:p>
        </w:tc>
        <w:tc>
          <w:tcPr>
            <w:tcW w:type="dxa" w:w="1881"/>
          </w:tcPr>
          <w:p>
            <w:r>
              <w:rPr>
                <w:rFonts w:ascii="Meiryo UI" w:hAnsi="Meiryo UI"/>
                <w:sz w:val="18"/>
              </w:rPr>
              <w:t>¥347</w:t>
            </w:r>
          </w:p>
        </w:tc>
        <w:tc>
          <w:tcPr>
            <w:tcW w:type="dxa" w:w="1881"/>
          </w:tcPr>
          <w:p>
            <w:r>
              <w:rPr>
                <w:rFonts w:ascii="Meiryo UI" w:hAnsi="Meiryo UI"/>
                <w:sz w:val="18"/>
              </w:rPr>
              <w:t>+0.9%</w:t>
            </w:r>
          </w:p>
        </w:tc>
        <w:tc>
          <w:tcPr>
            <w:tcW w:type="dxa" w:w="1881"/>
          </w:tcPr>
          <w:p>
            <w:r>
              <w:rPr>
                <w:rFonts w:ascii="Meiryo UI" w:hAnsi="Meiryo UI"/>
                <w:sz w:val="18"/>
              </w:rPr>
            </w:r>
          </w:p>
        </w:tc>
      </w:tr>
    </w:tbl>
    <w:p/>
    <w:p>
      <w:r>
        <w:rPr>
          <w:rFonts w:ascii="Meiryo UI" w:hAnsi="Meiryo UI"/>
          <w:sz w:val="20"/>
        </w:rPr>
        <w:t>⚠️ 純利益ガイダンス+0.8%の解析:</w:t>
      </w:r>
    </w:p>
    <w:p>
      <w:pPr>
        <w:pStyle w:val="ListBullet"/>
      </w:pPr>
      <w:r>
        <w:rPr>
          <w:rFonts w:ascii="Meiryo UI" w:hAnsi="Meiryo UI"/>
          <w:sz w:val="20"/>
        </w:rPr>
        <w:t>FY2026には関係会社売却益・税務上の特殊要因等の可能性</w:t>
      </w:r>
    </w:p>
    <w:p>
      <w:pPr>
        <w:pStyle w:val="ListBullet"/>
      </w:pPr>
      <w:r>
        <w:rPr>
          <w:rFonts w:ascii="Meiryo UI" w:hAnsi="Meiryo UI"/>
          <w:sz w:val="20"/>
        </w:rPr>
        <w:t>実質OPM維持（¥970億/¥8,100億 = 12.0%）であれば本業は問題なし</w:t>
      </w:r>
    </w:p>
    <w:p>
      <w:pPr>
        <w:pStyle w:val="ListBullet"/>
      </w:pPr>
      <w:r>
        <w:rPr>
          <w:rFonts w:ascii="Meiryo UI" w:hAnsi="Meiryo UI"/>
          <w:sz w:val="20"/>
        </w:rPr>
        <w:t>過去3期平均のガイダンスvs実績乖離率：+30〜50%超</w:t>
      </w:r>
    </w:p>
    <w:p>
      <w:pPr>
        <w:pStyle w:val="ListBullet"/>
      </w:pPr>
      <w:r>
        <w:rPr>
          <w:rFonts w:ascii="Meiryo UI" w:hAnsi="Meiryo UI"/>
          <w:sz w:val="20"/>
        </w:rPr>
        <w:t>FY2027の実態は OP ¥1,200〜1,300億 到達の可能性</w:t>
      </w:r>
    </w:p>
    <w:p/>
    <w:p>
      <w:r>
        <w:t>──────────────────────────────────────────────────</w:t>
      </w:r>
    </w:p>
    <w:p/>
    <w:p>
      <w:pPr>
        <w:pStyle w:val="Heading2"/>
      </w:pPr>
      <w:r>
        <w:rPr>
          <w:rFonts w:ascii="Meiryo UI" w:hAnsi="Meiryo UI"/>
          <w:color w:val="2E74B5"/>
        </w:rPr>
        <w:t>3. ナフサ危機の影響分析 ★ユーザー要請回答★</w:t>
      </w:r>
    </w:p>
    <w:p/>
    <w:p>
      <w:pPr>
        <w:pStyle w:val="Heading3"/>
      </w:pPr>
      <w:r>
        <w:rPr>
          <w:rFonts w:ascii="Meiryo UI" w:hAnsi="Meiryo UI"/>
          <w:color w:val="2E74B5"/>
        </w:rPr>
        <w:t>きんでんのサプライチェーンとナフサ接点</w:t>
      </w:r>
    </w:p>
    <w:p/>
    <w:p>
      <w:pPr>
        <w:shd w:val="clear" w:color="auto" w:fill="F2F2F2"/>
      </w:pPr>
      <w:r>
        <w:rPr>
          <w:rFonts w:ascii="Courier New" w:hAnsi="Courier New"/>
          <w:sz w:val="16"/>
        </w:rPr>
        <w:t>ナフサ（原油）</w:t>
        <w:br/>
        <w:t xml:space="preserve">  ↓</w:t>
        <w:br/>
        <w:t>エチレン・プロピレン</w:t>
        <w:br/>
        <w:t xml:space="preserve">  ↓</w:t>
        <w:br/>
        <w:t>PVC（ポリ塩化ビニル）・PE（ポリエチレン）← 電線被覆材</w:t>
        <w:br/>
        <w:t xml:space="preserve">  ↓</w:t>
        <w:br/>
        <w:t>電線メーカー（古河電工5801・住友電工5802）← 値上げ中</w:t>
        <w:br/>
        <w:t xml:space="preserve">  ↓</w:t>
        <w:br/>
        <w:t>きんでん（1944）← 材料調達コスト増</w:t>
        <w:br/>
        <w:t xml:space="preserve">  ↓</w:t>
        <w:br/>
        <w:t>顧客（データセンター・電力会社）← 転嫁</w:t>
      </w:r>
    </w:p>
    <w:p/>
    <w:p>
      <w:pPr>
        <w:pStyle w:val="Heading3"/>
      </w:pPr>
      <w:r>
        <w:rPr>
          <w:rFonts w:ascii="Meiryo UI" w:hAnsi="Meiryo UI"/>
          <w:color w:val="2E74B5"/>
        </w:rPr>
        <w:t>直接影響：限定的（転嫁済み）</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コスト項目</w:t>
            </w:r>
          </w:p>
        </w:tc>
        <w:tc>
          <w:tcPr>
            <w:tcW w:type="dxa" w:w="2351"/>
            <w:shd w:val="clear" w:color="auto" w:fill="2E74B5"/>
          </w:tcPr>
          <w:p>
            <w:r>
              <w:rPr>
                <w:rFonts w:ascii="Meiryo UI" w:hAnsi="Meiryo UI"/>
                <w:b/>
                <w:color w:val="FFFFFF"/>
                <w:sz w:val="18"/>
              </w:rPr>
              <w:t>ナフサ依存度</w:t>
            </w:r>
          </w:p>
        </w:tc>
        <w:tc>
          <w:tcPr>
            <w:tcW w:type="dxa" w:w="2351"/>
            <w:shd w:val="clear" w:color="auto" w:fill="2E74B5"/>
          </w:tcPr>
          <w:p>
            <w:r>
              <w:rPr>
                <w:rFonts w:ascii="Meiryo UI" w:hAnsi="Meiryo UI"/>
                <w:b/>
                <w:color w:val="FFFFFF"/>
                <w:sz w:val="18"/>
              </w:rPr>
              <w:t>きんでんの転嫁力</w:t>
            </w:r>
          </w:p>
        </w:tc>
        <w:tc>
          <w:tcPr>
            <w:tcW w:type="dxa" w:w="2351"/>
            <w:shd w:val="clear" w:color="auto" w:fill="2E74B5"/>
          </w:tcPr>
          <w:p>
            <w:r>
              <w:rPr>
                <w:rFonts w:ascii="Meiryo UI" w:hAnsi="Meiryo UI"/>
                <w:b/>
                <w:color w:val="FFFFFF"/>
                <w:sz w:val="18"/>
              </w:rPr>
              <w:t>現況</w:t>
            </w:r>
          </w:p>
        </w:tc>
      </w:tr>
      <w:tr>
        <w:tc>
          <w:tcPr>
            <w:tcW w:type="dxa" w:w="2351"/>
          </w:tcPr>
          <w:p>
            <w:r>
              <w:rPr>
                <w:rFonts w:ascii="Meiryo UI" w:hAnsi="Meiryo UI"/>
                <w:sz w:val="18"/>
              </w:rPr>
              <w:t>電線PVC被覆（絶縁材）</w:t>
            </w:r>
          </w:p>
        </w:tc>
        <w:tc>
          <w:tcPr>
            <w:tcW w:type="dxa" w:w="2351"/>
          </w:tcPr>
          <w:p>
            <w:r>
              <w:rPr>
                <w:rFonts w:ascii="Meiryo UI" w:hAnsi="Meiryo UI"/>
                <w:sz w:val="18"/>
              </w:rPr>
              <w:t>高</w:t>
            </w:r>
          </w:p>
        </w:tc>
        <w:tc>
          <w:tcPr>
            <w:tcW w:type="dxa" w:w="2351"/>
          </w:tcPr>
          <w:p>
            <w:r>
              <w:rPr>
                <w:rFonts w:ascii="Meiryo UI" w:hAnsi="Meiryo UI"/>
                <w:sz w:val="18"/>
              </w:rPr>
              <w:t>高（新規受注価格に反映）</w:t>
            </w:r>
          </w:p>
        </w:tc>
        <w:tc>
          <w:tcPr>
            <w:tcW w:type="dxa" w:w="2351"/>
          </w:tcPr>
          <w:p>
            <w:r>
              <w:rPr>
                <w:rFonts w:ascii="Meiryo UI" w:hAnsi="Meiryo UI"/>
                <w:sz w:val="18"/>
              </w:rPr>
              <w:t>コスト増だが転嫁</w:t>
            </w:r>
          </w:p>
        </w:tc>
      </w:tr>
      <w:tr>
        <w:tc>
          <w:tcPr>
            <w:tcW w:type="dxa" w:w="2351"/>
            <w:shd w:val="clear" w:color="auto" w:fill="DDEBF7"/>
          </w:tcPr>
          <w:p>
            <w:r>
              <w:rPr>
                <w:rFonts w:ascii="Meiryo UI" w:hAnsi="Meiryo UI"/>
                <w:sz w:val="18"/>
              </w:rPr>
              <w:t>電線PE被覆</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同上</w:t>
            </w:r>
          </w:p>
        </w:tc>
      </w:tr>
      <w:tr>
        <w:tc>
          <w:tcPr>
            <w:tcW w:type="dxa" w:w="2351"/>
          </w:tcPr>
          <w:p>
            <w:r>
              <w:rPr>
                <w:rFonts w:ascii="Meiryo UI" w:hAnsi="Meiryo UI"/>
                <w:sz w:val="18"/>
              </w:rPr>
              <w:t>プラスチック管材</w:t>
            </w:r>
          </w:p>
        </w:tc>
        <w:tc>
          <w:tcPr>
            <w:tcW w:type="dxa" w:w="2351"/>
          </w:tcPr>
          <w:p>
            <w:r>
              <w:rPr>
                <w:rFonts w:ascii="Meiryo UI" w:hAnsi="Meiryo UI"/>
                <w:sz w:val="18"/>
              </w:rPr>
              <w:t>高</w:t>
            </w:r>
          </w:p>
        </w:tc>
        <w:tc>
          <w:tcPr>
            <w:tcW w:type="dxa" w:w="2351"/>
          </w:tcPr>
          <w:p>
            <w:r>
              <w:rPr>
                <w:rFonts w:ascii="Meiryo UI" w:hAnsi="Meiryo UI"/>
                <w:sz w:val="18"/>
              </w:rPr>
              <w:t>中</w:t>
            </w:r>
          </w:p>
        </w:tc>
        <w:tc>
          <w:tcPr>
            <w:tcW w:type="dxa" w:w="2351"/>
          </w:tcPr>
          <w:p>
            <w:r>
              <w:rPr>
                <w:rFonts w:ascii="Meiryo UI" w:hAnsi="Meiryo UI"/>
                <w:sz w:val="18"/>
              </w:rPr>
              <w:t>コスト圧力あり</w:t>
            </w:r>
          </w:p>
        </w:tc>
      </w:tr>
      <w:tr>
        <w:tc>
          <w:tcPr>
            <w:tcW w:type="dxa" w:w="2351"/>
            <w:shd w:val="clear" w:color="auto" w:fill="DDEBF7"/>
          </w:tcPr>
          <w:p>
            <w:r>
              <w:rPr>
                <w:rFonts w:ascii="Meiryo UI" w:hAnsi="Meiryo UI"/>
                <w:sz w:val="18"/>
              </w:rPr>
              <w:t>銅・アルミ電線（主要コスト）</w:t>
            </w:r>
          </w:p>
        </w:tc>
        <w:tc>
          <w:tcPr>
            <w:tcW w:type="dxa" w:w="2351"/>
            <w:shd w:val="clear" w:color="auto" w:fill="DDEBF7"/>
          </w:tcPr>
          <w:p>
            <w:r>
              <w:rPr>
                <w:rFonts w:ascii="Meiryo UI" w:hAnsi="Meiryo UI"/>
                <w:sz w:val="18"/>
              </w:rPr>
              <w:t>ゼロ（非ナフサ）</w:t>
            </w:r>
          </w:p>
        </w:tc>
        <w:tc>
          <w:tcPr>
            <w:tcW w:type="dxa" w:w="2351"/>
            <w:shd w:val="clear" w:color="auto" w:fill="DDEBF7"/>
          </w:tcPr>
          <w:p>
            <w:r>
              <w:rPr>
                <w:rFonts w:ascii="Meiryo UI" w:hAnsi="Meiryo UI"/>
                <w:sz w:val="18"/>
              </w:rPr>
              <w:t>高</w:t>
            </w:r>
          </w:p>
        </w:tc>
        <w:tc>
          <w:tcPr>
            <w:tcW w:type="dxa" w:w="2351"/>
            <w:shd w:val="clear" w:color="auto" w:fill="DDEBF7"/>
          </w:tcPr>
          <w:p>
            <w:r>
              <w:rPr>
                <w:rFonts w:ascii="Meiryo UI" w:hAnsi="Meiryo UI"/>
                <w:sz w:val="18"/>
              </w:rPr>
              <w:t>銅高だが転嫁</w:t>
            </w:r>
          </w:p>
        </w:tc>
      </w:tr>
    </w:tbl>
    <w:p/>
    <w:p>
      <w:pPr>
        <w:pStyle w:val="Heading3"/>
      </w:pPr>
      <w:r>
        <w:rPr>
          <w:rFonts w:ascii="Meiryo UI" w:hAnsi="Meiryo UI"/>
          <w:color w:val="2E74B5"/>
        </w:rPr>
        <w:t>実証データ：転嫁力確認済み</w:t>
      </w:r>
    </w:p>
    <w:p/>
    <w:p>
      <w:r>
        <w:rPr>
          <w:rFonts w:ascii="Meiryo UI" w:hAnsi="Meiryo UI"/>
          <w:sz w:val="20"/>
        </w:rPr>
        <w:t>FY2026 OP +48%（¥902億）はナフサ危機勃発後の数字。</w:t>
      </w:r>
    </w:p>
    <w:p>
      <w:pPr>
        <w:pStyle w:val="ListBullet"/>
      </w:pPr>
      <w:r>
        <w:rPr>
          <w:rFonts w:ascii="Meiryo UI" w:hAnsi="Meiryo UI"/>
          <w:sz w:val="20"/>
        </w:rPr>
        <w:t>3月クラッカー生産削減開始（3/6）</w:t>
      </w:r>
    </w:p>
    <w:p>
      <w:pPr>
        <w:pStyle w:val="ListBullet"/>
      </w:pPr>
      <w:r>
        <w:rPr>
          <w:rFonts w:ascii="Meiryo UI" w:hAnsi="Meiryo UI"/>
          <w:sz w:val="20"/>
        </w:rPr>
        <w:t>4月21日電線価格値上げ実施</w:t>
      </w:r>
    </w:p>
    <w:p>
      <w:pPr>
        <w:pStyle w:val="ListBullet"/>
      </w:pPr>
      <w:r>
        <w:rPr>
          <w:rFonts w:ascii="Meiryo UI" w:hAnsi="Meiryo UI"/>
          <w:sz w:val="20"/>
        </w:rPr>
        <w:t>それでも4Q(1-3月) OPM 15.2%達成 → 材料コスト転嫁が機能していることの直接証拠</w:t>
      </w:r>
    </w:p>
    <w:p/>
    <w:p>
      <w:pPr>
        <w:pStyle w:val="Heading3"/>
      </w:pPr>
      <w:r>
        <w:rPr>
          <w:rFonts w:ascii="Meiryo UI" w:hAnsi="Meiryo UI"/>
          <w:color w:val="2E74B5"/>
        </w:rPr>
        <w:t>間接リスク（要注意）</w:t>
      </w:r>
    </w:p>
    <w:p/>
    <w:p>
      <w:pPr>
        <w:pStyle w:val="ListNumber"/>
      </w:pPr>
      <w:r>
        <w:rPr>
          <w:rFonts w:ascii="Meiryo UI" w:hAnsi="Meiryo UI"/>
          <w:sz w:val="20"/>
        </w:rPr>
        <w:t>電線調達難: フォトレジスト不足（ナフサ→特殊化学品）が半導体・電子部品材料に波及。電線メーカーの生産が滞るリスク</w:t>
      </w:r>
    </w:p>
    <w:p>
      <w:pPr>
        <w:pStyle w:val="ListNumber"/>
      </w:pPr>
      <w:r>
        <w:rPr>
          <w:rFonts w:ascii="Meiryo UI" w:hAnsi="Meiryo UI"/>
          <w:sz w:val="20"/>
        </w:rPr>
        <w:t>工期延長リスク: 材料入荷遅延によるデータセンター工期ズレ</w:t>
      </w:r>
    </w:p>
    <w:p>
      <w:pPr>
        <w:pStyle w:val="ListNumber"/>
      </w:pPr>
      <w:r>
        <w:rPr>
          <w:rFonts w:ascii="Meiryo UI" w:hAnsi="Meiryo UI"/>
          <w:sz w:val="20"/>
        </w:rPr>
        <w:t>FY2027ガイダンスの保守性: ナフサ不確実性を踏まえた慎重な設定と推定</w:t>
      </w:r>
    </w:p>
    <w:p/>
    <w:p>
      <w:r>
        <w:t>──────────────────────────────────────────────────</w:t>
      </w:r>
    </w:p>
    <w:p/>
    <w:p>
      <w:pPr>
        <w:pStyle w:val="Heading2"/>
      </w:pPr>
      <w:r>
        <w:rPr>
          <w:rFonts w:ascii="Meiryo UI" w:hAnsi="Meiryo UI"/>
          <w:color w:val="2E74B5"/>
        </w:rPr>
        <w:t>4. データセンター特需の持続性</w:t>
      </w:r>
    </w:p>
    <w:p/>
    <w:p>
      <w:pPr>
        <w:pStyle w:val="Heading3"/>
      </w:pPr>
      <w:r>
        <w:rPr>
          <w:rFonts w:ascii="Meiryo UI" w:hAnsi="Meiryo UI"/>
          <w:color w:val="2E74B5"/>
        </w:rPr>
        <w:t>AI電力インフラ需要の構造</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ドライバー</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きんでんへの影響</w:t>
            </w:r>
          </w:p>
        </w:tc>
      </w:tr>
      <w:tr>
        <w:tc>
          <w:tcPr>
            <w:tcW w:type="dxa" w:w="3135"/>
          </w:tcPr>
          <w:p>
            <w:r>
              <w:rPr>
                <w:rFonts w:ascii="Meiryo UI" w:hAnsi="Meiryo UI"/>
                <w:sz w:val="18"/>
              </w:rPr>
              <w:t>AI普及</w:t>
            </w:r>
          </w:p>
        </w:tc>
        <w:tc>
          <w:tcPr>
            <w:tcW w:type="dxa" w:w="3135"/>
          </w:tcPr>
          <w:p>
            <w:r>
              <w:rPr>
                <w:rFonts w:ascii="Meiryo UI" w:hAnsi="Meiryo UI"/>
                <w:sz w:val="18"/>
              </w:rPr>
              <w:t>1DC ≈ 5万kW電力消費（≒1万6千世帯）</w:t>
            </w:r>
          </w:p>
        </w:tc>
        <w:tc>
          <w:tcPr>
            <w:tcW w:type="dxa" w:w="3135"/>
          </w:tcPr>
          <w:p>
            <w:r>
              <w:rPr>
                <w:rFonts w:ascii="Meiryo UI" w:hAnsi="Meiryo UI"/>
                <w:sz w:val="18"/>
              </w:rPr>
              <w:t>電気設備工事規模↑</w:t>
            </w:r>
          </w:p>
        </w:tc>
      </w:tr>
      <w:tr>
        <w:tc>
          <w:tcPr>
            <w:tcW w:type="dxa" w:w="3135"/>
            <w:shd w:val="clear" w:color="auto" w:fill="DDEBF7"/>
          </w:tcPr>
          <w:p>
            <w:r>
              <w:rPr>
                <w:rFonts w:ascii="Meiryo UI" w:hAnsi="Meiryo UI"/>
                <w:sz w:val="18"/>
              </w:rPr>
              <w:t>800GE→1.6TE移行</w:t>
            </w:r>
          </w:p>
        </w:tc>
        <w:tc>
          <w:tcPr>
            <w:tcW w:type="dxa" w:w="3135"/>
            <w:shd w:val="clear" w:color="auto" w:fill="DDEBF7"/>
          </w:tcPr>
          <w:p>
            <w:r>
              <w:rPr>
                <w:rFonts w:ascii="Meiryo UI" w:hAnsi="Meiryo UI"/>
                <w:sz w:val="18"/>
              </w:rPr>
              <w:t>データセンター電力密度2倍化</w:t>
            </w:r>
          </w:p>
        </w:tc>
        <w:tc>
          <w:tcPr>
            <w:tcW w:type="dxa" w:w="3135"/>
            <w:shd w:val="clear" w:color="auto" w:fill="DDEBF7"/>
          </w:tcPr>
          <w:p>
            <w:r>
              <w:rPr>
                <w:rFonts w:ascii="Meiryo UI" w:hAnsi="Meiryo UI"/>
                <w:sz w:val="18"/>
              </w:rPr>
              <w:t>ラック当たり電気工事量2倍</w:t>
            </w:r>
          </w:p>
        </w:tc>
      </w:tr>
      <w:tr>
        <w:tc>
          <w:tcPr>
            <w:tcW w:type="dxa" w:w="3135"/>
          </w:tcPr>
          <w:p>
            <w:r>
              <w:rPr>
                <w:rFonts w:ascii="Meiryo UI" w:hAnsi="Meiryo UI"/>
                <w:sz w:val="18"/>
              </w:rPr>
              <w:t>関西電力グループ</w:t>
            </w:r>
          </w:p>
        </w:tc>
        <w:tc>
          <w:tcPr>
            <w:tcW w:type="dxa" w:w="3135"/>
          </w:tcPr>
          <w:p>
            <w:r>
              <w:rPr>
                <w:rFonts w:ascii="Meiryo UI" w:hAnsi="Meiryo UI"/>
                <w:sz w:val="18"/>
              </w:rPr>
              <w:t>親会社の関電が全国DCに積極投資</w:t>
            </w:r>
          </w:p>
        </w:tc>
        <w:tc>
          <w:tcPr>
            <w:tcW w:type="dxa" w:w="3135"/>
          </w:tcPr>
          <w:p>
            <w:r>
              <w:rPr>
                <w:rFonts w:ascii="Meiryo UI" w:hAnsi="Meiryo UI"/>
                <w:sz w:val="18"/>
              </w:rPr>
              <w:t>関電DC工事の優先受注</w:t>
            </w:r>
          </w:p>
        </w:tc>
      </w:tr>
      <w:tr>
        <w:tc>
          <w:tcPr>
            <w:tcW w:type="dxa" w:w="3135"/>
            <w:shd w:val="clear" w:color="auto" w:fill="DDEBF7"/>
          </w:tcPr>
          <w:p>
            <w:r>
              <w:rPr>
                <w:rFonts w:ascii="Meiryo UI" w:hAnsi="Meiryo UI"/>
                <w:sz w:val="18"/>
              </w:rPr>
              <w:t>電力安定供給</w:t>
            </w:r>
          </w:p>
        </w:tc>
        <w:tc>
          <w:tcPr>
            <w:tcW w:type="dxa" w:w="3135"/>
            <w:shd w:val="clear" w:color="auto" w:fill="DDEBF7"/>
          </w:tcPr>
          <w:p>
            <w:r>
              <w:rPr>
                <w:rFonts w:ascii="Meiryo UI" w:hAnsi="Meiryo UI"/>
                <w:sz w:val="18"/>
              </w:rPr>
              <w:t>停電ゼロの高信頼性要求</w:t>
            </w:r>
          </w:p>
        </w:tc>
        <w:tc>
          <w:tcPr>
            <w:tcW w:type="dxa" w:w="3135"/>
            <w:shd w:val="clear" w:color="auto" w:fill="DDEBF7"/>
          </w:tcPr>
          <w:p>
            <w:r>
              <w:rPr>
                <w:rFonts w:ascii="Meiryo UI" w:hAnsi="Meiryo UI"/>
                <w:sz w:val="18"/>
              </w:rPr>
              <w:t>きんでんの技術優位</w:t>
            </w:r>
          </w:p>
        </w:tc>
      </w:tr>
    </w:tbl>
    <w:p/>
    <w:p>
      <w:pPr>
        <w:pStyle w:val="Heading3"/>
      </w:pPr>
      <w:r>
        <w:rPr>
          <w:rFonts w:ascii="Meiryo UI" w:hAnsi="Meiryo UI"/>
          <w:color w:val="2E74B5"/>
        </w:rPr>
        <w:t>競合優位性</w:t>
      </w:r>
    </w:p>
    <w:p/>
    <w:p>
      <w:pPr>
        <w:pStyle w:val="ListBullet"/>
      </w:pPr>
      <w:r>
        <w:rPr>
          <w:rFonts w:ascii="Meiryo UI" w:hAnsi="Meiryo UI"/>
          <w:sz w:val="20"/>
        </w:rPr>
        <w:t>総合EPC力: 電気設備・情報通信・空調の一括施工能力 → 元請け受注可能</w:t>
      </w:r>
    </w:p>
    <w:p>
      <w:pPr>
        <w:pStyle w:val="ListBullet"/>
      </w:pPr>
      <w:r>
        <w:rPr>
          <w:rFonts w:ascii="Meiryo UI" w:hAnsi="Meiryo UI"/>
          <w:sz w:val="20"/>
        </w:rPr>
        <w:t>関西電力グループ: 親会社からの優先受注。安定的な売上基盤</w:t>
      </w:r>
    </w:p>
    <w:p>
      <w:pPr>
        <w:pStyle w:val="ListBullet"/>
      </w:pPr>
      <w:r>
        <w:rPr>
          <w:rFonts w:ascii="Meiryo UI" w:hAnsi="Meiryo UI"/>
          <w:sz w:val="20"/>
        </w:rPr>
        <w:t>トラックレコード: 大型プロジェクト実績（ラボコールセンター・重要設備）</w:t>
      </w:r>
    </w:p>
    <w:p/>
    <w:p>
      <w:r>
        <w:t>──────────────────────────────────────────────────</w:t>
      </w:r>
    </w:p>
    <w:p/>
    <w:p>
      <w:pPr>
        <w:pStyle w:val="Heading2"/>
      </w:pPr>
      <w:r>
        <w:rPr>
          <w:rFonts w:ascii="Meiryo UI" w:hAnsi="Meiryo UI"/>
          <w:color w:val="2E74B5"/>
        </w:rPr>
        <w:t>5. バランスシート・財務健全性</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指標</w:t>
            </w:r>
          </w:p>
        </w:tc>
        <w:tc>
          <w:tcPr>
            <w:tcW w:type="dxa" w:w="3135"/>
            <w:shd w:val="clear" w:color="auto" w:fill="2E74B5"/>
          </w:tcPr>
          <w:p>
            <w:r>
              <w:rPr>
                <w:rFonts w:ascii="Meiryo UI" w:hAnsi="Meiryo UI"/>
                <w:b/>
                <w:color w:val="FFFFFF"/>
                <w:sz w:val="18"/>
              </w:rPr>
              <w:t>FY2026実績</w:t>
            </w:r>
          </w:p>
        </w:tc>
        <w:tc>
          <w:tcPr>
            <w:tcW w:type="dxa" w:w="3135"/>
            <w:shd w:val="clear" w:color="auto" w:fill="2E74B5"/>
          </w:tcPr>
          <w:p>
            <w:r>
              <w:rPr>
                <w:rFonts w:ascii="Meiryo UI" w:hAnsi="Meiryo UI"/>
                <w:b/>
                <w:color w:val="FFFFFF"/>
                <w:sz w:val="18"/>
              </w:rPr>
              <w:t>評価</w:t>
            </w:r>
          </w:p>
        </w:tc>
      </w:tr>
      <w:tr>
        <w:tc>
          <w:tcPr>
            <w:tcW w:type="dxa" w:w="3135"/>
          </w:tcPr>
          <w:p>
            <w:r>
              <w:rPr>
                <w:rFonts w:ascii="Meiryo UI" w:hAnsi="Meiryo UI"/>
                <w:sz w:val="18"/>
              </w:rPr>
              <w:t>自己資本</w:t>
            </w:r>
          </w:p>
        </w:tc>
        <w:tc>
          <w:tcPr>
            <w:tcW w:type="dxa" w:w="3135"/>
          </w:tcPr>
          <w:p>
            <w:r>
              <w:rPr>
                <w:rFonts w:ascii="Meiryo UI" w:hAnsi="Meiryo UI"/>
                <w:sz w:val="18"/>
              </w:rPr>
              <w:t>¥5,289億</w:t>
            </w:r>
          </w:p>
        </w:tc>
        <w:tc>
          <w:tcPr>
            <w:tcW w:type="dxa" w:w="3135"/>
          </w:tcPr>
          <w:p>
            <w:r>
              <w:rPr>
                <w:rFonts w:ascii="Meiryo UI" w:hAnsi="Meiryo UI"/>
                <w:sz w:val="18"/>
              </w:rPr>
            </w:r>
          </w:p>
        </w:tc>
      </w:tr>
      <w:tr>
        <w:tc>
          <w:tcPr>
            <w:tcW w:type="dxa" w:w="3135"/>
            <w:shd w:val="clear" w:color="auto" w:fill="DDEBF7"/>
          </w:tcPr>
          <w:p>
            <w:r>
              <w:rPr>
                <w:rFonts w:ascii="Meiryo UI" w:hAnsi="Meiryo UI"/>
                <w:sz w:val="18"/>
              </w:rPr>
              <w:t>自己資本比率</w:t>
            </w:r>
          </w:p>
        </w:tc>
        <w:tc>
          <w:tcPr>
            <w:tcW w:type="dxa" w:w="3135"/>
            <w:shd w:val="clear" w:color="auto" w:fill="DDEBF7"/>
          </w:tcPr>
          <w:p>
            <w:r>
              <w:rPr>
                <w:rFonts w:ascii="Meiryo UI" w:hAnsi="Meiryo UI"/>
                <w:sz w:val="18"/>
              </w:rPr>
              <w:t>72.9%</w:t>
            </w:r>
          </w:p>
        </w:tc>
        <w:tc>
          <w:tcPr>
            <w:tcW w:type="dxa" w:w="3135"/>
            <w:shd w:val="clear" w:color="auto" w:fill="DDEBF7"/>
          </w:tcPr>
          <w:p>
            <w:r>
              <w:rPr>
                <w:rFonts w:ascii="Meiryo UI" w:hAnsi="Meiryo UI"/>
                <w:sz w:val="18"/>
              </w:rPr>
              <w:t>業界最高水準</w:t>
            </w:r>
          </w:p>
        </w:tc>
      </w:tr>
      <w:tr>
        <w:tc>
          <w:tcPr>
            <w:tcW w:type="dxa" w:w="3135"/>
          </w:tcPr>
          <w:p>
            <w:r>
              <w:rPr>
                <w:rFonts w:ascii="Meiryo UI" w:hAnsi="Meiryo UI"/>
                <w:sz w:val="18"/>
              </w:rPr>
              <w:t>現金・同等物</w:t>
            </w:r>
          </w:p>
        </w:tc>
        <w:tc>
          <w:tcPr>
            <w:tcW w:type="dxa" w:w="3135"/>
          </w:tcPr>
          <w:p>
            <w:r>
              <w:rPr>
                <w:rFonts w:ascii="Meiryo UI" w:hAnsi="Meiryo UI"/>
                <w:sz w:val="18"/>
              </w:rPr>
              <w:t>¥1,847億</w:t>
            </w:r>
          </w:p>
        </w:tc>
        <w:tc>
          <w:tcPr>
            <w:tcW w:type="dxa" w:w="3135"/>
          </w:tcPr>
          <w:p>
            <w:r>
              <w:rPr>
                <w:rFonts w:ascii="Meiryo UI" w:hAnsi="Meiryo UI"/>
                <w:sz w:val="18"/>
              </w:rPr>
              <w:t>ネットキャッシュポジション</w:t>
            </w:r>
          </w:p>
        </w:tc>
      </w:tr>
      <w:tr>
        <w:tc>
          <w:tcPr>
            <w:tcW w:type="dxa" w:w="3135"/>
            <w:shd w:val="clear" w:color="auto" w:fill="DDEBF7"/>
          </w:tcPr>
          <w:p>
            <w:r>
              <w:rPr>
                <w:rFonts w:ascii="Meiryo UI" w:hAnsi="Meiryo UI"/>
                <w:sz w:val="18"/>
              </w:rPr>
              <w:t>有利子負債</w:t>
            </w:r>
          </w:p>
        </w:tc>
        <w:tc>
          <w:tcPr>
            <w:tcW w:type="dxa" w:w="3135"/>
            <w:shd w:val="clear" w:color="auto" w:fill="DDEBF7"/>
          </w:tcPr>
          <w:p>
            <w:r>
              <w:rPr>
                <w:rFonts w:ascii="Meiryo UI" w:hAnsi="Meiryo UI"/>
                <w:sz w:val="18"/>
              </w:rPr>
              <w:t>極小（ネットキャッシュ）</w:t>
            </w:r>
          </w:p>
        </w:tc>
        <w:tc>
          <w:tcPr>
            <w:tcW w:type="dxa" w:w="3135"/>
            <w:shd w:val="clear" w:color="auto" w:fill="DDEBF7"/>
          </w:tcPr>
          <w:p>
            <w:r>
              <w:rPr>
                <w:rFonts w:ascii="Meiryo UI" w:hAnsi="Meiryo UI"/>
                <w:sz w:val="18"/>
              </w:rPr>
            </w:r>
          </w:p>
        </w:tc>
      </w:tr>
      <w:tr>
        <w:tc>
          <w:tcPr>
            <w:tcW w:type="dxa" w:w="3135"/>
          </w:tcPr>
          <w:p>
            <w:r>
              <w:rPr>
                <w:rFonts w:ascii="Meiryo UI" w:hAnsi="Meiryo UI"/>
                <w:sz w:val="18"/>
              </w:rPr>
              <w:t>BPS</w:t>
            </w:r>
          </w:p>
        </w:tc>
        <w:tc>
          <w:tcPr>
            <w:tcW w:type="dxa" w:w="3135"/>
          </w:tcPr>
          <w:p>
            <w:r>
              <w:rPr>
                <w:rFonts w:ascii="Meiryo UI" w:hAnsi="Meiryo UI"/>
                <w:sz w:val="18"/>
              </w:rPr>
              <w:t>¥2,645</w:t>
            </w:r>
          </w:p>
        </w:tc>
        <w:tc>
          <w:tcPr>
            <w:tcW w:type="dxa" w:w="3135"/>
          </w:tcPr>
          <w:p>
            <w:r>
              <w:rPr>
                <w:rFonts w:ascii="Meiryo UI" w:hAnsi="Meiryo UI"/>
                <w:sz w:val="18"/>
              </w:rPr>
            </w:r>
          </w:p>
        </w:tc>
      </w:tr>
      <w:tr>
        <w:tc>
          <w:tcPr>
            <w:tcW w:type="dxa" w:w="3135"/>
            <w:shd w:val="clear" w:color="auto" w:fill="DDEBF7"/>
          </w:tcPr>
          <w:p>
            <w:r>
              <w:rPr>
                <w:rFonts w:ascii="Meiryo UI" w:hAnsi="Meiryo UI"/>
                <w:sz w:val="18"/>
              </w:rPr>
              <w:t>PBR（¥6,932時点）</w:t>
            </w:r>
          </w:p>
        </w:tc>
        <w:tc>
          <w:tcPr>
            <w:tcW w:type="dxa" w:w="3135"/>
            <w:shd w:val="clear" w:color="auto" w:fill="DDEBF7"/>
          </w:tcPr>
          <w:p>
            <w:r>
              <w:rPr>
                <w:rFonts w:ascii="Meiryo UI" w:hAnsi="Meiryo UI"/>
                <w:sz w:val="18"/>
              </w:rPr>
              <w:t>2.62倍</w:t>
            </w:r>
          </w:p>
        </w:tc>
        <w:tc>
          <w:tcPr>
            <w:tcW w:type="dxa" w:w="3135"/>
            <w:shd w:val="clear" w:color="auto" w:fill="DDEBF7"/>
          </w:tcPr>
          <w:p>
            <w:r>
              <w:rPr>
                <w:rFonts w:ascii="Meiryo UI" w:hAnsi="Meiryo UI"/>
                <w:sz w:val="18"/>
              </w:rPr>
              <w:t>建設株中最高水準プレミアム</w:t>
            </w:r>
          </w:p>
        </w:tc>
      </w:tr>
    </w:tbl>
    <w:p/>
    <w:p>
      <w:r>
        <w:rPr>
          <w:rFonts w:ascii="Meiryo UI" w:hAnsi="Meiryo UI"/>
          <w:sz w:val="20"/>
        </w:rPr>
        <w:t>ネットキャッシュポジション×高自己資本比率×低PBR建設同業対比：</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比較銘柄</w:t>
            </w:r>
          </w:p>
        </w:tc>
        <w:tc>
          <w:tcPr>
            <w:tcW w:type="dxa" w:w="3135"/>
            <w:shd w:val="clear" w:color="auto" w:fill="2E74B5"/>
          </w:tcPr>
          <w:p>
            <w:r>
              <w:rPr>
                <w:rFonts w:ascii="Meiryo UI" w:hAnsi="Meiryo UI"/>
                <w:b/>
                <w:color w:val="FFFFFF"/>
                <w:sz w:val="18"/>
              </w:rPr>
              <w:t>PBR</w:t>
            </w:r>
          </w:p>
        </w:tc>
        <w:tc>
          <w:tcPr>
            <w:tcW w:type="dxa" w:w="3135"/>
            <w:shd w:val="clear" w:color="auto" w:fill="2E74B5"/>
          </w:tcPr>
          <w:p>
            <w:r>
              <w:rPr>
                <w:rFonts w:ascii="Meiryo UI" w:hAnsi="Meiryo UI"/>
                <w:b/>
                <w:color w:val="FFFFFF"/>
                <w:sz w:val="18"/>
              </w:rPr>
              <w:t>特徴</w:t>
            </w:r>
          </w:p>
        </w:tc>
      </w:tr>
      <w:tr>
        <w:tc>
          <w:tcPr>
            <w:tcW w:type="dxa" w:w="3135"/>
          </w:tcPr>
          <w:p>
            <w:r>
              <w:rPr>
                <w:rFonts w:ascii="Meiryo UI" w:hAnsi="Meiryo UI"/>
                <w:sz w:val="18"/>
              </w:rPr>
              <w:t>きんでん（1944）</w:t>
            </w:r>
          </w:p>
        </w:tc>
        <w:tc>
          <w:tcPr>
            <w:tcW w:type="dxa" w:w="3135"/>
          </w:tcPr>
          <w:p>
            <w:r>
              <w:rPr>
                <w:rFonts w:ascii="Meiryo UI" w:hAnsi="Meiryo UI"/>
                <w:sz w:val="18"/>
              </w:rPr>
              <w:t>2.62倍</w:t>
            </w:r>
          </w:p>
        </w:tc>
        <w:tc>
          <w:tcPr>
            <w:tcW w:type="dxa" w:w="3135"/>
          </w:tcPr>
          <w:p>
            <w:r>
              <w:rPr>
                <w:rFonts w:ascii="Meiryo UI" w:hAnsi="Meiryo UI"/>
                <w:sz w:val="18"/>
              </w:rPr>
              <w:t>電気工事専業・DC特需</w:t>
            </w:r>
          </w:p>
        </w:tc>
      </w:tr>
      <w:tr>
        <w:tc>
          <w:tcPr>
            <w:tcW w:type="dxa" w:w="3135"/>
            <w:shd w:val="clear" w:color="auto" w:fill="DDEBF7"/>
          </w:tcPr>
          <w:p>
            <w:r>
              <w:rPr>
                <w:rFonts w:ascii="Meiryo UI" w:hAnsi="Meiryo UI"/>
                <w:sz w:val="18"/>
              </w:rPr>
              <w:t>1803 清水建設</w:t>
            </w:r>
          </w:p>
        </w:tc>
        <w:tc>
          <w:tcPr>
            <w:tcW w:type="dxa" w:w="3135"/>
            <w:shd w:val="clear" w:color="auto" w:fill="DDEBF7"/>
          </w:tcPr>
          <w:p>
            <w:r>
              <w:rPr>
                <w:rFonts w:ascii="Meiryo UI" w:hAnsi="Meiryo UI"/>
                <w:sz w:val="18"/>
              </w:rPr>
              <w:t>~0.8倍</w:t>
            </w:r>
          </w:p>
        </w:tc>
        <w:tc>
          <w:tcPr>
            <w:tcW w:type="dxa" w:w="3135"/>
            <w:shd w:val="clear" w:color="auto" w:fill="DDEBF7"/>
          </w:tcPr>
          <w:p>
            <w:r>
              <w:rPr>
                <w:rFonts w:ascii="Meiryo UI" w:hAnsi="Meiryo UI"/>
                <w:sz w:val="18"/>
              </w:rPr>
              <w:t>総合建設</w:t>
            </w:r>
          </w:p>
        </w:tc>
      </w:tr>
      <w:tr>
        <w:tc>
          <w:tcPr>
            <w:tcW w:type="dxa" w:w="3135"/>
          </w:tcPr>
          <w:p>
            <w:r>
              <w:rPr>
                <w:rFonts w:ascii="Meiryo UI" w:hAnsi="Meiryo UI"/>
                <w:sz w:val="18"/>
              </w:rPr>
              <w:t>1887 日本国土開発</w:t>
            </w:r>
          </w:p>
        </w:tc>
        <w:tc>
          <w:tcPr>
            <w:tcW w:type="dxa" w:w="3135"/>
          </w:tcPr>
          <w:p>
            <w:r>
              <w:rPr>
                <w:rFonts w:ascii="Meiryo UI" w:hAnsi="Meiryo UI"/>
                <w:sz w:val="18"/>
              </w:rPr>
              <w:t>0.66倍</w:t>
            </w:r>
          </w:p>
        </w:tc>
        <w:tc>
          <w:tcPr>
            <w:tcW w:type="dxa" w:w="3135"/>
          </w:tcPr>
          <w:p>
            <w:r>
              <w:rPr>
                <w:rFonts w:ascii="Meiryo UI" w:hAnsi="Meiryo UI"/>
                <w:sz w:val="18"/>
              </w:rPr>
              <w:t>土木系</w:t>
            </w:r>
          </w:p>
        </w:tc>
      </w:tr>
      <w:tr>
        <w:tc>
          <w:tcPr>
            <w:tcW w:type="dxa" w:w="3135"/>
            <w:shd w:val="clear" w:color="auto" w:fill="DDEBF7"/>
          </w:tcPr>
          <w:p>
            <w:r>
              <w:rPr>
                <w:rFonts w:ascii="Meiryo UI" w:hAnsi="Meiryo UI"/>
                <w:sz w:val="18"/>
              </w:rPr>
              <w:t>1720 東急建設</w:t>
            </w:r>
          </w:p>
        </w:tc>
        <w:tc>
          <w:tcPr>
            <w:tcW w:type="dxa" w:w="3135"/>
            <w:shd w:val="clear" w:color="auto" w:fill="DDEBF7"/>
          </w:tcPr>
          <w:p>
            <w:r>
              <w:rPr>
                <w:rFonts w:ascii="Meiryo UI" w:hAnsi="Meiryo UI"/>
                <w:sz w:val="18"/>
              </w:rPr>
              <w:t>~1.0倍</w:t>
            </w:r>
          </w:p>
        </w:tc>
        <w:tc>
          <w:tcPr>
            <w:tcW w:type="dxa" w:w="3135"/>
            <w:shd w:val="clear" w:color="auto" w:fill="DDEBF7"/>
          </w:tcPr>
          <w:p>
            <w:r>
              <w:rPr>
                <w:rFonts w:ascii="Meiryo UI" w:hAnsi="Meiryo UI"/>
                <w:sz w:val="18"/>
              </w:rPr>
              <w:t>建築系</w:t>
            </w:r>
          </w:p>
        </w:tc>
      </w:tr>
    </w:tbl>
    <w:p/>
    <w:p>
      <w:r>
        <w:rPr>
          <w:rFonts w:ascii="Meiryo UI" w:hAnsi="Meiryo UI"/>
          <w:sz w:val="20"/>
        </w:rPr>
        <w:t>きんでんの2.62倍は電気工事専業×DCグロース×財務健全性のプレミアム。</w:t>
      </w:r>
    </w:p>
    <w:p/>
    <w:p>
      <w:r>
        <w:t>──────────────────────────────────────────────────</w:t>
      </w:r>
    </w:p>
    <w:p/>
    <w:p>
      <w:pPr>
        <w:pStyle w:val="Heading2"/>
      </w:pPr>
      <w:r>
        <w:rPr>
          <w:rFonts w:ascii="Meiryo UI" w:hAnsi="Meiryo UI"/>
          <w:color w:val="2E74B5"/>
        </w:rPr>
        <w:t>6. バリュエーション</w:t>
      </w:r>
    </w:p>
    <w:p/>
    <w:p>
      <w:pPr>
        <w:pStyle w:val="Heading3"/>
      </w:pPr>
      <w:r>
        <w:rPr>
          <w:rFonts w:ascii="Meiryo UI" w:hAnsi="Meiryo UI"/>
          <w:color w:val="2E74B5"/>
        </w:rPr>
        <w:t>WACC</w:t>
      </w:r>
    </w:p>
    <w:p>
      <w:pPr>
        <w:pStyle w:val="ListBullet"/>
      </w:pPr>
      <w:r>
        <w:rPr>
          <w:rFonts w:ascii="Meiryo UI" w:hAnsi="Meiryo UI"/>
          <w:sz w:val="20"/>
        </w:rPr>
        <w:t>Rf: 2.380%（固定）</w:t>
      </w:r>
    </w:p>
    <w:p>
      <w:pPr>
        <w:pStyle w:val="ListBullet"/>
      </w:pPr>
      <w:r>
        <w:rPr>
          <w:rFonts w:ascii="Meiryo UI" w:hAnsi="Meiryo UI"/>
          <w:sz w:val="20"/>
        </w:rPr>
        <w:t>Beta: 0.75（電気工事・ディフェンシブ寄り）</w:t>
      </w:r>
    </w:p>
    <w:p>
      <w:pPr>
        <w:pStyle w:val="ListBullet"/>
      </w:pPr>
      <w:r>
        <w:rPr>
          <w:rFonts w:ascii="Meiryo UI" w:hAnsi="Meiryo UI"/>
          <w:sz w:val="20"/>
        </w:rPr>
        <w:t>ERP: 5.5%</w:t>
      </w:r>
    </w:p>
    <w:p>
      <w:pPr>
        <w:pStyle w:val="ListBullet"/>
      </w:pPr>
      <w:r>
        <w:rPr>
          <w:rFonts w:ascii="Meiryo UI" w:hAnsi="Meiryo UI"/>
          <w:sz w:val="20"/>
        </w:rPr>
        <w:t>WACC: 6.505%</w:t>
      </w:r>
    </w:p>
    <w:p/>
    <w:p>
      <w:pPr>
        <w:pStyle w:val="Heading3"/>
      </w:pPr>
      <w:r>
        <w:rPr>
          <w:rFonts w:ascii="Meiryo UI" w:hAnsi="Meiryo UI"/>
          <w:color w:val="2E74B5"/>
        </w:rPr>
        <w:t>PER法</w:t>
      </w:r>
    </w:p>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val="clear" w:color="auto" w:fill="2E74B5"/>
          </w:tcPr>
          <w:p>
            <w:r>
              <w:rPr>
                <w:rFonts w:ascii="Meiryo UI" w:hAnsi="Meiryo UI"/>
                <w:b/>
                <w:color w:val="FFFFFF"/>
                <w:sz w:val="18"/>
              </w:rPr>
              <w:t>シナリオ</w:t>
            </w:r>
          </w:p>
        </w:tc>
        <w:tc>
          <w:tcPr>
            <w:tcW w:type="dxa" w:w="2351"/>
            <w:shd w:val="clear" w:color="auto" w:fill="2E74B5"/>
          </w:tcPr>
          <w:p>
            <w:r>
              <w:rPr>
                <w:rFonts w:ascii="Meiryo UI" w:hAnsi="Meiryo UI"/>
                <w:b/>
                <w:color w:val="FFFFFF"/>
                <w:sz w:val="18"/>
              </w:rPr>
              <w:t>FY2027E EPS</w:t>
            </w:r>
          </w:p>
        </w:tc>
        <w:tc>
          <w:tcPr>
            <w:tcW w:type="dxa" w:w="2351"/>
            <w:shd w:val="clear" w:color="auto" w:fill="2E74B5"/>
          </w:tcPr>
          <w:p>
            <w:r>
              <w:rPr>
                <w:rFonts w:ascii="Meiryo UI" w:hAnsi="Meiryo UI"/>
                <w:b/>
                <w:color w:val="FFFFFF"/>
                <w:sz w:val="18"/>
              </w:rPr>
              <w:t>採用PER</w:t>
            </w:r>
          </w:p>
        </w:tc>
        <w:tc>
          <w:tcPr>
            <w:tcW w:type="dxa" w:w="2351"/>
            <w:shd w:val="clear" w:color="auto" w:fill="2E74B5"/>
          </w:tcPr>
          <w:p>
            <w:r>
              <w:rPr>
                <w:rFonts w:ascii="Meiryo UI" w:hAnsi="Meiryo UI"/>
                <w:b/>
                <w:color w:val="FFFFFF"/>
                <w:sz w:val="18"/>
              </w:rPr>
              <w:t>TP</w:t>
            </w:r>
          </w:p>
        </w:tc>
      </w:tr>
      <w:tr>
        <w:tc>
          <w:tcPr>
            <w:tcW w:type="dxa" w:w="2351"/>
          </w:tcPr>
          <w:p>
            <w:r>
              <w:rPr>
                <w:rFonts w:ascii="Meiryo UI" w:hAnsi="Meiryo UI"/>
                <w:sz w:val="18"/>
              </w:rPr>
              <w:t>Base（ガイダンス通り＋保守調整）</w:t>
            </w:r>
          </w:p>
        </w:tc>
        <w:tc>
          <w:tcPr>
            <w:tcW w:type="dxa" w:w="2351"/>
          </w:tcPr>
          <w:p>
            <w:r>
              <w:rPr>
                <w:rFonts w:ascii="Meiryo UI" w:hAnsi="Meiryo UI"/>
                <w:sz w:val="18"/>
              </w:rPr>
              <w:t>¥390</w:t>
            </w:r>
          </w:p>
        </w:tc>
        <w:tc>
          <w:tcPr>
            <w:tcW w:type="dxa" w:w="2351"/>
          </w:tcPr>
          <w:p>
            <w:r>
              <w:rPr>
                <w:rFonts w:ascii="Meiryo UI" w:hAnsi="Meiryo UI"/>
                <w:sz w:val="18"/>
              </w:rPr>
              <w:t>20倍</w:t>
            </w:r>
          </w:p>
        </w:tc>
        <w:tc>
          <w:tcPr>
            <w:tcW w:type="dxa" w:w="2351"/>
          </w:tcPr>
          <w:p>
            <w:r>
              <w:rPr>
                <w:rFonts w:ascii="Meiryo UI" w:hAnsi="Meiryo UI"/>
                <w:sz w:val="18"/>
              </w:rPr>
              <w:t>¥7,800</w:t>
            </w:r>
          </w:p>
        </w:tc>
      </w:tr>
      <w:tr>
        <w:tc>
          <w:tcPr>
            <w:tcW w:type="dxa" w:w="2351"/>
            <w:shd w:val="clear" w:color="auto" w:fill="DDEBF7"/>
          </w:tcPr>
          <w:p>
            <w:r>
              <w:rPr>
                <w:rFonts w:ascii="Meiryo UI" w:hAnsi="Meiryo UI"/>
                <w:sz w:val="18"/>
              </w:rPr>
              <w:t>Bull（DC需要継続×FY2027上振れ）</w:t>
            </w:r>
          </w:p>
        </w:tc>
        <w:tc>
          <w:tcPr>
            <w:tcW w:type="dxa" w:w="2351"/>
            <w:shd w:val="clear" w:color="auto" w:fill="DDEBF7"/>
          </w:tcPr>
          <w:p>
            <w:r>
              <w:rPr>
                <w:rFonts w:ascii="Meiryo UI" w:hAnsi="Meiryo UI"/>
                <w:sz w:val="18"/>
              </w:rPr>
              <w:t>¥430</w:t>
            </w:r>
          </w:p>
        </w:tc>
        <w:tc>
          <w:tcPr>
            <w:tcW w:type="dxa" w:w="2351"/>
            <w:shd w:val="clear" w:color="auto" w:fill="DDEBF7"/>
          </w:tcPr>
          <w:p>
            <w:r>
              <w:rPr>
                <w:rFonts w:ascii="Meiryo UI" w:hAnsi="Meiryo UI"/>
                <w:sz w:val="18"/>
              </w:rPr>
              <w:t>21倍</w:t>
            </w:r>
          </w:p>
        </w:tc>
        <w:tc>
          <w:tcPr>
            <w:tcW w:type="dxa" w:w="2351"/>
            <w:shd w:val="clear" w:color="auto" w:fill="DDEBF7"/>
          </w:tcPr>
          <w:p>
            <w:r>
              <w:rPr>
                <w:rFonts w:ascii="Meiryo UI" w:hAnsi="Meiryo UI"/>
                <w:sz w:val="18"/>
              </w:rPr>
              <w:t>¥9,030</w:t>
            </w:r>
          </w:p>
        </w:tc>
      </w:tr>
      <w:tr>
        <w:tc>
          <w:tcPr>
            <w:tcW w:type="dxa" w:w="2351"/>
          </w:tcPr>
          <w:p>
            <w:r>
              <w:rPr>
                <w:rFonts w:ascii="Meiryo UI" w:hAnsi="Meiryo UI"/>
                <w:sz w:val="18"/>
              </w:rPr>
              <w:t>Bear（ナフサ長期化×DC投資鈍化）</w:t>
            </w:r>
          </w:p>
        </w:tc>
        <w:tc>
          <w:tcPr>
            <w:tcW w:type="dxa" w:w="2351"/>
          </w:tcPr>
          <w:p>
            <w:r>
              <w:rPr>
                <w:rFonts w:ascii="Meiryo UI" w:hAnsi="Meiryo UI"/>
                <w:sz w:val="18"/>
              </w:rPr>
              <w:t>¥310</w:t>
            </w:r>
          </w:p>
        </w:tc>
        <w:tc>
          <w:tcPr>
            <w:tcW w:type="dxa" w:w="2351"/>
          </w:tcPr>
          <w:p>
            <w:r>
              <w:rPr>
                <w:rFonts w:ascii="Meiryo UI" w:hAnsi="Meiryo UI"/>
                <w:sz w:val="18"/>
              </w:rPr>
              <w:t>18倍</w:t>
            </w:r>
          </w:p>
        </w:tc>
        <w:tc>
          <w:tcPr>
            <w:tcW w:type="dxa" w:w="2351"/>
          </w:tcPr>
          <w:p>
            <w:r>
              <w:rPr>
                <w:rFonts w:ascii="Meiryo UI" w:hAnsi="Meiryo UI"/>
                <w:sz w:val="18"/>
              </w:rPr>
              <w:t>¥5,580</w:t>
            </w:r>
          </w:p>
        </w:tc>
      </w:tr>
    </w:tbl>
    <w:p/>
    <w:p>
      <w:r>
        <w:rPr>
          <w:rFonts w:ascii="Meiryo UI" w:hAnsi="Meiryo UI"/>
          <w:sz w:val="20"/>
        </w:rPr>
        <w:t>Base EPS ¥390の根拠: ガイダンスEPS¥350 × 過去3年平均上振れ率+11% = ¥388 ≈ ¥390</w:t>
      </w:r>
    </w:p>
    <w:p/>
    <w:p>
      <w:pPr>
        <w:pStyle w:val="Heading3"/>
      </w:pPr>
      <w:r>
        <w:rPr>
          <w:rFonts w:ascii="Meiryo UI" w:hAnsi="Meiryo UI"/>
          <w:color w:val="2E74B5"/>
        </w:rPr>
        <w:t>PBR法</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t>想定PBR</w:t>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2.0倍（下値目途）</w:t>
            </w:r>
          </w:p>
        </w:tc>
        <w:tc>
          <w:tcPr>
            <w:tcW w:type="dxa" w:w="4703"/>
          </w:tcPr>
          <w:p>
            <w:r>
              <w:rPr>
                <w:rFonts w:ascii="Meiryo UI" w:hAnsi="Meiryo UI"/>
                <w:sz w:val="18"/>
              </w:rPr>
              <w:t>¥5,290</w:t>
            </w:r>
          </w:p>
        </w:tc>
      </w:tr>
      <w:tr>
        <w:tc>
          <w:tcPr>
            <w:tcW w:type="dxa" w:w="4703"/>
            <w:shd w:val="clear" w:color="auto" w:fill="DDEBF7"/>
          </w:tcPr>
          <w:p>
            <w:r>
              <w:rPr>
                <w:rFonts w:ascii="Meiryo UI" w:hAnsi="Meiryo UI"/>
                <w:sz w:val="18"/>
              </w:rPr>
              <w:t>2.5倍（現状水準）</w:t>
            </w:r>
          </w:p>
        </w:tc>
        <w:tc>
          <w:tcPr>
            <w:tcW w:type="dxa" w:w="4703"/>
            <w:shd w:val="clear" w:color="auto" w:fill="DDEBF7"/>
          </w:tcPr>
          <w:p>
            <w:r>
              <w:rPr>
                <w:rFonts w:ascii="Meiryo UI" w:hAnsi="Meiryo UI"/>
                <w:sz w:val="18"/>
              </w:rPr>
              <w:t>¥6,612</w:t>
            </w:r>
          </w:p>
        </w:tc>
      </w:tr>
      <w:tr>
        <w:tc>
          <w:tcPr>
            <w:tcW w:type="dxa" w:w="4703"/>
          </w:tcPr>
          <w:p>
            <w:r>
              <w:rPr>
                <w:rFonts w:ascii="Meiryo UI" w:hAnsi="Meiryo UI"/>
                <w:sz w:val="18"/>
              </w:rPr>
              <w:t>3.0倍（更なる成長評価）</w:t>
            </w:r>
          </w:p>
        </w:tc>
        <w:tc>
          <w:tcPr>
            <w:tcW w:type="dxa" w:w="4703"/>
          </w:tcPr>
          <w:p>
            <w:r>
              <w:rPr>
                <w:rFonts w:ascii="Meiryo UI" w:hAnsi="Meiryo UI"/>
                <w:sz w:val="18"/>
              </w:rPr>
              <w:t>¥7,935</w:t>
            </w:r>
          </w:p>
        </w:tc>
      </w:tr>
    </w:tbl>
    <w:p/>
    <w:p>
      <w:pPr>
        <w:pStyle w:val="Heading3"/>
      </w:pPr>
      <w:r>
        <w:rPr>
          <w:rFonts w:ascii="Meiryo UI" w:hAnsi="Meiryo UI"/>
          <w:color w:val="2E74B5"/>
        </w:rPr>
        <w:t>総合TP</w:t>
      </w:r>
    </w:p>
    <w:p/>
    <w:tbl>
      <w:tblPr>
        <w:tblStyle w:val="TableGrid"/>
        <w:tblW w:type="auto" w:w="0"/>
        <w:jc w:val="center"/>
        <w:tblLook w:firstColumn="1" w:firstRow="1" w:lastColumn="0" w:lastRow="0" w:noHBand="0" w:noVBand="1" w:val="04A0"/>
      </w:tblPr>
      <w:tblGrid>
        <w:gridCol w:w="4703"/>
        <w:gridCol w:w="4703"/>
      </w:tblGrid>
      <w:tr>
        <w:tc>
          <w:tcPr>
            <w:tcW w:type="dxa" w:w="4703"/>
            <w:shd w:val="clear" w:color="auto" w:fill="2E74B5"/>
          </w:tcPr>
          <w:p>
            <w:r>
              <w:rPr>
                <w:rFonts w:ascii="Meiryo UI" w:hAnsi="Meiryo UI"/>
                <w:b/>
                <w:color w:val="FFFFFF"/>
                <w:sz w:val="18"/>
              </w:rPr>
            </w:r>
          </w:p>
        </w:tc>
        <w:tc>
          <w:tcPr>
            <w:tcW w:type="dxa" w:w="4703"/>
            <w:shd w:val="clear" w:color="auto" w:fill="2E74B5"/>
          </w:tcPr>
          <w:p>
            <w:r>
              <w:rPr>
                <w:rFonts w:ascii="Meiryo UI" w:hAnsi="Meiryo UI"/>
                <w:b/>
                <w:color w:val="FFFFFF"/>
                <w:sz w:val="18"/>
              </w:rPr>
              <w:t>TP</w:t>
            </w:r>
          </w:p>
        </w:tc>
      </w:tr>
      <w:tr>
        <w:tc>
          <w:tcPr>
            <w:tcW w:type="dxa" w:w="4703"/>
          </w:tcPr>
          <w:p>
            <w:r>
              <w:rPr>
                <w:rFonts w:ascii="Meiryo UI" w:hAnsi="Meiryo UI"/>
                <w:sz w:val="18"/>
              </w:rPr>
              <w:t>BaseTP</w:t>
            </w:r>
          </w:p>
        </w:tc>
        <w:tc>
          <w:tcPr>
            <w:tcW w:type="dxa" w:w="4703"/>
          </w:tcPr>
          <w:p>
            <w:r>
              <w:rPr>
                <w:rFonts w:ascii="Meiryo UI" w:hAnsi="Meiryo UI"/>
                <w:sz w:val="18"/>
              </w:rPr>
              <w:t>¥7,800（+13%）</w:t>
            </w:r>
          </w:p>
        </w:tc>
      </w:tr>
      <w:tr>
        <w:tc>
          <w:tcPr>
            <w:tcW w:type="dxa" w:w="4703"/>
            <w:shd w:val="clear" w:color="auto" w:fill="DDEBF7"/>
          </w:tcPr>
          <w:p>
            <w:r>
              <w:rPr>
                <w:rFonts w:ascii="Meiryo UI" w:hAnsi="Meiryo UI"/>
                <w:sz w:val="18"/>
              </w:rPr>
              <w:t>BullTP</w:t>
            </w:r>
          </w:p>
        </w:tc>
        <w:tc>
          <w:tcPr>
            <w:tcW w:type="dxa" w:w="4703"/>
            <w:shd w:val="clear" w:color="auto" w:fill="DDEBF7"/>
          </w:tcPr>
          <w:p>
            <w:r>
              <w:rPr>
                <w:rFonts w:ascii="Meiryo UI" w:hAnsi="Meiryo UI"/>
                <w:sz w:val="18"/>
              </w:rPr>
              <w:t>¥9,000（+30%）</w:t>
            </w:r>
          </w:p>
        </w:tc>
      </w:tr>
      <w:tr>
        <w:tc>
          <w:tcPr>
            <w:tcW w:type="dxa" w:w="4703"/>
          </w:tcPr>
          <w:p>
            <w:r>
              <w:rPr>
                <w:rFonts w:ascii="Meiryo UI" w:hAnsi="Meiryo UI"/>
                <w:sz w:val="18"/>
              </w:rPr>
              <w:t>BearTP</w:t>
            </w:r>
          </w:p>
        </w:tc>
        <w:tc>
          <w:tcPr>
            <w:tcW w:type="dxa" w:w="4703"/>
          </w:tcPr>
          <w:p>
            <w:r>
              <w:rPr>
                <w:rFonts w:ascii="Meiryo UI" w:hAnsi="Meiryo UI"/>
                <w:sz w:val="18"/>
              </w:rPr>
              <w:t>¥5,500（▲21%）</w:t>
            </w:r>
          </w:p>
        </w:tc>
      </w:tr>
      <w:tr>
        <w:tc>
          <w:tcPr>
            <w:tcW w:type="dxa" w:w="4703"/>
            <w:shd w:val="clear" w:color="auto" w:fill="DDEBF7"/>
          </w:tcPr>
          <w:p>
            <w:r>
              <w:rPr>
                <w:rFonts w:ascii="Meiryo UI" w:hAnsi="Meiryo UI"/>
                <w:sz w:val="18"/>
              </w:rPr>
              <w:t>SL</w:t>
            </w:r>
          </w:p>
        </w:tc>
        <w:tc>
          <w:tcPr>
            <w:tcW w:type="dxa" w:w="4703"/>
            <w:shd w:val="clear" w:color="auto" w:fill="DDEBF7"/>
          </w:tcPr>
          <w:p>
            <w:r>
              <w:rPr>
                <w:rFonts w:ascii="Meiryo UI" w:hAnsi="Meiryo UI"/>
                <w:sz w:val="18"/>
              </w:rPr>
              <w:t>¥5,800</w:t>
            </w:r>
          </w:p>
        </w:tc>
      </w:tr>
    </w:tbl>
    <w:p/>
    <w:p>
      <w:r>
        <w:t>──────────────────────────────────────────────────</w:t>
      </w:r>
    </w:p>
    <w:p/>
    <w:p>
      <w:pPr>
        <w:pStyle w:val="Heading2"/>
      </w:pPr>
      <w:r>
        <w:rPr>
          <w:rFonts w:ascii="Meiryo UI" w:hAnsi="Meiryo UI"/>
          <w:color w:val="2E74B5"/>
        </w:rPr>
        <w:t>7. 不動産含み益</w:t>
      </w:r>
    </w:p>
    <w:p/>
    <w:p>
      <w:r>
        <w:rPr>
          <w:rFonts w:ascii="Meiryo UI" w:hAnsi="Meiryo UI"/>
          <w:sz w:val="20"/>
        </w:rPr>
        <w:t>電気工事会社として工場・倉庫用地を全国に保有。関西電力グループ内の不動産連携も想定されるが、主要資産は事業用途。現段階でのNAVプレミアムは計上しない。</w:t>
      </w:r>
    </w:p>
    <w:p/>
    <w:p>
      <w:r>
        <w:t>──────────────────────────────────────────────────</w:t>
      </w:r>
    </w:p>
    <w:p/>
    <w:p>
      <w:pPr>
        <w:pStyle w:val="Heading2"/>
      </w:pPr>
      <w:r>
        <w:rPr>
          <w:rFonts w:ascii="Meiryo UI" w:hAnsi="Meiryo UI"/>
          <w:color w:val="2E74B5"/>
        </w:rPr>
        <w:t>8. リスクシナリオ定量</w:t>
      </w:r>
    </w:p>
    <w:p/>
    <w:p>
      <w:pPr>
        <w:pStyle w:val="Heading3"/>
      </w:pPr>
      <w:r>
        <w:rPr>
          <w:rFonts w:ascii="Meiryo UI" w:hAnsi="Meiryo UI"/>
          <w:color w:val="2E74B5"/>
        </w:rPr>
        <w:t>シナリオA（40%）：DC需要継続×保守ガイダンス上振れ → BUY格上げ</w:t>
      </w:r>
    </w:p>
    <w:p>
      <w:pPr>
        <w:pStyle w:val="ListBullet"/>
      </w:pPr>
      <w:r>
        <w:rPr>
          <w:rFonts w:ascii="Meiryo UI" w:hAnsi="Meiryo UI"/>
          <w:sz w:val="20"/>
        </w:rPr>
        <w:t>FY2027 OP実態 ¥1,100〜1,200億（ガイダンス¥970億を上振れ）</w:t>
      </w:r>
    </w:p>
    <w:p>
      <w:pPr>
        <w:pStyle w:val="ListBullet"/>
      </w:pPr>
      <w:r>
        <w:rPr>
          <w:rFonts w:ascii="Meiryo UI" w:hAnsi="Meiryo UI"/>
          <w:sz w:val="20"/>
        </w:rPr>
        <w:t>EPS ¥390〜430 → TP ¥7,800〜9,000達成</w:t>
      </w:r>
    </w:p>
    <w:p>
      <w:pPr>
        <w:pStyle w:val="ListBullet"/>
      </w:pPr>
      <w:r>
        <w:rPr>
          <w:rFonts w:ascii="Meiryo UI" w:hAnsi="Meiryo UI"/>
          <w:sz w:val="20"/>
        </w:rPr>
        <w:t>スコア+58→+72格上げトリガー</w:t>
      </w:r>
    </w:p>
    <w:p/>
    <w:p>
      <w:pPr>
        <w:pStyle w:val="Heading3"/>
      </w:pPr>
      <w:r>
        <w:rPr>
          <w:rFonts w:ascii="Meiryo UI" w:hAnsi="Meiryo UI"/>
          <w:color w:val="2E74B5"/>
        </w:rPr>
        <w:t>シナリオB（35%）：ガイダンス通り → WATCH継続</w:t>
      </w:r>
    </w:p>
    <w:p>
      <w:pPr>
        <w:pStyle w:val="ListBullet"/>
      </w:pPr>
      <w:r>
        <w:rPr>
          <w:rFonts w:ascii="Meiryo UI" w:hAnsi="Meiryo UI"/>
          <w:sz w:val="20"/>
        </w:rPr>
        <w:t>OP¥970億のまま実現。EPS ¥350×20倍 = ¥7,000（下値支持）</w:t>
      </w:r>
    </w:p>
    <w:p>
      <w:pPr>
        <w:pStyle w:val="ListBullet"/>
      </w:pPr>
      <w:r>
        <w:rPr>
          <w:rFonts w:ascii="Meiryo UI" w:hAnsi="Meiryo UI"/>
          <w:sz w:val="20"/>
        </w:rPr>
        <w:t>現値から上値限定でWATCH継続</w:t>
      </w:r>
    </w:p>
    <w:p/>
    <w:p>
      <w:pPr>
        <w:pStyle w:val="Heading3"/>
      </w:pPr>
      <w:r>
        <w:rPr>
          <w:rFonts w:ascii="Meiryo UI" w:hAnsi="Meiryo UI"/>
          <w:color w:val="2E74B5"/>
        </w:rPr>
        <w:t>シナリオC（20%）：ナフサ長期化×材料調達難 → WATCH継続</w:t>
      </w:r>
    </w:p>
    <w:p>
      <w:pPr>
        <w:pStyle w:val="ListBullet"/>
      </w:pPr>
      <w:r>
        <w:rPr>
          <w:rFonts w:ascii="Meiryo UI" w:hAnsi="Meiryo UI"/>
          <w:sz w:val="20"/>
        </w:rPr>
        <w:t>電線PVC/PE入荷遅延が工期ズレ→FY2027売上計上延期</w:t>
      </w:r>
    </w:p>
    <w:p>
      <w:pPr>
        <w:pStyle w:val="ListBullet"/>
      </w:pPr>
      <w:r>
        <w:rPr>
          <w:rFonts w:ascii="Meiryo UI" w:hAnsi="Meiryo UI"/>
          <w:sz w:val="20"/>
        </w:rPr>
        <w:t>OPM低下。EPS ¥310×18倍 = ¥5,580</w:t>
      </w:r>
    </w:p>
    <w:p>
      <w:pPr>
        <w:pStyle w:val="ListBullet"/>
      </w:pPr>
      <w:r>
        <w:rPr>
          <w:rFonts w:ascii="Meiryo UI" w:hAnsi="Meiryo UI"/>
          <w:sz w:val="20"/>
        </w:rPr>
        <w:t>SL¥5,800に接近</w:t>
      </w:r>
    </w:p>
    <w:p/>
    <w:p>
      <w:pPr>
        <w:pStyle w:val="Heading3"/>
      </w:pPr>
      <w:r>
        <w:rPr>
          <w:rFonts w:ascii="Meiryo UI" w:hAnsi="Meiryo UI"/>
          <w:color w:val="2E74B5"/>
        </w:rPr>
        <w:t>シナリオD（5%）：DC投資急減速 → SELL検討</w:t>
      </w:r>
    </w:p>
    <w:p>
      <w:pPr>
        <w:pStyle w:val="ListBullet"/>
      </w:pPr>
      <w:r>
        <w:rPr>
          <w:rFonts w:ascii="Meiryo UI" w:hAnsi="Meiryo UI"/>
          <w:sz w:val="20"/>
        </w:rPr>
        <w:t>AI DataCenter投資が急失速（capex削減）</w:t>
      </w:r>
    </w:p>
    <w:p>
      <w:pPr>
        <w:pStyle w:val="ListBullet"/>
      </w:pPr>
      <w:r>
        <w:rPr>
          <w:rFonts w:ascii="Meiryo UI" w:hAnsi="Meiryo UI"/>
          <w:sz w:val="20"/>
        </w:rPr>
        <w:t>受注減速 → 高PBR維持困難 → ¥4,500以下</w:t>
      </w:r>
    </w:p>
    <w:p>
      <w:pPr>
        <w:pStyle w:val="ListBullet"/>
      </w:pPr>
      <w:r>
        <w:rPr>
          <w:rFonts w:ascii="Meiryo UI" w:hAnsi="Meiryo UI"/>
          <w:sz w:val="20"/>
        </w:rPr>
        <w:t>SL発動</w:t>
      </w:r>
    </w:p>
    <w:p/>
    <w:p>
      <w:r>
        <w:t>──────────────────────────────────────────────────</w:t>
      </w:r>
    </w:p>
    <w:p/>
    <w:p>
      <w:pPr>
        <w:pStyle w:val="Heading2"/>
      </w:pPr>
      <w:r>
        <w:rPr>
          <w:rFonts w:ascii="Meiryo UI" w:hAnsi="Meiryo UI"/>
          <w:color w:val="2E74B5"/>
        </w:rPr>
        <w:t>9. Q-1定性変化</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変化</w:t>
            </w:r>
          </w:p>
        </w:tc>
        <w:tc>
          <w:tcPr>
            <w:tcW w:type="dxa" w:w="3135"/>
            <w:shd w:val="clear" w:color="auto" w:fill="2E74B5"/>
          </w:tcPr>
          <w:p>
            <w:r>
              <w:rPr>
                <w:rFonts w:ascii="Meiryo UI" w:hAnsi="Meiryo UI"/>
                <w:b/>
                <w:color w:val="FFFFFF"/>
                <w:sz w:val="18"/>
              </w:rPr>
              <w:t>内容</w:t>
            </w:r>
          </w:p>
        </w:tc>
        <w:tc>
          <w:tcPr>
            <w:tcW w:type="dxa" w:w="3135"/>
            <w:shd w:val="clear" w:color="auto" w:fill="2E74B5"/>
          </w:tcPr>
          <w:p>
            <w:r>
              <w:rPr>
                <w:rFonts w:ascii="Meiryo UI" w:hAnsi="Meiryo UI"/>
                <w:b/>
                <w:color w:val="FFFFFF"/>
                <w:sz w:val="18"/>
              </w:rPr>
              <w:t>投資インプリ</w:t>
            </w:r>
          </w:p>
        </w:tc>
      </w:tr>
      <w:tr>
        <w:tc>
          <w:tcPr>
            <w:tcW w:type="dxa" w:w="3135"/>
          </w:tcPr>
          <w:p>
            <w:r>
              <w:rPr>
                <w:rFonts w:ascii="Meiryo UI" w:hAnsi="Meiryo UI"/>
                <w:sz w:val="18"/>
              </w:rPr>
              <w:t>OP +48%（¥902億）</w:t>
            </w:r>
          </w:p>
        </w:tc>
        <w:tc>
          <w:tcPr>
            <w:tcW w:type="dxa" w:w="3135"/>
          </w:tcPr>
          <w:p>
            <w:r>
              <w:rPr>
                <w:rFonts w:ascii="Meiryo UI" w:hAnsi="Meiryo UI"/>
                <w:sz w:val="18"/>
              </w:rPr>
              <w:t>3期連続最高益確定</w:t>
            </w:r>
          </w:p>
        </w:tc>
        <w:tc>
          <w:tcPr>
            <w:tcW w:type="dxa" w:w="3135"/>
          </w:tcPr>
          <w:p>
            <w:r>
              <w:rPr>
                <w:rFonts w:ascii="Meiryo UI" w:hAnsi="Meiryo UI"/>
                <w:sz w:val="18"/>
              </w:rPr>
              <w:t>DC特需が構造的であることの証明</w:t>
            </w:r>
          </w:p>
        </w:tc>
      </w:tr>
      <w:tr>
        <w:tc>
          <w:tcPr>
            <w:tcW w:type="dxa" w:w="3135"/>
            <w:shd w:val="clear" w:color="auto" w:fill="DDEBF7"/>
          </w:tcPr>
          <w:p>
            <w:r>
              <w:rPr>
                <w:rFonts w:ascii="Meiryo UI" w:hAnsi="Meiryo UI"/>
                <w:sz w:val="18"/>
              </w:rPr>
              <w:t>DPS ¥125（+22.5%）</w:t>
            </w:r>
          </w:p>
        </w:tc>
        <w:tc>
          <w:tcPr>
            <w:tcW w:type="dxa" w:w="3135"/>
            <w:shd w:val="clear" w:color="auto" w:fill="DDEBF7"/>
          </w:tcPr>
          <w:p>
            <w:r>
              <w:rPr>
                <w:rFonts w:ascii="Meiryo UI" w:hAnsi="Meiryo UI"/>
                <w:sz w:val="18"/>
              </w:rPr>
              <w:t>期中増額</w:t>
            </w:r>
          </w:p>
        </w:tc>
        <w:tc>
          <w:tcPr>
            <w:tcW w:type="dxa" w:w="3135"/>
            <w:shd w:val="clear" w:color="auto" w:fill="DDEBF7"/>
          </w:tcPr>
          <w:p>
            <w:r>
              <w:rPr>
                <w:rFonts w:ascii="Meiryo UI" w:hAnsi="Meiryo UI"/>
                <w:sz w:val="18"/>
              </w:rPr>
              <w:t>経営の自信。減配リスクなし</w:t>
            </w:r>
          </w:p>
        </w:tc>
      </w:tr>
      <w:tr>
        <w:tc>
          <w:tcPr>
            <w:tcW w:type="dxa" w:w="3135"/>
          </w:tcPr>
          <w:p>
            <w:r>
              <w:rPr>
                <w:rFonts w:ascii="Meiryo UI" w:hAnsi="Meiryo UI"/>
                <w:sz w:val="18"/>
              </w:rPr>
              <w:t>FY2027 純利益+0.8%</w:t>
            </w:r>
          </w:p>
        </w:tc>
        <w:tc>
          <w:tcPr>
            <w:tcW w:type="dxa" w:w="3135"/>
          </w:tcPr>
          <w:p>
            <w:r>
              <w:rPr>
                <w:rFonts w:ascii="Meiryo UI" w:hAnsi="Meiryo UI"/>
                <w:sz w:val="18"/>
              </w:rPr>
              <w:t>ガイダンス保守的</w:t>
            </w:r>
          </w:p>
        </w:tc>
        <w:tc>
          <w:tcPr>
            <w:tcW w:type="dxa" w:w="3135"/>
          </w:tcPr>
          <w:p>
            <w:r>
              <w:rPr>
                <w:rFonts w:ascii="Meiryo UI" w:hAnsi="Meiryo UI"/>
                <w:sz w:val="18"/>
              </w:rPr>
              <w:t>決算売りの主因。本業問題なし</w:t>
            </w:r>
          </w:p>
        </w:tc>
      </w:tr>
      <w:tr>
        <w:tc>
          <w:tcPr>
            <w:tcW w:type="dxa" w:w="3135"/>
            <w:shd w:val="clear" w:color="auto" w:fill="DDEBF7"/>
          </w:tcPr>
          <w:p>
            <w:r>
              <w:rPr>
                <w:rFonts w:ascii="Meiryo UI" w:hAnsi="Meiryo UI"/>
                <w:sz w:val="18"/>
              </w:rPr>
              <w:t>4Q OPM 15.2%</w:t>
            </w:r>
          </w:p>
        </w:tc>
        <w:tc>
          <w:tcPr>
            <w:tcW w:type="dxa" w:w="3135"/>
            <w:shd w:val="clear" w:color="auto" w:fill="DDEBF7"/>
          </w:tcPr>
          <w:p>
            <w:r>
              <w:rPr>
                <w:rFonts w:ascii="Meiryo UI" w:hAnsi="Meiryo UI"/>
                <w:sz w:val="18"/>
              </w:rPr>
              <w:t>年後半に利益集中</w:t>
            </w:r>
          </w:p>
        </w:tc>
        <w:tc>
          <w:tcPr>
            <w:tcW w:type="dxa" w:w="3135"/>
            <w:shd w:val="clear" w:color="auto" w:fill="DDEBF7"/>
          </w:tcPr>
          <w:p>
            <w:r>
              <w:rPr>
                <w:rFonts w:ascii="Meiryo UI" w:hAnsi="Meiryo UI"/>
                <w:sz w:val="18"/>
              </w:rPr>
              <w:t>H1低OPM→H2高OPMの季節性確認</w:t>
            </w:r>
          </w:p>
        </w:tc>
      </w:tr>
      <w:tr>
        <w:tc>
          <w:tcPr>
            <w:tcW w:type="dxa" w:w="3135"/>
          </w:tcPr>
          <w:p>
            <w:r>
              <w:rPr>
                <w:rFonts w:ascii="Meiryo UI" w:hAnsi="Meiryo UI"/>
                <w:sz w:val="18"/>
              </w:rPr>
              <w:t>ナフサ影響</w:t>
            </w:r>
          </w:p>
        </w:tc>
        <w:tc>
          <w:tcPr>
            <w:tcW w:type="dxa" w:w="3135"/>
          </w:tcPr>
          <w:p>
            <w:r>
              <w:rPr>
                <w:rFonts w:ascii="Meiryo UI" w:hAnsi="Meiryo UI"/>
                <w:sz w:val="18"/>
              </w:rPr>
              <w:t>転嫁確認済み</w:t>
            </w:r>
          </w:p>
        </w:tc>
        <w:tc>
          <w:tcPr>
            <w:tcW w:type="dxa" w:w="3135"/>
          </w:tcPr>
          <w:p>
            <w:r>
              <w:rPr>
                <w:rFonts w:ascii="Meiryo UI" w:hAnsi="Meiryo UI"/>
                <w:sz w:val="18"/>
              </w:rPr>
              <w:t>FY2027への影響は限定的</w:t>
            </w:r>
          </w:p>
        </w:tc>
      </w:tr>
    </w:tbl>
    <w:p/>
    <w:p>
      <w:r>
        <w:t>──────────────────────────────────────────────────</w:t>
      </w:r>
    </w:p>
    <w:p/>
    <w:p>
      <w:pPr>
        <w:pStyle w:val="Heading2"/>
      </w:pPr>
      <w:r>
        <w:rPr>
          <w:rFonts w:ascii="Meiryo UI" w:hAnsi="Meiryo UI"/>
          <w:color w:val="2E74B5"/>
        </w:rPr>
        <w:t>10. 触媒・アクションプラン</w:t>
      </w:r>
    </w:p>
    <w:p/>
    <w:tbl>
      <w:tblPr>
        <w:tblStyle w:val="TableGrid"/>
        <w:tblW w:type="auto" w:w="0"/>
        <w:jc w:val="center"/>
        <w:tblLook w:firstColumn="1" w:firstRow="1" w:lastColumn="0" w:lastRow="0" w:noHBand="0" w:noVBand="1" w:val="04A0"/>
      </w:tblPr>
      <w:tblGrid>
        <w:gridCol w:w="3135"/>
        <w:gridCol w:w="3135"/>
        <w:gridCol w:w="3135"/>
      </w:tblGrid>
      <w:tr>
        <w:tc>
          <w:tcPr>
            <w:tcW w:type="dxa" w:w="3135"/>
            <w:shd w:val="clear" w:color="auto" w:fill="2E74B5"/>
          </w:tcPr>
          <w:p>
            <w:r>
              <w:rPr>
                <w:rFonts w:ascii="Meiryo UI" w:hAnsi="Meiryo UI"/>
                <w:b/>
                <w:color w:val="FFFFFF"/>
                <w:sz w:val="18"/>
              </w:rPr>
              <w:t>時期</w:t>
            </w:r>
          </w:p>
        </w:tc>
        <w:tc>
          <w:tcPr>
            <w:tcW w:type="dxa" w:w="3135"/>
            <w:shd w:val="clear" w:color="auto" w:fill="2E74B5"/>
          </w:tcPr>
          <w:p>
            <w:r>
              <w:rPr>
                <w:rFonts w:ascii="Meiryo UI" w:hAnsi="Meiryo UI"/>
                <w:b/>
                <w:color w:val="FFFFFF"/>
                <w:sz w:val="18"/>
              </w:rPr>
              <w:t>触媒</w:t>
            </w:r>
          </w:p>
        </w:tc>
        <w:tc>
          <w:tcPr>
            <w:tcW w:type="dxa" w:w="3135"/>
            <w:shd w:val="clear" w:color="auto" w:fill="2E74B5"/>
          </w:tcPr>
          <w:p>
            <w:r>
              <w:rPr>
                <w:rFonts w:ascii="Meiryo UI" w:hAnsi="Meiryo UI"/>
                <w:b/>
                <w:color w:val="FFFFFF"/>
                <w:sz w:val="18"/>
              </w:rPr>
              <w:t>判断変化</w:t>
            </w:r>
          </w:p>
        </w:tc>
      </w:tr>
      <w:tr>
        <w:tc>
          <w:tcPr>
            <w:tcW w:type="dxa" w:w="3135"/>
          </w:tcPr>
          <w:p>
            <w:r>
              <w:rPr>
                <w:rFonts w:ascii="Meiryo UI" w:hAnsi="Meiryo UI"/>
                <w:sz w:val="18"/>
              </w:rPr>
              <w:t>即時</w:t>
            </w:r>
          </w:p>
        </w:tc>
        <w:tc>
          <w:tcPr>
            <w:tcW w:type="dxa" w:w="3135"/>
          </w:tcPr>
          <w:p>
            <w:r>
              <w:rPr>
                <w:rFonts w:ascii="Meiryo UI" w:hAnsi="Meiryo UI"/>
                <w:sz w:val="18"/>
              </w:rPr>
              <w:t>決算翌日売り先行</w:t>
            </w:r>
          </w:p>
        </w:tc>
        <w:tc>
          <w:tcPr>
            <w:tcW w:type="dxa" w:w="3135"/>
          </w:tcPr>
          <w:p>
            <w:r>
              <w:rPr>
                <w:rFonts w:ascii="Meiryo UI" w:hAnsi="Meiryo UI"/>
                <w:sz w:val="18"/>
              </w:rPr>
              <w:t>¥6,800以下でBUY転換検討（打診20%）</w:t>
            </w:r>
          </w:p>
        </w:tc>
      </w:tr>
      <w:tr>
        <w:tc>
          <w:tcPr>
            <w:tcW w:type="dxa" w:w="3135"/>
            <w:shd w:val="clear" w:color="auto" w:fill="DDEBF7"/>
          </w:tcPr>
          <w:p>
            <w:r>
              <w:rPr>
                <w:rFonts w:ascii="Meiryo UI" w:hAnsi="Meiryo UI"/>
                <w:sz w:val="18"/>
              </w:rPr>
              <w:t>2026年7月</w:t>
            </w:r>
          </w:p>
        </w:tc>
        <w:tc>
          <w:tcPr>
            <w:tcW w:type="dxa" w:w="3135"/>
            <w:shd w:val="clear" w:color="auto" w:fill="DDEBF7"/>
          </w:tcPr>
          <w:p>
            <w:r>
              <w:rPr>
                <w:rFonts w:ascii="Meiryo UI" w:hAnsi="Meiryo UI"/>
                <w:sz w:val="18"/>
              </w:rPr>
              <w:t>FY2027 Q1決算</w:t>
            </w:r>
          </w:p>
        </w:tc>
        <w:tc>
          <w:tcPr>
            <w:tcW w:type="dxa" w:w="3135"/>
            <w:shd w:val="clear" w:color="auto" w:fill="DDEBF7"/>
          </w:tcPr>
          <w:p>
            <w:r>
              <w:rPr>
                <w:rFonts w:ascii="Meiryo UI" w:hAnsi="Meiryo UI"/>
                <w:sz w:val="18"/>
              </w:rPr>
              <w:t>OP¥250億超（年率換算¥1,000億）でBUY+65格上げ</w:t>
            </w:r>
          </w:p>
        </w:tc>
      </w:tr>
      <w:tr>
        <w:tc>
          <w:tcPr>
            <w:tcW w:type="dxa" w:w="3135"/>
          </w:tcPr>
          <w:p>
            <w:r>
              <w:rPr>
                <w:rFonts w:ascii="Meiryo UI" w:hAnsi="Meiryo UI"/>
                <w:sz w:val="18"/>
              </w:rPr>
              <w:t>2026年秋</w:t>
            </w:r>
          </w:p>
        </w:tc>
        <w:tc>
          <w:tcPr>
            <w:tcW w:type="dxa" w:w="3135"/>
          </w:tcPr>
          <w:p>
            <w:r>
              <w:rPr>
                <w:rFonts w:ascii="Meiryo UI" w:hAnsi="Meiryo UI"/>
                <w:sz w:val="18"/>
              </w:rPr>
              <w:t>受注残開示（中間決算）</w:t>
            </w:r>
          </w:p>
        </w:tc>
        <w:tc>
          <w:tcPr>
            <w:tcW w:type="dxa" w:w="3135"/>
          </w:tcPr>
          <w:p>
            <w:r>
              <w:rPr>
                <w:rFonts w:ascii="Meiryo UI" w:hAnsi="Meiryo UI"/>
                <w:sz w:val="18"/>
              </w:rPr>
              <w:t>受注残¥1兆超確認でBUY+72格上げ</w:t>
            </w:r>
          </w:p>
        </w:tc>
      </w:tr>
      <w:tr>
        <w:tc>
          <w:tcPr>
            <w:tcW w:type="dxa" w:w="3135"/>
            <w:shd w:val="clear" w:color="auto" w:fill="DDEBF7"/>
          </w:tcPr>
          <w:p>
            <w:r>
              <w:rPr>
                <w:rFonts w:ascii="Meiryo UI" w:hAnsi="Meiryo UI"/>
                <w:sz w:val="18"/>
              </w:rPr>
              <w:t>2027年春</w:t>
            </w:r>
          </w:p>
        </w:tc>
        <w:tc>
          <w:tcPr>
            <w:tcW w:type="dxa" w:w="3135"/>
            <w:shd w:val="clear" w:color="auto" w:fill="DDEBF7"/>
          </w:tcPr>
          <w:p>
            <w:r>
              <w:rPr>
                <w:rFonts w:ascii="Meiryo UI" w:hAnsi="Meiryo UI"/>
                <w:sz w:val="18"/>
              </w:rPr>
              <w:t>FY2027通期実績</w:t>
            </w:r>
          </w:p>
        </w:tc>
        <w:tc>
          <w:tcPr>
            <w:tcW w:type="dxa" w:w="3135"/>
            <w:shd w:val="clear" w:color="auto" w:fill="DDEBF7"/>
          </w:tcPr>
          <w:p>
            <w:r>
              <w:rPr>
                <w:rFonts w:ascii="Meiryo UI" w:hAnsi="Meiryo UI"/>
                <w:sz w:val="18"/>
              </w:rPr>
              <w:t>ガイダンス¥970億の上振れ幅がTP再設定の根拠</w:t>
            </w:r>
          </w:p>
        </w:tc>
      </w:tr>
    </w:tbl>
    <w:p/>
    <w:p>
      <w:r>
        <w:rPr>
          <w:rFonts w:ascii="Meiryo UI" w:hAnsi="Meiryo UI"/>
          <w:sz w:val="20"/>
        </w:rPr>
        <w:t>エントリー戦略：</w:t>
      </w:r>
    </w:p>
    <w:p>
      <w:pPr>
        <w:pStyle w:val="ListBullet"/>
      </w:pPr>
      <w:r>
        <w:rPr>
          <w:rFonts w:ascii="Meiryo UI" w:hAnsi="Meiryo UI"/>
          <w:sz w:val="20"/>
        </w:rPr>
        <w:t>¥6,800以下（本日安値圏）：打診20%</w:t>
      </w:r>
    </w:p>
    <w:p>
      <w:pPr>
        <w:pStyle w:val="ListBullet"/>
      </w:pPr>
      <w:r>
        <w:rPr>
          <w:rFonts w:ascii="Meiryo UI" w:hAnsi="Meiryo UI"/>
          <w:sz w:val="20"/>
        </w:rPr>
        <w:t>¥6,500以下：追加20%（PBR2.46倍）</w:t>
      </w:r>
    </w:p>
    <w:p>
      <w:pPr>
        <w:pStyle w:val="ListBullet"/>
      </w:pPr>
      <w:r>
        <w:rPr>
          <w:rFonts w:ascii="Meiryo UI" w:hAnsi="Meiryo UI"/>
          <w:sz w:val="20"/>
        </w:rPr>
        <w:t>本玉：FY2027 Q1でOP上振れ確認後</w:t>
      </w:r>
    </w:p>
    <w:p>
      <w:pPr>
        <w:pStyle w:val="ListBullet"/>
      </w:pPr>
      <w:r>
        <w:rPr>
          <w:rFonts w:ascii="Meiryo UI" w:hAnsi="Meiryo UI"/>
          <w:sz w:val="20"/>
        </w:rPr>
        <w:t>SL：¥5,800</w:t>
      </w:r>
    </w:p>
    <w:p/>
    <w:p>
      <w:r>
        <w:t>──────────────────────────────────────────────────</w:t>
      </w:r>
    </w:p>
    <w:p/>
    <w:p>
      <w:pPr>
        <w:pStyle w:val="Heading2"/>
      </w:pPr>
      <w:r>
        <w:rPr>
          <w:rFonts w:ascii="Meiryo UI" w:hAnsi="Meiryo UI"/>
          <w:color w:val="2E74B5"/>
        </w:rPr>
        <w:t>11. IR質問状（竹村トレードカンパニー名義）</w:t>
      </w:r>
    </w:p>
    <w:p/>
    <w:p>
      <w:r>
        <w:rPr>
          <w:rFonts w:ascii="Meiryo UI" w:hAnsi="Meiryo UI"/>
          <w:sz w:val="20"/>
        </w:rPr>
        <w:t>宛先: きんでん株式会社 IR部門</w:t>
      </w:r>
    </w:p>
    <w:p>
      <w:r>
        <w:rPr>
          <w:rFonts w:ascii="Meiryo UI" w:hAnsi="Meiryo UI"/>
          <w:sz w:val="20"/>
        </w:rPr>
        <w:t>件名: 個人投資家からのご質問（竹村トレードカンパニー）</w:t>
      </w:r>
    </w:p>
    <w:p/>
    <w:p>
      <w:pPr>
        <w:shd w:val="clear" w:color="auto" w:fill="F2F2F2"/>
      </w:pPr>
      <w:r>
        <w:rPr>
          <w:rFonts w:ascii="Courier New" w:hAnsi="Courier New"/>
          <w:sz w:val="16"/>
        </w:rPr>
        <w:t>きんでん株式会社</w:t>
        <w:br/>
        <w:t>投資家向け広報部門 御中</w:t>
        <w:br/>
        <w:br/>
        <w:t>竹村トレードカンパニーの深井と申します。</w:t>
        <w:br/>
        <w:t>下記5点についてご教示いただけますでしょうか。</w:t>
        <w:br/>
        <w:br/>
        <w:t>1. FY2027純利益ガイダンスが+0.8%と実質横ばいになった主因を</w:t>
        <w:br/>
        <w:t xml:space="preserve">   具体的にお聞かせください。税率上昇・特殊要因消失等の</w:t>
        <w:br/>
        <w:t xml:space="preserve">   一時的要因でしょうか、それとも本業の成長鈍化を反映しているのでしょうか。</w:t>
        <w:br/>
        <w:br/>
        <w:t>2. ナフサ供給不足に伴うPVC・PE等電線絶縁材の調達状況について</w:t>
        <w:br/>
        <w:t xml:space="preserve">   現在の入荷状況と今後3ヶ月の見通しをお聞かせください。</w:t>
        <w:br/>
        <w:br/>
        <w:t>3. データセンター電気工事の現在の受注残高と</w:t>
        <w:br/>
        <w:t xml:space="preserve">   FY2027中の完工予定規模をお教えいただけますでしょうか。</w:t>
        <w:br/>
        <w:br/>
        <w:t>4. FY2027のガイダンスはナフサ・銅価格の高騰を</w:t>
        <w:br/>
        <w:t xml:space="preserve">   どのように前提条件として組み込んでいますか。</w:t>
        <w:br/>
        <w:t xml:space="preserve">   材料費上昇が工事採算に与えるリスクの定量感をお聞かせください。</w:t>
        <w:br/>
        <w:br/>
        <w:t>5. 新中期経営計画の策定・開示時期のご予定をお聞かせください。</w:t>
        <w:br/>
        <w:t xml:space="preserve">   FY2026で旧中計売上目標¥7,000億を前倒し達成しましたが、</w:t>
        <w:br/>
        <w:t xml:space="preserve">   次のフェーズの数値目標はいつ頃示されますか。</w:t>
        <w:br/>
        <w:br/>
        <w:t>竹村トレードカンパニー</w:t>
        <w:br/>
        <w:t>アナリスト 深井</w:t>
      </w:r>
    </w:p>
    <w:p/>
    <w:p>
      <w:r>
        <w:t>──────────────────────────────────────────────────</w:t>
      </w:r>
    </w:p>
    <w:p/>
    <w:p>
      <w:r>
        <w:rPr>
          <w:rFonts w:ascii="Meiryo UI" w:hAnsi="Meiryo UI"/>
          <w:sz w:val="20"/>
        </w:rPr>
        <w:t>本レポートは竹村トレードカンパニー内部使用を目的としたものです。</w:t>
      </w:r>
    </w:p>
    <w:p>
      <w:r>
        <w:rPr>
          <w:rFonts w:ascii="Meiryo UI" w:hAnsi="Meiryo UI"/>
          <w:sz w:val="20"/>
        </w:rPr>
        <w:t>レポート生成：深井アナリスト / 2026年4月28日</w:t>
      </w:r>
    </w:p>
    <w:p/>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