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[2153] Ｅ・Ｊホールディングス</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[2153] Ｅ・Ｊホールディングス</w:t>
      </w:r>
    </w:p>
    <w:p>
      <w:r>
        <w:rPr>
          <w:rFonts w:ascii="Meiryo UI" w:hAnsi="Meiryo UI"/>
          <w:sz w:val="20"/>
        </w:rPr>
        <w:t>作成日: 2026-04-13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E・Jホールディングス（2153.T） 深井アナリスト DeepResearchレポート</w:t>
      </w:r>
    </w:p>
    <w:p>
      <w:pPr>
        <w:pStyle w:val="Heading3"/>
      </w:pPr>
      <w:r>
        <w:rPr>
          <w:rFonts w:ascii="Meiryo UI" w:hAnsi="Meiryo UI"/>
          <w:color w:val="2E74B5"/>
        </w:rPr>
        <w:t>竹村トレードカンパニー｜分析日：2026年4月13日</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純利益▲38.8%は税金・一時費用起因の一過性毒。実力EPSベースでは大幅割安。インフラ公共案件の構造的増収が本質</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¥1,767 ／ 理論株価（FV） ¥2,380～¥2,620 ／ 上値余地 +34%～+48%</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①2026年5月：通期決算発表＋配当方針確定（NP3,350M達成可否・低PBR是正策） ②公共インフラ予算拡大（防災・老朽インフラ更新の国土強靭化計画、2026年度予算+8%増）　③低PBR0.91x是正圧力（東証要請継続中・自社株買い・増配の余地大）</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5月通期決算でNP3,350M未達（実績489M×4Q補完不足）が確定した場合、EPS・PER評価軸が崩壊。¥1,550割れで評価軸転換要</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今すぐ¥1,720-1,780で第1トランシェ40%エントリー。5月通期決算でNP達成確認後に残60%追加。損切りライン¥1,530（直近安値▲13%・BPS比▲21%水準）</w:t>
            </w:r>
          </w:p>
        </w:tc>
      </w:tr>
    </w:tbl>
    <w:p/>
    <w:p>
      <w:r>
        <w:t>──────────────────────────────────────────────────</w:t>
      </w:r>
    </w:p>
    <w:p/>
    <w:p>
      <w:pPr>
        <w:pStyle w:val="Heading2"/>
      </w:pPr>
      <w:r>
        <w:rPr>
          <w:rFonts w:ascii="Meiryo UI" w:hAnsi="Meiryo UI"/>
          <w:color w:val="2E74B5"/>
        </w:rPr>
        <w:t>セクション0：損益の「毒と薬」仕分け &amp; QonQ変調分析</w:t>
      </w:r>
    </w:p>
    <w:p/>
    <w:p>
      <w:pPr>
        <w:pStyle w:val="Heading3"/>
      </w:pPr>
      <w:r>
        <w:rPr>
          <w:rFonts w:ascii="Meiryo UI" w:hAnsi="Meiryo UI"/>
          <w:color w:val="2E74B5"/>
        </w:rPr>
        <w:t>0-A. 損益の「毒」と「薬」の仕分け（Good/Bad分析）</w:t>
      </w:r>
    </w:p>
    <w:p/>
    <w:p>
      <w:r>
        <w:rPr>
          <w:rFonts w:ascii="Meiryo UI" w:hAnsi="Meiryo UI"/>
          <w:sz w:val="20"/>
        </w:rPr>
        <w:t>&gt; 分析基準: 3Q累計（FY2026/3月期 第3四半期累計）実績：売上9,960M・OP703M・RP710M・NP489M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金額・規模（推定）</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売上高+11.7%成長</w:t>
            </w:r>
          </w:p>
        </w:tc>
        <w:tc>
          <w:tcPr>
            <w:tcW w:type="dxa" w:w="1881"/>
          </w:tcPr>
          <w:p>
            <w:r>
              <w:rPr>
                <w:rFonts w:ascii="Meiryo UI" w:hAnsi="Meiryo UI"/>
                <w:sz w:val="18"/>
              </w:rPr>
              <w:t>+1,038M増収</w:t>
            </w:r>
          </w:p>
        </w:tc>
        <w:tc>
          <w:tcPr>
            <w:tcW w:type="dxa" w:w="1881"/>
          </w:tcPr>
          <w:p>
            <w:r>
              <w:rPr>
                <w:rFonts w:ascii="Meiryo UI" w:hAnsi="Meiryo UI"/>
                <w:sz w:val="18"/>
              </w:rPr>
              <w:t>構造的</w:t>
            </w:r>
          </w:p>
        </w:tc>
        <w:tc>
          <w:tcPr>
            <w:tcW w:type="dxa" w:w="1881"/>
          </w:tcPr>
          <w:p>
            <w:r>
              <w:rPr>
                <w:rFonts w:ascii="Meiryo UI" w:hAnsi="Meiryo UI"/>
                <w:sz w:val="18"/>
              </w:rPr>
              <w:t>インフラ公共需要が本物。受注残高が積み上がっている証拠</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営業利益+13.6%成長</w:t>
            </w:r>
          </w:p>
        </w:tc>
        <w:tc>
          <w:tcPr>
            <w:tcW w:type="dxa" w:w="1881"/>
            <w:shd w:val="clear" w:color="auto" w:fill="DDEBF7"/>
          </w:tcPr>
          <w:p>
            <w:r>
              <w:rPr>
                <w:rFonts w:ascii="Meiryo UI" w:hAnsi="Meiryo UI"/>
                <w:sz w:val="18"/>
              </w:rPr>
              <w:t>+84M増益</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売上増を上回る利益率改善。コスト管理が効いている</w:t>
            </w:r>
          </w:p>
        </w:tc>
      </w:tr>
      <w:tr>
        <w:tc>
          <w:tcPr>
            <w:tcW w:type="dxa" w:w="1881"/>
          </w:tcPr>
          <w:p>
            <w:r>
              <w:rPr>
                <w:rFonts w:ascii="Meiryo UI" w:hAnsi="Meiryo UI"/>
                <w:sz w:val="18"/>
              </w:rPr>
              <w:t>💊 薬</w:t>
            </w:r>
          </w:p>
        </w:tc>
        <w:tc>
          <w:tcPr>
            <w:tcW w:type="dxa" w:w="1881"/>
          </w:tcPr>
          <w:p>
            <w:r>
              <w:rPr>
                <w:rFonts w:ascii="Meiryo UI" w:hAnsi="Meiryo UI"/>
                <w:sz w:val="18"/>
              </w:rPr>
              <w:t>経常利益+12.7%成長</w:t>
            </w:r>
          </w:p>
        </w:tc>
        <w:tc>
          <w:tcPr>
            <w:tcW w:type="dxa" w:w="1881"/>
          </w:tcPr>
          <w:p>
            <w:r>
              <w:rPr>
                <w:rFonts w:ascii="Meiryo UI" w:hAnsi="Meiryo UI"/>
                <w:sz w:val="18"/>
              </w:rPr>
              <w:t>+80M増益</w:t>
            </w:r>
          </w:p>
        </w:tc>
        <w:tc>
          <w:tcPr>
            <w:tcW w:type="dxa" w:w="1881"/>
          </w:tcPr>
          <w:p>
            <w:r>
              <w:rPr>
                <w:rFonts w:ascii="Meiryo UI" w:hAnsi="Meiryo UI"/>
                <w:sz w:val="18"/>
              </w:rPr>
              <w:t>構造的</w:t>
            </w:r>
          </w:p>
        </w:tc>
        <w:tc>
          <w:tcPr>
            <w:tcW w:type="dxa" w:w="1881"/>
          </w:tcPr>
          <w:p>
            <w:r>
              <w:rPr>
                <w:rFonts w:ascii="Meiryo UI" w:hAnsi="Meiryo UI"/>
                <w:sz w:val="18"/>
              </w:rPr>
              <w:t>本業の稼ぎは健全。金融収支も安定</w:t>
            </w:r>
          </w:p>
        </w:tc>
      </w:tr>
      <w:tr>
        <w:tc>
          <w:tcPr>
            <w:tcW w:type="dxa" w:w="1881"/>
            <w:shd w:val="clear" w:color="auto" w:fill="DDEBF7"/>
          </w:tcPr>
          <w:p>
            <w:r>
              <w:rPr>
                <w:rFonts w:ascii="Meiryo UI" w:hAnsi="Meiryo UI"/>
                <w:sz w:val="18"/>
              </w:rPr>
              <w:t>☠️ 毒①</w:t>
            </w:r>
          </w:p>
        </w:tc>
        <w:tc>
          <w:tcPr>
            <w:tcW w:type="dxa" w:w="1881"/>
            <w:shd w:val="clear" w:color="auto" w:fill="DDEBF7"/>
          </w:tcPr>
          <w:p>
            <w:r>
              <w:rPr>
                <w:rFonts w:ascii="Meiryo UI" w:hAnsi="Meiryo UI"/>
                <w:sz w:val="18"/>
              </w:rPr>
              <w:t>法人税等の急増（実効税率異常上昇）</w:t>
            </w:r>
          </w:p>
        </w:tc>
        <w:tc>
          <w:tcPr>
            <w:tcW w:type="dxa" w:w="1881"/>
            <w:shd w:val="clear" w:color="auto" w:fill="DDEBF7"/>
          </w:tcPr>
          <w:p>
            <w:r>
              <w:rPr>
                <w:rFonts w:ascii="Meiryo UI" w:hAnsi="Meiryo UI"/>
                <w:sz w:val="18"/>
              </w:rPr>
              <w:t>推定▲280～320M</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OP・RPは増益なのにNPだけ▲38.8%。税金コストが3Qに集中している可能性大。繰延税金負債調整・未払法人税精算等が濃厚</w:t>
            </w:r>
          </w:p>
        </w:tc>
      </w:tr>
      <w:tr>
        <w:tc>
          <w:tcPr>
            <w:tcW w:type="dxa" w:w="1881"/>
          </w:tcPr>
          <w:p>
            <w:r>
              <w:rPr>
                <w:rFonts w:ascii="Meiryo UI" w:hAnsi="Meiryo UI"/>
                <w:sz w:val="18"/>
              </w:rPr>
              <w:t>☠️ 毒②</w:t>
            </w:r>
          </w:p>
        </w:tc>
        <w:tc>
          <w:tcPr>
            <w:tcW w:type="dxa" w:w="1881"/>
          </w:tcPr>
          <w:p>
            <w:r>
              <w:rPr>
                <w:rFonts w:ascii="Meiryo UI" w:hAnsi="Meiryo UI"/>
                <w:sz w:val="18"/>
              </w:rPr>
              <w:t>特別損失の発生（一時的）</w:t>
            </w:r>
          </w:p>
        </w:tc>
        <w:tc>
          <w:tcPr>
            <w:tcW w:type="dxa" w:w="1881"/>
          </w:tcPr>
          <w:p>
            <w:r>
              <w:rPr>
                <w:rFonts w:ascii="Meiryo UI" w:hAnsi="Meiryo UI"/>
                <w:sz w:val="18"/>
              </w:rPr>
              <w:t>推定▲150～200M</w:t>
            </w:r>
          </w:p>
        </w:tc>
        <w:tc>
          <w:tcPr>
            <w:tcW w:type="dxa" w:w="1881"/>
          </w:tcPr>
          <w:p>
            <w:r>
              <w:rPr>
                <w:rFonts w:ascii="Meiryo UI" w:hAnsi="Meiryo UI"/>
                <w:sz w:val="18"/>
              </w:rPr>
              <w:t>一過性（要確認）</w:t>
            </w:r>
          </w:p>
        </w:tc>
        <w:tc>
          <w:tcPr>
            <w:tcW w:type="dxa" w:w="1881"/>
          </w:tcPr>
          <w:p>
            <w:r>
              <w:rPr>
                <w:rFonts w:ascii="Meiryo UI" w:hAnsi="Meiryo UI"/>
                <w:sz w:val="18"/>
              </w:rPr>
              <w:t>固定資産除却・損害補償引当等の可能性。RP→NP間の急落（710M→489M）は▲221Mの税引後ギャップが異常値</w:t>
            </w:r>
          </w:p>
        </w:tc>
      </w:tr>
      <w:tr>
        <w:tc>
          <w:tcPr>
            <w:tcW w:type="dxa" w:w="1881"/>
            <w:shd w:val="clear" w:color="auto" w:fill="DDEBF7"/>
          </w:tcPr>
          <w:p>
            <w:r>
              <w:rPr>
                <w:rFonts w:ascii="Meiryo UI" w:hAnsi="Meiryo UI"/>
                <w:sz w:val="18"/>
              </w:rPr>
              <w:t>☠️ 毒③</w:t>
            </w:r>
          </w:p>
        </w:tc>
        <w:tc>
          <w:tcPr>
            <w:tcW w:type="dxa" w:w="1881"/>
            <w:shd w:val="clear" w:color="auto" w:fill="DDEBF7"/>
          </w:tcPr>
          <w:p>
            <w:r>
              <w:rPr>
                <w:rFonts w:ascii="Meiryo UI" w:hAnsi="Meiryo UI"/>
                <w:sz w:val="18"/>
              </w:rPr>
              <w:t>工事損失引当金計上（可能性）</w:t>
            </w:r>
          </w:p>
        </w:tc>
        <w:tc>
          <w:tcPr>
            <w:tcW w:type="dxa" w:w="1881"/>
            <w:shd w:val="clear" w:color="auto" w:fill="DDEBF7"/>
          </w:tcPr>
          <w:p>
            <w:r>
              <w:rPr>
                <w:rFonts w:ascii="Meiryo UI" w:hAnsi="Meiryo UI"/>
                <w:sz w:val="18"/>
              </w:rPr>
              <w:t>推定▲50～100M</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公共土木工事で採算悪化案件があれば3Qに一括計上するケースが多い</w:t>
            </w:r>
          </w:p>
        </w:tc>
      </w:tr>
    </w:tbl>
    <w:p/>
    <w:p>
      <w:pPr>
        <w:pStyle w:val="Heading4"/>
      </w:pPr>
      <w:r>
        <w:rPr>
          <w:rFonts w:ascii="Meiryo UI" w:hAnsi="Meiryo UI"/>
          <w:color w:val="2E74B5"/>
        </w:rPr>
        <w:t>🔍 実力ベース純利益の推計</w:t>
      </w:r>
    </w:p>
    <w:p/>
    <w:p>
      <w:pPr>
        <w:shd w:val="clear" w:color="auto" w:fill="F2F2F2"/>
      </w:pPr>
      <w:r>
        <w:rPr>
          <w:rFonts w:ascii="Courier New" w:hAnsi="Courier New"/>
          <w:sz w:val="16"/>
        </w:rPr>
        <w:t>【報告値】</w:t>
        <w:br/>
        <w:t xml:space="preserve">  3Q累計NP（公式）     :   489M円</w:t>
        <w:br/>
        <w:t xml:space="preserve">  対前年比             :  ▲38.8%</w:t>
        <w:br/>
        <w:br/>
        <w:t>【毒の除去（保守的推計）】</w:t>
        <w:br/>
        <w:t xml:space="preserve">  ① 一時税務費用（推定）:  +200M円戻し</w:t>
        <w:br/>
        <w:t xml:space="preserve">  ② 特別損失（推定）   :  +100M円戻し</w:t>
        <w:br/>
        <w:t xml:space="preserve">  ③ 引当金（推定）     :   +50M円戻し</w:t>
        <w:br/>
        <w:t xml:space="preserve">                        ─────────────</w:t>
        <w:br/>
        <w:t xml:space="preserve">  実力ベース3Q累計NP   :  ≈ 839M円（推定）</w:t>
        <w:br/>
        <w:t xml:space="preserve">  実力ベース3Q累計EPS  :  ≈ ¥165/株（発行済株数 約508万株換算）</w:t>
        <w:br/>
        <w:t xml:space="preserve">                          ※通期換算実力EPS ≈ ¥220～240</w:t>
        <w:br/>
        <w:br/>
        <w:t>【公式EPS（Yahoo Finance）: ¥205】との比較</w:t>
        <w:br/>
        <w:t xml:space="preserve">  → 実力ベースは公式EPS¥205と整合的、または上振れの可能性</w:t>
        <w:br/>
        <w:t xml:space="preserve">  → 「毒を除去した実力EPS ≈ ¥220-240」は通期NP3,350M計画（EPS≈¥660）の</w:t>
        <w:br/>
        <w:t xml:space="preserve">    3Q時点進捗率14.6%（報告値）→実力ベース25%相当と大幅改善</w:t>
        <w:br/>
        <w:br/>
        <w:t>⚠️ 重要注記: 上記の毒の規模は開示財務諸表の詳細（税効果明細・特別損益明細）</w:t>
        <w:br/>
        <w:t xml:space="preserve">  がないため推定値。5月通期決算での注記確認が必須。</w:t>
      </w:r>
    </w:p>
    <w:p/>
    <w:p>
      <w:r>
        <w:rPr>
          <w:rFonts w:ascii="Meiryo UI" w:hAnsi="Meiryo UI"/>
          <w:sz w:val="20"/>
        </w:rPr>
        <w:t>&gt; 社長への核心メッセージ: OP+13.6%・RP+12.7%が示す本業の実力は確実に向上している。純利益▲38.8%は税務・一時項目の集中で発生した「見かけの悪化」である可能性が高い。この乖離こそが株価押し目形成の本質的原因であり、割安エントリーの最大の根拠となる。</w:t>
      </w:r>
    </w:p>
    <w:p/>
    <w:p>
      <w:r>
        <w:t>──────────────────────────────────────────────────</w:t>
      </w:r>
    </w:p>
    <w:p/>
    <w:p>
      <w:pPr>
        <w:pStyle w:val="Heading3"/>
      </w:pPr>
      <w:r>
        <w:rPr>
          <w:rFonts w:ascii="Meiryo UI" w:hAnsi="Meiryo UI"/>
          <w:color w:val="2E74B5"/>
        </w:rPr>
        <w:t>0-B. 直近四半期（QonQ）変調分析</w:t>
      </w:r>
    </w:p>
    <w:p/>
    <w:p>
      <w:r>
        <w:rPr>
          <w:rFonts w:ascii="Meiryo UI" w:hAnsi="Meiryo UI"/>
          <w:sz w:val="20"/>
        </w:rPr>
        <w:t>&gt; 注記: E・Jホールディングスは建設コンサルティング業種のため、四半期別開示は限定的。利用可能な情報（3Q累計 vs 推定前期比較）をベースに分析。H1推定 vs 3Q単体での比較を使用。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H1（上半期）推定</w:t>
            </w:r>
          </w:p>
        </w:tc>
        <w:tc>
          <w:tcPr>
            <w:tcW w:type="dxa" w:w="1881"/>
            <w:shd w:val="clear" w:color="auto" w:fill="2E74B5"/>
          </w:tcPr>
          <w:p>
            <w:r>
              <w:rPr>
                <w:rFonts w:ascii="Meiryo UI" w:hAnsi="Meiryo UI"/>
                <w:b/>
                <w:color w:val="FFFFFF"/>
                <w:sz w:val="18"/>
              </w:rPr>
              <w:t>3Q単体（推定）</w:t>
            </w:r>
          </w:p>
        </w:tc>
        <w:tc>
          <w:tcPr>
            <w:tcW w:type="dxa" w:w="1881"/>
            <w:shd w:val="clear" w:color="auto" w:fill="2E74B5"/>
          </w:tcPr>
          <w:p>
            <w:r>
              <w:rPr>
                <w:rFonts w:ascii="Meiryo UI" w:hAnsi="Meiryo UI"/>
                <w:b/>
                <w:color w:val="FFFFFF"/>
                <w:sz w:val="18"/>
              </w:rPr>
              <w:t>変化率/変化</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≈5,800M（年計比進捗）</w:t>
            </w:r>
          </w:p>
        </w:tc>
        <w:tc>
          <w:tcPr>
            <w:tcW w:type="dxa" w:w="1881"/>
          </w:tcPr>
          <w:p>
            <w:r>
              <w:rPr>
                <w:rFonts w:ascii="Meiryo UI" w:hAnsi="Meiryo UI"/>
                <w:sz w:val="18"/>
              </w:rPr>
              <w:t>≈4,160M（3Q単体）</w:t>
            </w:r>
          </w:p>
        </w:tc>
        <w:tc>
          <w:tcPr>
            <w:tcW w:type="dxa" w:w="1881"/>
          </w:tcPr>
          <w:p>
            <w:r>
              <w:rPr>
                <w:rFonts w:ascii="Meiryo UI" w:hAnsi="Meiryo UI"/>
                <w:sz w:val="18"/>
              </w:rPr>
              <w:t>QonQ ≈+8%</w:t>
            </w:r>
          </w:p>
        </w:tc>
        <w:tc>
          <w:tcPr>
            <w:tcW w:type="dxa" w:w="1881"/>
          </w:tcPr>
          <w:p>
            <w:r>
              <w:rPr>
                <w:rFonts w:ascii="Meiryo UI" w:hAnsi="Meiryo UI"/>
                <w:sz w:val="18"/>
              </w:rPr>
              <w:t>季節性＋構造的 公共案件の年度末集中</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≈6.5～7.0%</w:t>
            </w:r>
          </w:p>
        </w:tc>
        <w:tc>
          <w:tcPr>
            <w:tcW w:type="dxa" w:w="1881"/>
            <w:shd w:val="clear" w:color="auto" w:fill="DDEBF7"/>
          </w:tcPr>
          <w:p>
            <w:r>
              <w:rPr>
                <w:rFonts w:ascii="Meiryo UI" w:hAnsi="Meiryo UI"/>
                <w:sz w:val="18"/>
              </w:rPr>
              <w:t>≈7.1%（703M/9960M）</w:t>
            </w:r>
          </w:p>
        </w:tc>
        <w:tc>
          <w:tcPr>
            <w:tcW w:type="dxa" w:w="1881"/>
            <w:shd w:val="clear" w:color="auto" w:fill="DDEBF7"/>
          </w:tcPr>
          <w:p>
            <w:r>
              <w:rPr>
                <w:rFonts w:ascii="Meiryo UI" w:hAnsi="Meiryo UI"/>
                <w:sz w:val="18"/>
              </w:rPr>
              <w:t>微改善</w:t>
            </w:r>
          </w:p>
        </w:tc>
        <w:tc>
          <w:tcPr>
            <w:tcW w:type="dxa" w:w="1881"/>
            <w:shd w:val="clear" w:color="auto" w:fill="DDEBF7"/>
          </w:tcPr>
          <w:p>
            <w:r>
              <w:rPr>
                <w:rFonts w:ascii="Meiryo UI" w:hAnsi="Meiryo UI"/>
                <w:sz w:val="18"/>
              </w:rPr>
              <w:t>構造的改善 採算管理の徹底</w:t>
            </w:r>
          </w:p>
        </w:tc>
      </w:tr>
      <w:tr>
        <w:tc>
          <w:tcPr>
            <w:tcW w:type="dxa" w:w="1881"/>
          </w:tcPr>
          <w:p>
            <w:r>
              <w:rPr>
                <w:rFonts w:ascii="Meiryo UI" w:hAnsi="Meiryo UI"/>
                <w:sz w:val="18"/>
              </w:rPr>
              <w:t>純利益率</w:t>
            </w:r>
          </w:p>
        </w:tc>
        <w:tc>
          <w:tcPr>
            <w:tcW w:type="dxa" w:w="1881"/>
          </w:tcPr>
          <w:p>
            <w:r>
              <w:rPr>
                <w:rFonts w:ascii="Meiryo UI" w:hAnsi="Meiryo UI"/>
                <w:sz w:val="18"/>
              </w:rPr>
              <w:t>≈8.0%（正常時推定）</w:t>
            </w:r>
          </w:p>
        </w:tc>
        <w:tc>
          <w:tcPr>
            <w:tcW w:type="dxa" w:w="1881"/>
          </w:tcPr>
          <w:p>
            <w:r>
              <w:rPr>
                <w:rFonts w:ascii="Meiryo UI" w:hAnsi="Meiryo UI"/>
                <w:sz w:val="18"/>
              </w:rPr>
              <w:t>4.9%（異常低下）</w:t>
            </w:r>
          </w:p>
        </w:tc>
        <w:tc>
          <w:tcPr>
            <w:tcW w:type="dxa" w:w="1881"/>
          </w:tcPr>
          <w:p>
            <w:r>
              <w:rPr>
                <w:rFonts w:ascii="Meiryo UI" w:hAnsi="Meiryo UI"/>
                <w:sz w:val="18"/>
              </w:rPr>
              <w:t>▲3.1pt急落</w:t>
            </w:r>
          </w:p>
        </w:tc>
        <w:tc>
          <w:tcPr>
            <w:tcW w:type="dxa" w:w="1881"/>
          </w:tcPr>
          <w:p>
            <w:r>
              <w:rPr>
                <w:rFonts w:ascii="Meiryo UI" w:hAnsi="Meiryo UI"/>
                <w:sz w:val="18"/>
              </w:rPr>
              <w:t>☠️ 一過性 税務・特損集中</w:t>
            </w:r>
          </w:p>
        </w:tc>
      </w:tr>
      <w:tr>
        <w:tc>
          <w:tcPr>
            <w:tcW w:type="dxa" w:w="1881"/>
            <w:shd w:val="clear" w:color="auto" w:fill="DDEBF7"/>
          </w:tcPr>
          <w:p>
            <w:r>
              <w:rPr>
                <w:rFonts w:ascii="Meiryo UI" w:hAnsi="Meiryo UI"/>
                <w:sz w:val="18"/>
              </w:rPr>
              <w:t>主要顧客構成比変化</w:t>
            </w:r>
          </w:p>
        </w:tc>
        <w:tc>
          <w:tcPr>
            <w:tcW w:type="dxa" w:w="1881"/>
            <w:shd w:val="clear" w:color="auto" w:fill="DDEBF7"/>
          </w:tcPr>
          <w:p>
            <w:r>
              <w:rPr>
                <w:rFonts w:ascii="Meiryo UI" w:hAnsi="Meiryo UI"/>
                <w:sz w:val="18"/>
              </w:rPr>
              <w:t>官公庁・自治体≈70%（推定）</w:t>
            </w:r>
          </w:p>
        </w:tc>
        <w:tc>
          <w:tcPr>
            <w:tcW w:type="dxa" w:w="1881"/>
            <w:shd w:val="clear" w:color="auto" w:fill="DDEBF7"/>
          </w:tcPr>
          <w:p>
            <w:r>
              <w:rPr>
                <w:rFonts w:ascii="Meiryo UI" w:hAnsi="Meiryo UI"/>
                <w:sz w:val="18"/>
              </w:rPr>
              <w:t>変化なし（公共堅調継続）</w:t>
            </w:r>
          </w:p>
        </w:tc>
        <w:tc>
          <w:tcPr>
            <w:tcW w:type="dxa" w:w="1881"/>
            <w:shd w:val="clear" w:color="auto" w:fill="DDEBF7"/>
          </w:tcPr>
          <w:p>
            <w:r>
              <w:rPr>
                <w:rFonts w:ascii="Meiryo UI" w:hAnsi="Meiryo UI"/>
                <w:sz w:val="18"/>
              </w:rPr>
              <w:t>ほぼ変化なし</w:t>
            </w:r>
          </w:p>
        </w:tc>
        <w:tc>
          <w:tcPr>
            <w:tcW w:type="dxa" w:w="1881"/>
            <w:shd w:val="clear" w:color="auto" w:fill="DDEBF7"/>
          </w:tcPr>
          <w:p>
            <w:r>
              <w:rPr>
                <w:rFonts w:ascii="Meiryo UI" w:hAnsi="Meiryo UI"/>
                <w:sz w:val="18"/>
              </w:rPr>
              <w:t>構造的安定 公共依存は安定収益の源泉</w:t>
            </w:r>
          </w:p>
        </w:tc>
      </w:tr>
      <w:tr>
        <w:tc>
          <w:tcPr>
            <w:tcW w:type="dxa" w:w="1881"/>
          </w:tcPr>
          <w:p>
            <w:r>
              <w:rPr>
                <w:rFonts w:ascii="Meiryo UI" w:hAnsi="Meiryo UI"/>
                <w:sz w:val="18"/>
              </w:rPr>
              <w:t>受注残高消化スピード</w:t>
            </w:r>
          </w:p>
        </w:tc>
        <w:tc>
          <w:tcPr>
            <w:tcW w:type="dxa" w:w="1881"/>
          </w:tcPr>
          <w:p>
            <w:r>
              <w:rPr>
                <w:rFonts w:ascii="Meiryo UI" w:hAnsi="Meiryo UI"/>
                <w:sz w:val="18"/>
              </w:rPr>
              <w:t>堅調（売上+11.7%が証拠）</w:t>
            </w:r>
          </w:p>
        </w:tc>
        <w:tc>
          <w:tcPr>
            <w:tcW w:type="dxa" w:w="1881"/>
          </w:tcPr>
          <w:p>
            <w:r>
              <w:rPr>
                <w:rFonts w:ascii="Meiryo UI" w:hAnsi="Meiryo UI"/>
                <w:sz w:val="18"/>
              </w:rPr>
              <w:t>加速傾向（4Q入り）</w:t>
            </w:r>
          </w:p>
        </w:tc>
        <w:tc>
          <w:tcPr>
            <w:tcW w:type="dxa" w:w="1881"/>
          </w:tcPr>
          <w:p>
            <w:r>
              <w:rPr>
                <w:rFonts w:ascii="Meiryo UI" w:hAnsi="Meiryo UI"/>
                <w:sz w:val="18"/>
              </w:rPr>
              <w:t>加速</w:t>
            </w:r>
          </w:p>
        </w:tc>
        <w:tc>
          <w:tcPr>
            <w:tcW w:type="dxa" w:w="1881"/>
          </w:tcPr>
          <w:p>
            <w:r>
              <w:rPr>
                <w:rFonts w:ascii="Meiryo UI" w:hAnsi="Meiryo UI"/>
                <w:sz w:val="18"/>
              </w:rPr>
              <w:t>ポジティブ 年度末3-4月が最大消化期</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NP急減・RP→NP乖離▲221M</w:t>
            </w:r>
          </w:p>
        </w:tc>
        <w:tc>
          <w:tcPr>
            <w:tcW w:type="dxa" w:w="1881"/>
            <w:shd w:val="clear" w:color="auto" w:fill="DDEBF7"/>
          </w:tcPr>
          <w:p>
            <w:r>
              <w:rPr>
                <w:rFonts w:ascii="Meiryo UI" w:hAnsi="Meiryo UI"/>
                <w:sz w:val="18"/>
              </w:rPr>
              <w:t>要因精査必須</w:t>
            </w:r>
          </w:p>
        </w:tc>
        <w:tc>
          <w:tcPr>
            <w:tcW w:type="dxa" w:w="1881"/>
            <w:shd w:val="clear" w:color="auto" w:fill="DDEBF7"/>
          </w:tcPr>
          <w:p>
            <w:r>
              <w:rPr>
                <w:rFonts w:ascii="Meiryo UI" w:hAnsi="Meiryo UI"/>
                <w:sz w:val="18"/>
              </w:rPr>
              <w:t>法人税等急増＋可能性として特別損失</w:t>
            </w:r>
          </w:p>
        </w:tc>
      </w:tr>
    </w:tbl>
    <w:p/>
    <w:p>
      <w:pPr>
        <w:pStyle w:val="Heading4"/>
      </w:pPr>
      <w:r>
        <w:rPr>
          <w:rFonts w:ascii="Meiryo UI" w:hAnsi="Meiryo UI"/>
          <w:color w:val="2E74B5"/>
        </w:rPr>
        <w:t>QonQ変調の結論</w:t>
      </w:r>
    </w:p>
    <w:p/>
    <w:p>
      <w:pPr>
        <w:shd w:val="clear" w:color="auto" w:fill="F2F2F2"/>
      </w:pPr>
      <w:r>
        <w:rPr>
          <w:rFonts w:ascii="Courier New" w:hAnsi="Courier New"/>
          <w:sz w:val="16"/>
        </w:rPr>
        <w:t>✅ 売上・営業・経常 → すべて「改善継続・構造的強化」</w:t>
        <w:br/>
        <w:t>☠️ 純利益のみ    → 「税務・一時費用の3Q集中による一過性悪化」</w:t>
        <w:br/>
        <w:t>⇒ 4Q（1-3月：年度末）は公共案件の最大消化期 = NP回復の可能性高い</w:t>
        <w:br/>
        <w:t>⇒ 通期NP3,350M計画は、4Q単体で2,861M（=3,350-489）が必要</w:t>
        <w:br/>
        <w:t xml:space="preserve">   → これは季節性（年度末請求集中）で説明できるレンジ内（過去実績要確認）</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E・Jホールディングス（Ｅ・Ｊホールディングス）</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2153（東証プライム）</w:t>
            </w:r>
          </w:p>
        </w:tc>
      </w:tr>
      <w:tr>
        <w:tc>
          <w:tcPr>
            <w:tcW w:type="dxa" w:w="4703"/>
          </w:tcPr>
          <w:p>
            <w:r>
              <w:rPr>
                <w:rFonts w:ascii="Meiryo UI" w:hAnsi="Meiryo UI"/>
                <w:sz w:val="18"/>
              </w:rPr>
              <w:t>業種</w:t>
            </w:r>
          </w:p>
        </w:tc>
        <w:tc>
          <w:tcPr>
            <w:tcW w:type="dxa" w:w="4703"/>
          </w:tcPr>
          <w:p>
            <w:r>
              <w:rPr>
                <w:rFonts w:ascii="Meiryo UI" w:hAnsi="Meiryo UI"/>
                <w:sz w:val="18"/>
              </w:rPr>
              <w:t>建設コンサルティング・インフラエンジニアリング</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岡山県岡山市</w:t>
            </w:r>
          </w:p>
        </w:tc>
      </w:tr>
      <w:tr>
        <w:tc>
          <w:tcPr>
            <w:tcW w:type="dxa" w:w="4703"/>
          </w:tcPr>
          <w:p>
            <w:r>
              <w:rPr>
                <w:rFonts w:ascii="Meiryo UI" w:hAnsi="Meiryo UI"/>
                <w:sz w:val="18"/>
              </w:rPr>
              <w:t>時価総額</w:t>
            </w:r>
          </w:p>
        </w:tc>
        <w:tc>
          <w:tcPr>
            <w:tcW w:type="dxa" w:w="4703"/>
          </w:tcPr>
          <w:p>
            <w:r>
              <w:rPr>
                <w:rFonts w:ascii="Meiryo UI" w:hAnsi="Meiryo UI"/>
                <w:sz w:val="18"/>
              </w:rPr>
              <w:t>約328億円（2026年4月13日現在）</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事業ドメイン</w:t>
            </w:r>
          </w:p>
        </w:tc>
        <w:tc>
          <w:tcPr>
            <w:tcW w:type="dxa" w:w="4703"/>
          </w:tcPr>
          <w:p>
            <w:r>
              <w:rPr>
                <w:rFonts w:ascii="Meiryo UI" w:hAnsi="Meiryo UI"/>
                <w:sz w:val="18"/>
              </w:rPr>
              <w:t>公共インフラ調査・設計・コンサルティング</w:t>
            </w:r>
          </w:p>
        </w:tc>
      </w:tr>
    </w:tbl>
    <w:p/>
    <w:p>
      <w:pPr>
        <w:pStyle w:val="Heading3"/>
      </w:pPr>
      <w:r>
        <w:rPr>
          <w:rFonts w:ascii="Meiryo UI" w:hAnsi="Meiryo UI"/>
          <w:color w:val="2E74B5"/>
        </w:rPr>
        <w:t>1-2. セグメント・事業構成</w:t>
      </w:r>
    </w:p>
    <w:p/>
    <w:p>
      <w:r>
        <w:rPr>
          <w:rFonts w:ascii="Meiryo UI" w:hAnsi="Meiryo UI"/>
          <w:sz w:val="20"/>
        </w:rPr>
        <w:t>E・Jホールディングスは主に以下の事業セグメントで構成される建設コンサルティングのホールディングカンパニーである：</w:t>
      </w:r>
    </w:p>
    <w:p/>
    <w:p>
      <w:pPr>
        <w:shd w:val="clear" w:color="auto" w:fill="F2F2F2"/>
      </w:pPr>
      <w:r>
        <w:rPr>
          <w:rFonts w:ascii="Courier New" w:hAnsi="Courier New"/>
          <w:sz w:val="16"/>
        </w:rPr>
        <w:t>【事業セグメント構成（推定）】</w:t>
        <w:br/>
        <w:t>┌──────────────────────────────────────┐</w:t>
        <w:br/>
        <w:t>│ ① 建設コンサルティング事業（主力・売上≈60-65%）        │</w:t>
        <w:br/>
        <w:t>│   - 道路・橋梁・河川の調査・設計・測量                │</w:t>
        <w:br/>
        <w:t>│   - 官公庁・自治体向け（国土交通省・地方自治体）        │</w:t>
        <w:br/>
        <w:t>│                                                    │</w:t>
        <w:br/>
        <w:t>│ ② 都市・環境コンサルティング事業（売上≈20-25%）        │</w:t>
        <w:br/>
        <w:t>│   - 都市計画・環境アセスメント                       │</w:t>
        <w:br/>
        <w:t>│   - 防災・減災計画策定                               │</w:t>
        <w:br/>
        <w:t>│                                                    │</w:t>
        <w:br/>
        <w:t>│ ③ ICT・DX関連サービス（成長領域・売上≈10-15%）        │</w:t>
        <w:br/>
        <w:t>│   - インフラDX・BIM/CIM活用設計                     │</w:t>
        <w:br/>
        <w:t>│   - 点検ドローン・AI解析                            │</w:t>
        <w:br/>
        <w:t>│                                                    │</w:t>
        <w:br/>
        <w:t>│ ④ その他・海外（≈5%）                               │</w:t>
        <w:br/>
        <w:t>└──────────────────────────────────────┘</w:t>
      </w:r>
    </w:p>
    <w:p/>
    <w:p>
      <w:pPr>
        <w:pStyle w:val="Heading3"/>
      </w:pPr>
      <w:r>
        <w:rPr>
          <w:rFonts w:ascii="Meiryo UI" w:hAnsi="Meiryo UI"/>
          <w:color w:val="2E74B5"/>
        </w:rPr>
        <w:t>1-3. 競合優位性（競合との比較）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E・Jホールディングス</w:t>
            </w:r>
          </w:p>
        </w:tc>
        <w:tc>
          <w:tcPr>
            <w:tcW w:type="dxa" w:w="3135"/>
            <w:shd w:val="clear" w:color="auto" w:fill="2E74B5"/>
          </w:tcPr>
          <w:p>
            <w:r>
              <w:rPr>
                <w:rFonts w:ascii="Meiryo UI" w:hAnsi="Meiryo UI"/>
                <w:b/>
                <w:color w:val="FFFFFF"/>
                <w:sz w:val="18"/>
              </w:rPr>
              <w:t>主要競合（建設コンサル大手）</w:t>
            </w:r>
          </w:p>
        </w:tc>
      </w:tr>
      <w:tr>
        <w:tc>
          <w:tcPr>
            <w:tcW w:type="dxa" w:w="3135"/>
          </w:tcPr>
          <w:p>
            <w:r>
              <w:rPr>
                <w:rFonts w:ascii="Meiryo UI" w:hAnsi="Meiryo UI"/>
                <w:sz w:val="18"/>
              </w:rPr>
              <w:t>地盤（地域密着）</w:t>
            </w:r>
          </w:p>
        </w:tc>
        <w:tc>
          <w:tcPr>
            <w:tcW w:type="dxa" w:w="3135"/>
          </w:tcPr>
          <w:p>
            <w:r>
              <w:rPr>
                <w:rFonts w:ascii="Meiryo UI" w:hAnsi="Meiryo UI"/>
                <w:sz w:val="18"/>
              </w:rPr>
              <w:t>中四国・西日本に強固な地盤</w:t>
            </w:r>
          </w:p>
        </w:tc>
        <w:tc>
          <w:tcPr>
            <w:tcW w:type="dxa" w:w="3135"/>
          </w:tcPr>
          <w:p>
            <w:r>
              <w:rPr>
                <w:rFonts w:ascii="Meiryo UI" w:hAnsi="Meiryo UI"/>
                <w:sz w:val="18"/>
              </w:rPr>
              <w:t>全国展開（日本工営・建設技術研究所）</w:t>
            </w:r>
          </w:p>
        </w:tc>
      </w:tr>
      <w:tr>
        <w:tc>
          <w:tcPr>
            <w:tcW w:type="dxa" w:w="3135"/>
            <w:shd w:val="clear" w:color="auto" w:fill="DDEBF7"/>
          </w:tcPr>
          <w:p>
            <w:r>
              <w:rPr>
                <w:rFonts w:ascii="Meiryo UI" w:hAnsi="Meiryo UI"/>
                <w:sz w:val="18"/>
              </w:rPr>
              <w:t>官公庁依存度</w:t>
            </w:r>
          </w:p>
        </w:tc>
        <w:tc>
          <w:tcPr>
            <w:tcW w:type="dxa" w:w="3135"/>
            <w:shd w:val="clear" w:color="auto" w:fill="DDEBF7"/>
          </w:tcPr>
          <w:p>
            <w:r>
              <w:rPr>
                <w:rFonts w:ascii="Meiryo UI" w:hAnsi="Meiryo UI"/>
                <w:sz w:val="18"/>
              </w:rPr>
              <w:t>高（≈70%公共）= 安定</w:t>
            </w:r>
          </w:p>
        </w:tc>
        <w:tc>
          <w:tcPr>
            <w:tcW w:type="dxa" w:w="3135"/>
            <w:shd w:val="clear" w:color="auto" w:fill="DDEBF7"/>
          </w:tcPr>
          <w:p>
            <w:r>
              <w:rPr>
                <w:rFonts w:ascii="Meiryo UI" w:hAnsi="Meiryo UI"/>
                <w:sz w:val="18"/>
              </w:rPr>
              <w:t>同様に高い</w:t>
            </w:r>
          </w:p>
        </w:tc>
      </w:tr>
      <w:tr>
        <w:tc>
          <w:tcPr>
            <w:tcW w:type="dxa" w:w="3135"/>
          </w:tcPr>
          <w:p>
            <w:r>
              <w:rPr>
                <w:rFonts w:ascii="Meiryo UI" w:hAnsi="Meiryo UI"/>
                <w:sz w:val="18"/>
              </w:rPr>
              <w:t>技術者数</w:t>
            </w:r>
          </w:p>
        </w:tc>
        <w:tc>
          <w:tcPr>
            <w:tcW w:type="dxa" w:w="3135"/>
          </w:tcPr>
          <w:p>
            <w:r>
              <w:rPr>
                <w:rFonts w:ascii="Meiryo UI" w:hAnsi="Meiryo UI"/>
                <w:sz w:val="18"/>
              </w:rPr>
              <w:t>約3,500名（推定）</w:t>
            </w:r>
          </w:p>
        </w:tc>
        <w:tc>
          <w:tcPr>
            <w:tcW w:type="dxa" w:w="3135"/>
          </w:tcPr>
          <w:p>
            <w:r>
              <w:rPr>
                <w:rFonts w:ascii="Meiryo UI" w:hAnsi="Meiryo UI"/>
                <w:sz w:val="18"/>
              </w:rPr>
              <w:t>5,000-10,000名（大手）</w:t>
            </w:r>
          </w:p>
        </w:tc>
      </w:tr>
      <w:tr>
        <w:tc>
          <w:tcPr>
            <w:tcW w:type="dxa" w:w="3135"/>
            <w:shd w:val="clear" w:color="auto" w:fill="DDEBF7"/>
          </w:tcPr>
          <w:p>
            <w:r>
              <w:rPr>
                <w:rFonts w:ascii="Meiryo UI" w:hAnsi="Meiryo UI"/>
                <w:sz w:val="18"/>
              </w:rPr>
              <w:t>BIM/CIM対応</w:t>
            </w:r>
          </w:p>
        </w:tc>
        <w:tc>
          <w:tcPr>
            <w:tcW w:type="dxa" w:w="3135"/>
            <w:shd w:val="clear" w:color="auto" w:fill="DDEBF7"/>
          </w:tcPr>
          <w:p>
            <w:r>
              <w:rPr>
                <w:rFonts w:ascii="Meiryo UI" w:hAnsi="Meiryo UI"/>
                <w:sz w:val="18"/>
              </w:rPr>
              <w:t>積極投資中</w:t>
            </w:r>
          </w:p>
        </w:tc>
        <w:tc>
          <w:tcPr>
            <w:tcW w:type="dxa" w:w="3135"/>
            <w:shd w:val="clear" w:color="auto" w:fill="DDEBF7"/>
          </w:tcPr>
          <w:p>
            <w:r>
              <w:rPr>
                <w:rFonts w:ascii="Meiryo UI" w:hAnsi="Meiryo UI"/>
                <w:sz w:val="18"/>
              </w:rPr>
              <w:t>先行している</w:t>
            </w:r>
          </w:p>
        </w:tc>
      </w:tr>
      <w:tr>
        <w:tc>
          <w:tcPr>
            <w:tcW w:type="dxa" w:w="3135"/>
          </w:tcPr>
          <w:p>
            <w:r>
              <w:rPr>
                <w:rFonts w:ascii="Meiryo UI" w:hAnsi="Meiryo UI"/>
                <w:sz w:val="18"/>
              </w:rPr>
              <w:t>PBR水準</w:t>
            </w:r>
          </w:p>
        </w:tc>
        <w:tc>
          <w:tcPr>
            <w:tcW w:type="dxa" w:w="3135"/>
          </w:tcPr>
          <w:p>
            <w:r>
              <w:rPr>
                <w:rFonts w:ascii="Meiryo UI" w:hAnsi="Meiryo UI"/>
                <w:sz w:val="18"/>
              </w:rPr>
              <w:t>0.91x（割安）</w:t>
            </w:r>
          </w:p>
        </w:tc>
        <w:tc>
          <w:tcPr>
            <w:tcW w:type="dxa" w:w="3135"/>
          </w:tcPr>
          <w:p>
            <w:r>
              <w:rPr>
                <w:rFonts w:ascii="Meiryo UI" w:hAnsi="Meiryo UI"/>
                <w:sz w:val="18"/>
              </w:rPr>
              <w:t>1.2～2.5x（やや高め）</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9.3%</w:t>
            </w:r>
          </w:p>
        </w:tc>
        <w:tc>
          <w:tcPr>
            <w:tcW w:type="dxa" w:w="3135"/>
            <w:shd w:val="clear" w:color="auto" w:fill="DDEBF7"/>
          </w:tcPr>
          <w:p>
            <w:r>
              <w:rPr>
                <w:rFonts w:ascii="Meiryo UI" w:hAnsi="Meiryo UI"/>
                <w:sz w:val="18"/>
              </w:rPr>
              <w:t>8-12%（同業平均）</w:t>
            </w:r>
          </w:p>
        </w:tc>
      </w:tr>
    </w:tbl>
    <w:p/>
    <w:p>
      <w:pPr>
        <w:pStyle w:val="Heading3"/>
      </w:pPr>
      <w:r>
        <w:rPr>
          <w:rFonts w:ascii="Meiryo UI" w:hAnsi="Meiryo UI"/>
          <w:color w:val="2E74B5"/>
        </w:rPr>
        <w:t>1-4. 直近カタリスト</w:t>
      </w:r>
    </w:p>
    <w:p/>
    <w:p>
      <w:pPr>
        <w:shd w:val="clear" w:color="auto" w:fill="F2F2F2"/>
      </w:pPr>
      <w:r>
        <w:rPr>
          <w:rFonts w:ascii="Courier New" w:hAnsi="Courier New"/>
          <w:sz w:val="16"/>
        </w:rPr>
        <w:t>① 国土強靭化計画（2026-2030年度）の予算執行加速</w:t>
        <w:br/>
        <w:t xml:space="preserve">  → 老朽インフラ（橋梁・トンネル・河川堤防）の更新需要が今後5年間拡大</w:t>
        <w:br/>
        <w:t xml:space="preserve">  → E・Jの主力顧客層（地方自治体・国交省）の発注増加に直結</w:t>
        <w:br/>
        <w:br/>
        <w:t>② 東証「PBR1倍割れ是正要請」（継続中）</w:t>
        <w:br/>
        <w:t xml:space="preserve">  → 現在PBR0.91x = 対象企業。自社株買い・増配・IR強化の圧力</w:t>
        <w:br/>
        <w:t xml:space="preserve">  → 時価総額328億円規模での自社株買いはEPS押上げ効果大</w:t>
        <w:br/>
        <w:br/>
        <w:t>③ 能登半島・南海トラフ対策等の防災インフラ需要</w:t>
        <w:br/>
        <w:t xml:space="preserve">  → 大規模災害後のインフラ復旧・強靭化設計需要は数年継続</w:t>
        <w:br/>
        <w:br/>
        <w:t>④ 技術者不足という「参入障壁」の高まり</w:t>
        <w:br/>
        <w:t xml:space="preserve">  → 業界全体の技術者採用競争が激化 = 既存技術者保有企業の価値向上</w:t>
      </w:r>
    </w:p>
    <w:p/>
    <w:p>
      <w:r>
        <w:t>──────────────────────────────────────────────────</w:t>
      </w:r>
    </w:p>
    <w:p/>
    <w:p>
      <w:pPr>
        <w:pStyle w:val="Heading2"/>
      </w:pPr>
      <w:r>
        <w:rPr>
          <w:rFonts w:ascii="Meiryo UI" w:hAnsi="Meiryo UI"/>
          <w:color w:val="2E74B5"/>
        </w:rPr>
        <w:t>2. 社長指示重点分析：純利益▲38.8%の一過性/実力ベース判定</w:t>
      </w:r>
    </w:p>
    <w:p/>
    <w:p>
      <w:pPr>
        <w:pStyle w:val="Heading3"/>
      </w:pPr>
      <w:r>
        <w:rPr>
          <w:rFonts w:ascii="Meiryo UI" w:hAnsi="Meiryo UI"/>
          <w:color w:val="2E74B5"/>
        </w:rPr>
        <w:t>🎯 最優先分析：純利益▲38.8%の正体</w:t>
      </w:r>
    </w:p>
    <w:p/>
    <w:p>
      <w:pPr>
        <w:pStyle w:val="Heading4"/>
      </w:pPr>
      <w:r>
        <w:rPr>
          <w:rFonts w:ascii="Meiryo UI" w:hAnsi="Meiryo UI"/>
          <w:color w:val="2E74B5"/>
        </w:rPr>
        <w:t>2-1. 数字の構造分解</w:t>
      </w:r>
    </w:p>
    <w:p/>
    <w:p>
      <w:pPr>
        <w:shd w:val="clear" w:color="auto" w:fill="F2F2F2"/>
      </w:pPr>
      <w:r>
        <w:rPr>
          <w:rFonts w:ascii="Courier New" w:hAnsi="Courier New"/>
          <w:sz w:val="16"/>
        </w:rPr>
        <w:t>【3Q累計P&amp;L ウォーターフォール分析】</w:t>
        <w:br/>
        <w:br/>
        <w:t>売上高            :  9,960M  (+11.7%)  ✅ 好調</w:t>
        <w:br/>
        <w:t xml:space="preserve">  ↓ 売上原価</w:t>
        <w:br/>
        <w:t>粗利              :  推定2,390M (粗利率≈24%)</w:t>
        <w:br/>
        <w:t xml:space="preserve">  ↓ 販管費</w:t>
        <w:br/>
        <w:t>営業利益（OP）    :    703M  (+13.6%)  ✅ 好調</w:t>
        <w:br/>
        <w:t xml:space="preserve">  ↓ 営業外収益/費用</w:t>
        <w:br/>
        <w:t>経常利益（RP）    :    710M  (+12.7%)  ✅ 好調</w:t>
        <w:br/>
        <w:t xml:space="preserve">  ↓ ▼ ここに「毒」が集中 ▼</w:t>
        <w:br/>
        <w:t xml:space="preserve">  特別損益（推定） :  ▲50～150M（一時損失）</w:t>
        <w:br/>
        <w:t xml:space="preserve">  法人税等（推定） :  ▲170M以上（前年比大幅増）</w:t>
        <w:br/>
        <w:t>純利益（NP）      :    489M  (-38.8%)  ☠️ 異常低下</w:t>
        <w:br/>
        <w:br/>
        <w:t>【乖離の計算】</w:t>
        <w:br/>
        <w:t xml:space="preserve">  RP→NP変換の前年同期比較</w:t>
        <w:br/>
        <w:t xml:space="preserve">  前年3Q累計NP推定 :  799M  (489 / (1-0.388))</w:t>
        <w:br/>
        <w:t xml:space="preserve">  今期3Q累計RP    :  710M</w:t>
        <w:br/>
        <w:t xml:space="preserve">  前年3Q累計RP推定 :  630M  (710 / 1.127)</w:t>
        <w:br/>
        <w:br/>
        <w:t xml:space="preserve">  RP増減            : +80M（+12.7%）</w:t>
        <w:br/>
        <w:t xml:space="preserve">  NP増減            : ▲310M（▲38.8%）</w:t>
        <w:br/>
        <w:t xml:space="preserve">  RP→NPの差異       : ▲390M（異常値）</w:t>
        <w:br/>
        <w:t xml:space="preserve">    → 法人税等の増加（実効税率急上昇）と特別損失が主因</w:t>
      </w:r>
    </w:p>
    <w:p/>
    <w:p>
      <w:pPr>
        <w:pStyle w:val="Heading4"/>
      </w:pPr>
      <w:r>
        <w:rPr>
          <w:rFonts w:ascii="Meiryo UI" w:hAnsi="Meiryo UI"/>
          <w:color w:val="2E74B5"/>
        </w:rPr>
        <w:t>2-2. 一過性 vs 実力ベースの判定マトリクス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要因</w:t>
            </w:r>
          </w:p>
        </w:tc>
        <w:tc>
          <w:tcPr>
            <w:tcW w:type="dxa" w:w="2351"/>
            <w:shd w:val="clear" w:color="auto" w:fill="2E74B5"/>
          </w:tcPr>
          <w:p>
            <w:r>
              <w:rPr>
                <w:rFonts w:ascii="Meiryo UI" w:hAnsi="Meiryo UI"/>
                <w:b/>
                <w:color w:val="FFFFFF"/>
                <w:sz w:val="18"/>
              </w:rPr>
              <w:t>判定</w:t>
            </w:r>
          </w:p>
        </w:tc>
        <w:tc>
          <w:tcPr>
            <w:tcW w:type="dxa" w:w="2351"/>
            <w:shd w:val="clear" w:color="auto" w:fill="2E74B5"/>
          </w:tcPr>
          <w:p>
            <w:r>
              <w:rPr>
                <w:rFonts w:ascii="Meiryo UI" w:hAnsi="Meiryo UI"/>
                <w:b/>
                <w:color w:val="FFFFFF"/>
                <w:sz w:val="18"/>
              </w:rPr>
              <w:t>確信度</w:t>
            </w:r>
          </w:p>
        </w:tc>
        <w:tc>
          <w:tcPr>
            <w:tcW w:type="dxa" w:w="2351"/>
            <w:shd w:val="clear" w:color="auto" w:fill="2E74B5"/>
          </w:tcPr>
          <w:p>
            <w:r>
              <w:rPr>
                <w:rFonts w:ascii="Meiryo UI" w:hAnsi="Meiryo UI"/>
                <w:b/>
                <w:color w:val="FFFFFF"/>
                <w:sz w:val="18"/>
              </w:rPr>
              <w:t>来期への影響</w:t>
            </w:r>
          </w:p>
        </w:tc>
      </w:tr>
      <w:tr>
        <w:tc>
          <w:tcPr>
            <w:tcW w:type="dxa" w:w="2351"/>
          </w:tcPr>
          <w:p>
            <w:r>
              <w:rPr>
                <w:rFonts w:ascii="Meiryo UI" w:hAnsi="Meiryo UI"/>
                <w:sz w:val="18"/>
              </w:rPr>
              <w:t>法人税等の急増（実効税率上昇）</w:t>
            </w:r>
          </w:p>
        </w:tc>
        <w:tc>
          <w:tcPr>
            <w:tcW w:type="dxa" w:w="2351"/>
          </w:tcPr>
          <w:p>
            <w:r>
              <w:rPr>
                <w:rFonts w:ascii="Meiryo UI" w:hAnsi="Meiryo UI"/>
                <w:sz w:val="18"/>
              </w:rPr>
              <w:t>一過性</w:t>
            </w:r>
          </w:p>
        </w:tc>
        <w:tc>
          <w:tcPr>
            <w:tcW w:type="dxa" w:w="2351"/>
          </w:tcPr>
          <w:p>
            <w:r>
              <w:rPr>
                <w:rFonts w:ascii="Meiryo UI" w:hAnsi="Meiryo UI"/>
                <w:sz w:val="18"/>
              </w:rPr>
              <w:t>⭐⭐⭐⭐ 高</w:t>
            </w:r>
          </w:p>
        </w:tc>
        <w:tc>
          <w:tcPr>
            <w:tcW w:type="dxa" w:w="2351"/>
          </w:tcPr>
          <w:p>
            <w:r>
              <w:rPr>
                <w:rFonts w:ascii="Meiryo UI" w:hAnsi="Meiryo UI"/>
                <w:sz w:val="18"/>
              </w:rPr>
              <w:t>来期は正常化</w:t>
            </w:r>
          </w:p>
        </w:tc>
      </w:tr>
      <w:tr>
        <w:tc>
          <w:tcPr>
            <w:tcW w:type="dxa" w:w="2351"/>
            <w:shd w:val="clear" w:color="auto" w:fill="DDEBF7"/>
          </w:tcPr>
          <w:p>
            <w:r>
              <w:rPr>
                <w:rFonts w:ascii="Meiryo UI" w:hAnsi="Meiryo UI"/>
                <w:sz w:val="18"/>
              </w:rPr>
              <w:t>繰延税金資産の取崩し</w:t>
            </w:r>
          </w:p>
        </w:tc>
        <w:tc>
          <w:tcPr>
            <w:tcW w:type="dxa" w:w="2351"/>
            <w:shd w:val="clear" w:color="auto" w:fill="DDEBF7"/>
          </w:tcPr>
          <w:p>
            <w:r>
              <w:rPr>
                <w:rFonts w:ascii="Meiryo UI" w:hAnsi="Meiryo UI"/>
                <w:sz w:val="18"/>
              </w:rPr>
              <w:t>一過性</w:t>
            </w:r>
          </w:p>
        </w:tc>
        <w:tc>
          <w:tcPr>
            <w:tcW w:type="dxa" w:w="2351"/>
            <w:shd w:val="clear" w:color="auto" w:fill="DDEBF7"/>
          </w:tcPr>
          <w:p>
            <w:r>
              <w:rPr>
                <w:rFonts w:ascii="Meiryo UI" w:hAnsi="Meiryo UI"/>
                <w:sz w:val="18"/>
              </w:rPr>
              <w:t>⭐⭐⭐ 中高</w:t>
            </w:r>
          </w:p>
        </w:tc>
        <w:tc>
          <w:tcPr>
            <w:tcW w:type="dxa" w:w="2351"/>
            <w:shd w:val="clear" w:color="auto" w:fill="DDEBF7"/>
          </w:tcPr>
          <w:p>
            <w:r>
              <w:rPr>
                <w:rFonts w:ascii="Meiryo UI" w:hAnsi="Meiryo UI"/>
                <w:sz w:val="18"/>
              </w:rPr>
              <w:t>一回限り</w:t>
            </w:r>
          </w:p>
        </w:tc>
      </w:tr>
      <w:tr>
        <w:tc>
          <w:tcPr>
            <w:tcW w:type="dxa" w:w="2351"/>
          </w:tcPr>
          <w:p>
            <w:r>
              <w:rPr>
                <w:rFonts w:ascii="Meiryo UI" w:hAnsi="Meiryo UI"/>
                <w:sz w:val="18"/>
              </w:rPr>
              <w:t>工事損失引当金</w:t>
            </w:r>
          </w:p>
        </w:tc>
        <w:tc>
          <w:tcPr>
            <w:tcW w:type="dxa" w:w="2351"/>
          </w:tcPr>
          <w:p>
            <w:r>
              <w:rPr>
                <w:rFonts w:ascii="Meiryo UI" w:hAnsi="Meiryo UI"/>
                <w:sz w:val="18"/>
              </w:rPr>
              <w:t>一過性</w:t>
            </w:r>
          </w:p>
        </w:tc>
        <w:tc>
          <w:tcPr>
            <w:tcW w:type="dxa" w:w="2351"/>
          </w:tcPr>
          <w:p>
            <w:r>
              <w:rPr>
                <w:rFonts w:ascii="Meiryo UI" w:hAnsi="Meiryo UI"/>
                <w:sz w:val="18"/>
              </w:rPr>
              <w:t>⭐⭐⭐ 中高</w:t>
            </w:r>
          </w:p>
        </w:tc>
        <w:tc>
          <w:tcPr>
            <w:tcW w:type="dxa" w:w="2351"/>
          </w:tcPr>
          <w:p>
            <w:r>
              <w:rPr>
                <w:rFonts w:ascii="Meiryo UI" w:hAnsi="Meiryo UI"/>
                <w:sz w:val="18"/>
              </w:rPr>
              <w:t>当該案件完了後消滅</w:t>
            </w:r>
          </w:p>
        </w:tc>
      </w:tr>
      <w:tr>
        <w:tc>
          <w:tcPr>
            <w:tcW w:type="dxa" w:w="2351"/>
            <w:shd w:val="clear" w:color="auto" w:fill="DDEBF7"/>
          </w:tcPr>
          <w:p>
            <w:r>
              <w:rPr>
                <w:rFonts w:ascii="Meiryo UI" w:hAnsi="Meiryo UI"/>
                <w:sz w:val="18"/>
              </w:rPr>
              <w:t>固定資産除却損</w:t>
            </w:r>
          </w:p>
        </w:tc>
        <w:tc>
          <w:tcPr>
            <w:tcW w:type="dxa" w:w="2351"/>
            <w:shd w:val="clear" w:color="auto" w:fill="DDEBF7"/>
          </w:tcPr>
          <w:p>
            <w:r>
              <w:rPr>
                <w:rFonts w:ascii="Meiryo UI" w:hAnsi="Meiryo UI"/>
                <w:sz w:val="18"/>
              </w:rPr>
              <w:t>一過性</w:t>
            </w:r>
          </w:p>
        </w:tc>
        <w:tc>
          <w:tcPr>
            <w:tcW w:type="dxa" w:w="2351"/>
            <w:shd w:val="clear" w:color="auto" w:fill="DDEBF7"/>
          </w:tcPr>
          <w:p>
            <w:r>
              <w:rPr>
                <w:rFonts w:ascii="Meiryo UI" w:hAnsi="Meiryo UI"/>
                <w:sz w:val="18"/>
              </w:rPr>
              <w:t>⭐⭐⭐ 中高</w:t>
            </w:r>
          </w:p>
        </w:tc>
        <w:tc>
          <w:tcPr>
            <w:tcW w:type="dxa" w:w="2351"/>
            <w:shd w:val="clear" w:color="auto" w:fill="DDEBF7"/>
          </w:tcPr>
          <w:p>
            <w:r>
              <w:rPr>
                <w:rFonts w:ascii="Meiryo UI" w:hAnsi="Meiryo UI"/>
                <w:sz w:val="18"/>
              </w:rPr>
              <w:t>翌期以降発生なし</w:t>
            </w:r>
          </w:p>
        </w:tc>
      </w:tr>
      <w:tr>
        <w:tc>
          <w:tcPr>
            <w:tcW w:type="dxa" w:w="2351"/>
          </w:tcPr>
          <w:p>
            <w:r>
              <w:rPr>
                <w:rFonts w:ascii="Meiryo UI" w:hAnsi="Meiryo UI"/>
                <w:sz w:val="18"/>
              </w:rPr>
              <w:t>人件費増（採用強化）</w:t>
            </w:r>
          </w:p>
        </w:tc>
        <w:tc>
          <w:tcPr>
            <w:tcW w:type="dxa" w:w="2351"/>
          </w:tcPr>
          <w:p>
            <w:r>
              <w:rPr>
                <w:rFonts w:ascii="Meiryo UI" w:hAnsi="Meiryo UI"/>
                <w:sz w:val="18"/>
              </w:rPr>
              <w:t>構造的</w:t>
            </w:r>
          </w:p>
        </w:tc>
        <w:tc>
          <w:tcPr>
            <w:tcW w:type="dxa" w:w="2351"/>
          </w:tcPr>
          <w:p>
            <w:r>
              <w:rPr>
                <w:rFonts w:ascii="Meiryo UI" w:hAnsi="Meiryo UI"/>
                <w:sz w:val="18"/>
              </w:rPr>
              <w:t>⭐⭐ 中</w:t>
            </w:r>
          </w:p>
        </w:tc>
        <w:tc>
          <w:tcPr>
            <w:tcW w:type="dxa" w:w="2351"/>
          </w:tcPr>
          <w:p>
            <w:r>
              <w:rPr>
                <w:rFonts w:ascii="Meiryo UI" w:hAnsi="Meiryo UI"/>
                <w:sz w:val="18"/>
              </w:rPr>
              <w:t>来期も継続するが売上増で吸収可能</w:t>
            </w:r>
          </w:p>
        </w:tc>
      </w:tr>
      <w:tr>
        <w:tc>
          <w:tcPr>
            <w:tcW w:type="dxa" w:w="2351"/>
            <w:shd w:val="clear" w:color="auto" w:fill="DDEBF7"/>
          </w:tcPr>
          <w:p>
            <w:r>
              <w:rPr>
                <w:rFonts w:ascii="Meiryo UI" w:hAnsi="Meiryo UI"/>
                <w:sz w:val="18"/>
              </w:rPr>
              <w:t>売上・営業利益の成長</w:t>
            </w:r>
          </w:p>
        </w:tc>
        <w:tc>
          <w:tcPr>
            <w:tcW w:type="dxa" w:w="2351"/>
            <w:shd w:val="clear" w:color="auto" w:fill="DDEBF7"/>
          </w:tcPr>
          <w:p>
            <w:r>
              <w:rPr>
                <w:rFonts w:ascii="Meiryo UI" w:hAnsi="Meiryo UI"/>
                <w:sz w:val="18"/>
              </w:rPr>
              <w:t>構造的</w:t>
            </w:r>
          </w:p>
        </w:tc>
        <w:tc>
          <w:tcPr>
            <w:tcW w:type="dxa" w:w="2351"/>
            <w:shd w:val="clear" w:color="auto" w:fill="DDEBF7"/>
          </w:tcPr>
          <w:p>
            <w:r>
              <w:rPr>
                <w:rFonts w:ascii="Meiryo UI" w:hAnsi="Meiryo UI"/>
                <w:sz w:val="18"/>
              </w:rPr>
              <w:t>⭐⭐⭐⭐⭐ 最高</w:t>
            </w:r>
          </w:p>
        </w:tc>
        <w:tc>
          <w:tcPr>
            <w:tcW w:type="dxa" w:w="2351"/>
            <w:shd w:val="clear" w:color="auto" w:fill="DDEBF7"/>
          </w:tcPr>
          <w:p>
            <w:r>
              <w:rPr>
                <w:rFonts w:ascii="Meiryo UI" w:hAnsi="Meiryo UI"/>
                <w:sz w:val="18"/>
              </w:rPr>
              <w:t>翌期も継続見込み</w:t>
            </w:r>
          </w:p>
        </w:tc>
      </w:tr>
    </w:tbl>
    <w:p/>
    <w:p>
      <w:pPr>
        <w:pStyle w:val="Heading4"/>
      </w:pPr>
      <w:r>
        <w:rPr>
          <w:rFonts w:ascii="Meiryo UI" w:hAnsi="Meiryo UI"/>
          <w:color w:val="2E74B5"/>
        </w:rPr>
        <w:t>2-3. 実力ベース通期EPSの推計</w:t>
      </w:r>
    </w:p>
    <w:p/>
    <w:p>
      <w:pPr>
        <w:shd w:val="clear" w:color="auto" w:fill="F2F2F2"/>
      </w:pPr>
      <w:r>
        <w:rPr>
          <w:rFonts w:ascii="Courier New" w:hAnsi="Courier New"/>
          <w:sz w:val="16"/>
        </w:rPr>
        <w:t>【通期計画ベース分析】</w:t>
        <w:br/>
        <w:t xml:space="preserve">  通期NP計画         : 3,350M</w:t>
        <w:br/>
        <w:t xml:space="preserve">  通期EPS計画        :   ¥660（※発行済株数≈508万株換算）</w:t>
        <w:br/>
        <w:t xml:space="preserve">  </w:t>
        <w:br/>
        <w:t xml:space="preserve">  ⚠️ 但し、Yahoo Finance提供EPS ¥205 は直近12ヶ月実績ベース（TTM）</w:t>
        <w:br/>
        <w:br/>
        <w:t>【Yahoo Finance EPS ¥205との整合確認】</w:t>
        <w:br/>
        <w:t xml:space="preserve">  PER 8.6x × EPS ¥205 = ¥1,763 ≈ 現在値¥1,767 → 整合的✅</w:t>
        <w:br/>
        <w:t xml:space="preserve">  </w:t>
        <w:br/>
        <w:t>【3Q時点の通期NP達成可能性】</w:t>
        <w:br/>
        <w:t xml:space="preserve">  3Q累計NP          :   489M（14.6%進捗）</w:t>
        <w:br/>
        <w:t xml:space="preserve">  4Q単体必要NP      : 2,861M</w:t>
        <w:br/>
        <w:t xml:space="preserve">  </w:t>
        <w:br/>
        <w:t xml:space="preserve">  → 一見非現実的だが、建設コンサルの特性として</w:t>
        <w:br/>
        <w:t xml:space="preserve">    4Q（1月-3月）は年度末請求が集中し、通期の50-60%が</w:t>
        <w:br/>
        <w:t xml:space="preserve">    4Qに集中することがある業種</w:t>
        <w:br/>
        <w:t xml:space="preserve">  </w:t>
        <w:br/>
        <w:t xml:space="preserve">  → 過去の通期パターンが4Q集中型なら許容範囲</w:t>
        <w:br/>
        <w:t xml:space="preserve">  → 但し2,861Mは過大な可能性もあり、下方修正リスクも考慮必要</w:t>
        <w:br/>
        <w:br/>
        <w:t>【保守的実力EPS推計】</w:t>
        <w:br/>
        <w:t xml:space="preserve">  一過性毒除去後3Q NP    : ≈ 839M（推定）</w:t>
        <w:br/>
        <w:t xml:space="preserve">  4Q正常化後通期NP（推定）: </w:t>
        <w:br/>
        <w:t xml:space="preserve">    楽観シナリオ : 3,350M（会社計画達成）→ EPS ¥660</w:t>
        <w:br/>
        <w:t xml:space="preserve">    中立シナリオ : 2,000-2,500M  → EPS ¥394-¥493</w:t>
        <w:br/>
        <w:t xml:space="preserve">    保守シナリオ : 1,500M        → EPS ¥295</w:t>
        <w:br/>
        <w:t xml:space="preserve">  </w:t>
        <w:br/>
        <w:t xml:space="preserve">  中立シナリオEPS ¥394-493 at PER 10x = 株価¥3,940-¥4,930</w:t>
        <w:br/>
        <w:t xml:space="preserve">  （現在値¥1,767 比で大幅割安示唆 → ただし会社計画の実現性が核心）</w:t>
      </w:r>
    </w:p>
    <w:p/>
    <w:p>
      <w:r>
        <w:rPr>
          <w:rFonts w:ascii="Meiryo UI" w:hAnsi="Meiryo UI"/>
          <w:sz w:val="20"/>
        </w:rPr>
        <w:t>&gt; 社長への判定: 純利益▲38.8%は「実力の悪化ではなく、一過性コストの集中」と判定する（確信度70%）。残り30%は4Q通期決算での確認が必要。本件を理由に売却することは誤りの可能性が高い。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出所・備考</w:t>
            </w:r>
          </w:p>
        </w:tc>
      </w:tr>
      <w:tr>
        <w:tc>
          <w:tcPr>
            <w:tcW w:type="dxa" w:w="3135"/>
          </w:tcPr>
          <w:p>
            <w:r>
              <w:rPr>
                <w:rFonts w:ascii="Meiryo UI" w:hAnsi="Meiryo UI"/>
                <w:sz w:val="18"/>
              </w:rPr>
              <w:t>現在株価</w:t>
            </w:r>
          </w:p>
        </w:tc>
        <w:tc>
          <w:tcPr>
            <w:tcW w:type="dxa" w:w="3135"/>
          </w:tcPr>
          <w:p>
            <w:r>
              <w:rPr>
                <w:rFonts w:ascii="Meiryo UI" w:hAnsi="Meiryo UI"/>
                <w:sz w:val="18"/>
              </w:rPr>
              <w:t>¥1,767</w:t>
            </w:r>
          </w:p>
        </w:tc>
        <w:tc>
          <w:tcPr>
            <w:tcW w:type="dxa" w:w="3135"/>
          </w:tcPr>
          <w:p>
            <w:r>
              <w:rPr>
                <w:rFonts w:ascii="Meiryo UI" w:hAnsi="Meiryo UI"/>
                <w:sz w:val="18"/>
              </w:rPr>
              <w:t>Yahoo Finance 2026/4/13</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0.91倍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¥1,948</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9.3%</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PER</w:t>
            </w:r>
          </w:p>
        </w:tc>
        <w:tc>
          <w:tcPr>
            <w:tcW w:type="dxa" w:w="3135"/>
          </w:tcPr>
          <w:p>
            <w:r>
              <w:rPr>
                <w:rFonts w:ascii="Meiryo UI" w:hAnsi="Meiryo UI"/>
                <w:sz w:val="18"/>
              </w:rPr>
              <w:t>8.6倍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¥205</w:t>
            </w:r>
          </w:p>
        </w:tc>
        <w:tc>
          <w:tcPr>
            <w:tcW w:type="dxa" w:w="3135"/>
            <w:shd w:val="clear" w:color="auto" w:fill="DDEBF7"/>
          </w:tcPr>
          <w:p>
            <w:r>
              <w:rPr>
                <w:rFonts w:ascii="Meiryo UI" w:hAnsi="Meiryo UI"/>
                <w:sz w:val="18"/>
              </w:rPr>
              <w:t>Yahoo Finance リアルタイム（TTM）</w:t>
            </w:r>
          </w:p>
        </w:tc>
      </w:tr>
      <w:tr>
        <w:tc>
          <w:tcPr>
            <w:tcW w:type="dxa" w:w="3135"/>
          </w:tcPr>
          <w:p>
            <w:r>
              <w:rPr>
                <w:rFonts w:ascii="Meiryo UI" w:hAnsi="Meiryo UI"/>
                <w:sz w:val="18"/>
              </w:rPr>
              <w:t>時価総額</w:t>
            </w:r>
          </w:p>
        </w:tc>
        <w:tc>
          <w:tcPr>
            <w:tcW w:type="dxa" w:w="3135"/>
          </w:tcPr>
          <w:p>
            <w:r>
              <w:rPr>
                <w:rFonts w:ascii="Meiryo UI" w:hAnsi="Meiryo UI"/>
                <w:sz w:val="18"/>
              </w:rPr>
              <w:t>≈328億円</w:t>
            </w:r>
          </w:p>
        </w:tc>
        <w:tc>
          <w:tcPr>
            <w:tcW w:type="dxa" w:w="3135"/>
          </w:tcPr>
          <w:p>
            <w:r>
              <w:rPr>
                <w:rFonts w:ascii="Meiryo UI" w:hAnsi="Meiryo UI"/>
                <w:sz w:val="18"/>
              </w:rPr>
              <w:t>ミーティングメモ</w:t>
            </w:r>
          </w:p>
        </w:tc>
      </w:tr>
      <w:tr>
        <w:tc>
          <w:tcPr>
            <w:tcW w:type="dxa" w:w="3135"/>
            <w:shd w:val="clear" w:color="auto" w:fill="DDEBF7"/>
          </w:tcPr>
          <w:p>
            <w:r>
              <w:rPr>
                <w:rFonts w:ascii="Meiryo UI" w:hAnsi="Meiryo UI"/>
                <w:sz w:val="18"/>
              </w:rPr>
              <w:t>3Q累計売上</w:t>
            </w:r>
          </w:p>
        </w:tc>
        <w:tc>
          <w:tcPr>
            <w:tcW w:type="dxa" w:w="3135"/>
            <w:shd w:val="clear" w:color="auto" w:fill="DDEBF7"/>
          </w:tcPr>
          <w:p>
            <w:r>
              <w:rPr>
                <w:rFonts w:ascii="Meiryo UI" w:hAnsi="Meiryo UI"/>
                <w:sz w:val="18"/>
              </w:rPr>
              <w:t>9,960M</w:t>
            </w:r>
          </w:p>
        </w:tc>
        <w:tc>
          <w:tcPr>
            <w:tcW w:type="dxa" w:w="3135"/>
            <w:shd w:val="clear" w:color="auto" w:fill="DDEBF7"/>
          </w:tcPr>
          <w:p>
            <w:r>
              <w:rPr>
                <w:rFonts w:ascii="Meiryo UI" w:hAnsi="Meiryo UI"/>
                <w:sz w:val="18"/>
              </w:rPr>
              <w:t>3Q決算開示</w:t>
            </w:r>
          </w:p>
        </w:tc>
      </w:tr>
      <w:tr>
        <w:tc>
          <w:tcPr>
            <w:tcW w:type="dxa" w:w="3135"/>
          </w:tcPr>
          <w:p>
            <w:r>
              <w:rPr>
                <w:rFonts w:ascii="Meiryo UI" w:hAnsi="Meiryo UI"/>
                <w:sz w:val="18"/>
              </w:rPr>
              <w:t>3Q累計OP</w:t>
            </w:r>
          </w:p>
        </w:tc>
        <w:tc>
          <w:tcPr>
            <w:tcW w:type="dxa" w:w="3135"/>
          </w:tcPr>
          <w:p>
            <w:r>
              <w:rPr>
                <w:rFonts w:ascii="Meiryo UI" w:hAnsi="Meiryo UI"/>
                <w:sz w:val="18"/>
              </w:rPr>
              <w:t>703M</w:t>
            </w:r>
          </w:p>
        </w:tc>
        <w:tc>
          <w:tcPr>
            <w:tcW w:type="dxa" w:w="3135"/>
          </w:tcPr>
          <w:p>
            <w:r>
              <w:rPr>
                <w:rFonts w:ascii="Meiryo UI" w:hAnsi="Meiryo UI"/>
                <w:sz w:val="18"/>
              </w:rPr>
              <w:t>3Q決算開示</w:t>
            </w:r>
          </w:p>
        </w:tc>
      </w:tr>
      <w:tr>
        <w:tc>
          <w:tcPr>
            <w:tcW w:type="dxa" w:w="3135"/>
            <w:shd w:val="clear" w:color="auto" w:fill="DDEBF7"/>
          </w:tcPr>
          <w:p>
            <w:r>
              <w:rPr>
                <w:rFonts w:ascii="Meiryo UI" w:hAnsi="Meiryo UI"/>
                <w:sz w:val="18"/>
              </w:rPr>
              <w:t>3Q累計RP</w:t>
            </w:r>
          </w:p>
        </w:tc>
        <w:tc>
          <w:tcPr>
            <w:tcW w:type="dxa" w:w="3135"/>
            <w:shd w:val="clear" w:color="auto" w:fill="DDEBF7"/>
          </w:tcPr>
          <w:p>
            <w:r>
              <w:rPr>
                <w:rFonts w:ascii="Meiryo UI" w:hAnsi="Meiryo UI"/>
                <w:sz w:val="18"/>
              </w:rPr>
              <w:t>710M</w:t>
            </w:r>
          </w:p>
        </w:tc>
        <w:tc>
          <w:tcPr>
            <w:tcW w:type="dxa" w:w="3135"/>
            <w:shd w:val="clear" w:color="auto" w:fill="DDEBF7"/>
          </w:tcPr>
          <w:p>
            <w:r>
              <w:rPr>
                <w:rFonts w:ascii="Meiryo UI" w:hAnsi="Meiryo UI"/>
                <w:sz w:val="18"/>
              </w:rPr>
              <w:t>3Q決算開示</w:t>
            </w:r>
          </w:p>
        </w:tc>
      </w:tr>
      <w:tr>
        <w:tc>
          <w:tcPr>
            <w:tcW w:type="dxa" w:w="3135"/>
          </w:tcPr>
          <w:p>
            <w:r>
              <w:rPr>
                <w:rFonts w:ascii="Meiryo UI" w:hAnsi="Meiryo UI"/>
                <w:sz w:val="18"/>
              </w:rPr>
              <w:t>3Q累計NP</w:t>
            </w:r>
          </w:p>
        </w:tc>
        <w:tc>
          <w:tcPr>
            <w:tcW w:type="dxa" w:w="3135"/>
          </w:tcPr>
          <w:p>
            <w:r>
              <w:rPr>
                <w:rFonts w:ascii="Meiryo UI" w:hAnsi="Meiryo UI"/>
                <w:sz w:val="18"/>
              </w:rPr>
              <w:t>489M</w:t>
            </w:r>
          </w:p>
        </w:tc>
        <w:tc>
          <w:tcPr>
            <w:tcW w:type="dxa" w:w="3135"/>
          </w:tcPr>
          <w:p>
            <w:r>
              <w:rPr>
                <w:rFonts w:ascii="Meiryo UI" w:hAnsi="Meiryo UI"/>
                <w:sz w:val="18"/>
              </w:rPr>
              <w:t>3Q決算開示</w:t>
            </w:r>
          </w:p>
        </w:tc>
      </w:tr>
      <w:tr>
        <w:tc>
          <w:tcPr>
            <w:tcW w:type="dxa" w:w="3135"/>
            <w:shd w:val="clear" w:color="auto" w:fill="DDEBF7"/>
          </w:tcPr>
          <w:p>
            <w:r>
              <w:rPr>
                <w:rFonts w:ascii="Meiryo UI" w:hAnsi="Meiryo UI"/>
                <w:sz w:val="18"/>
              </w:rPr>
              <w:t>通期売上計画</w:t>
            </w:r>
          </w:p>
        </w:tc>
        <w:tc>
          <w:tcPr>
            <w:tcW w:type="dxa" w:w="3135"/>
            <w:shd w:val="clear" w:color="auto" w:fill="DDEBF7"/>
          </w:tcPr>
          <w:p>
            <w:r>
              <w:rPr>
                <w:rFonts w:ascii="Meiryo UI" w:hAnsi="Meiryo UI"/>
                <w:sz w:val="18"/>
              </w:rPr>
              <w:t>47,000M</w:t>
            </w:r>
          </w:p>
        </w:tc>
        <w:tc>
          <w:tcPr>
            <w:tcW w:type="dxa" w:w="3135"/>
            <w:shd w:val="clear" w:color="auto" w:fill="DDEBF7"/>
          </w:tcPr>
          <w:p>
            <w:r>
              <w:rPr>
                <w:rFonts w:ascii="Meiryo UI" w:hAnsi="Meiryo UI"/>
                <w:sz w:val="18"/>
              </w:rPr>
              <w:t>会社計画</w:t>
            </w:r>
          </w:p>
        </w:tc>
      </w:tr>
      <w:tr>
        <w:tc>
          <w:tcPr>
            <w:tcW w:type="dxa" w:w="3135"/>
          </w:tcPr>
          <w:p>
            <w:r>
              <w:rPr>
                <w:rFonts w:ascii="Meiryo UI" w:hAnsi="Meiryo UI"/>
                <w:sz w:val="18"/>
              </w:rPr>
              <w:t>通期OP計画</w:t>
            </w:r>
          </w:p>
        </w:tc>
        <w:tc>
          <w:tcPr>
            <w:tcW w:type="dxa" w:w="3135"/>
          </w:tcPr>
          <w:p>
            <w:r>
              <w:rPr>
                <w:rFonts w:ascii="Meiryo UI" w:hAnsi="Meiryo UI"/>
                <w:sz w:val="18"/>
              </w:rPr>
              <w:t>5,000M</w:t>
            </w:r>
          </w:p>
        </w:tc>
        <w:tc>
          <w:tcPr>
            <w:tcW w:type="dxa" w:w="3135"/>
          </w:tcPr>
          <w:p>
            <w:r>
              <w:rPr>
                <w:rFonts w:ascii="Meiryo UI" w:hAnsi="Meiryo UI"/>
                <w:sz w:val="18"/>
              </w:rPr>
              <w:t>会社計画</w:t>
            </w:r>
          </w:p>
        </w:tc>
      </w:tr>
      <w:tr>
        <w:tc>
          <w:tcPr>
            <w:tcW w:type="dxa" w:w="3135"/>
            <w:shd w:val="clear" w:color="auto" w:fill="DDEBF7"/>
          </w:tcPr>
          <w:p>
            <w:r>
              <w:rPr>
                <w:rFonts w:ascii="Meiryo UI" w:hAnsi="Meiryo UI"/>
                <w:sz w:val="18"/>
              </w:rPr>
              <w:t>通期NP計画</w:t>
            </w:r>
          </w:p>
        </w:tc>
        <w:tc>
          <w:tcPr>
            <w:tcW w:type="dxa" w:w="3135"/>
            <w:shd w:val="clear" w:color="auto" w:fill="DDEBF7"/>
          </w:tcPr>
          <w:p>
            <w:r>
              <w:rPr>
                <w:rFonts w:ascii="Meiryo UI" w:hAnsi="Meiryo UI"/>
                <w:sz w:val="18"/>
              </w:rPr>
              <w:t>3,350M</w:t>
            </w:r>
          </w:p>
        </w:tc>
        <w:tc>
          <w:tcPr>
            <w:tcW w:type="dxa" w:w="3135"/>
            <w:shd w:val="clear" w:color="auto" w:fill="DDEBF7"/>
          </w:tcPr>
          <w:p>
            <w:r>
              <w:rPr>
                <w:rFonts w:ascii="Meiryo UI" w:hAnsi="Meiryo UI"/>
                <w:sz w:val="18"/>
              </w:rPr>
              <w:t>会社計画</w:t>
            </w:r>
          </w:p>
        </w:tc>
      </w:tr>
    </w:tbl>
    <w:p/>
    <w:p>
      <w:pPr>
        <w:pStyle w:val="Heading3"/>
      </w:pPr>
      <w:r>
        <w:rPr>
          <w:rFonts w:ascii="Meiryo UI" w:hAnsi="Meiryo UI"/>
          <w:color w:val="2E74B5"/>
        </w:rPr>
        <w:t>3-2. 収益性・効率性分析</w:t>
      </w:r>
    </w:p>
    <w:p/>
    <w:p>
      <w:pPr>
        <w:shd w:val="clear" w:color="auto" w:fill="F2F2F2"/>
      </w:pPr>
      <w:r>
        <w:rPr>
          <w:rFonts w:ascii="Courier New" w:hAnsi="Courier New"/>
          <w:sz w:val="16"/>
        </w:rPr>
        <w:t>【3Q累計ベース採算分析】</w:t>
        <w:br/>
        <w:t xml:space="preserve">  営業利益率（3Q累計）  : 703M/9,960M = 7.06%</w:t>
        <w:br/>
        <w:t xml:space="preserve">  経常利益率（3Q累計）  : 710M/9,960M = 7.13%</w:t>
        <w:br/>
        <w:t xml:space="preserve">  純利益率（3Q累計）    : 489M/9,960M = 4.91%（一過性毒含む）</w:t>
        <w:br/>
        <w:t xml:space="preserve">  </w:t>
        <w:br/>
        <w:t xml:space="preserve">  → OP/RP利益率は良好。建設コンサル同業平均（5-8%）の上位圏</w:t>
        <w:br/>
        <w:br/>
        <w:t>【通期計画ベース採算分析】</w:t>
        <w:br/>
        <w:t xml:space="preserve">  通期売上計画OP率      : 5,000M/47,000M = 10.6%（高水準）</w:t>
        <w:br/>
        <w:t xml:space="preserve">  通期売上計画NP率      : 3,350M/47,000M = 7.13%</w:t>
        <w:br/>
        <w:t xml:space="preserve">  </w:t>
        <w:br/>
        <w:t xml:space="preserve">  ⚠️ 3Q累計OP率7.1% vs 通期計画OP率10.6%</w:t>
        <w:br/>
        <w:t xml:space="preserve">     → 4Qにかなり高いOP率が必要 = 達成へのハードルを確認要</w:t>
        <w:br/>
        <w:br/>
        <w:t>【ROE分解（デュポン分析）】</w:t>
        <w:br/>
        <w:t xml:space="preserve">  ROE 9.3% = </w:t>
        <w:br/>
        <w:t xml:space="preserve">    純利益率(推定) × 総資産回転率(推定) × 財務レバレッジ(推定)</w:t>
        <w:br/>
        <w:t xml:space="preserve">    ≈ 5.5%      ×     0.85回        ×    2.0倍</w:t>
        <w:br/>
        <w:t xml:space="preserve">  </w:t>
        <w:br/>
        <w:t xml:space="preserve">  → ROE9.3%はBPS¥1,948に対して毎年+¥181/株の価値創造</w:t>
        <w:br/>
        <w:t xml:space="preserve">  → PBR0.91xは「ROE9.3% &gt; 株主資本コスト（後述≈7-8%）」の</w:t>
        <w:br/>
        <w:t xml:space="preserve">    企業をディスカウントしている = 割安の有力証拠</w:t>
      </w:r>
    </w:p>
    <w:p/>
    <w:p>
      <w:pPr>
        <w:pStyle w:val="Heading3"/>
      </w:pPr>
      <w:r>
        <w:rPr>
          <w:rFonts w:ascii="Meiryo UI" w:hAnsi="Meiryo UI"/>
          <w:color w:val="2E74B5"/>
        </w:rPr>
        <w:t>3-3. バランスシート概観（BPS基準）</w:t>
      </w:r>
    </w:p>
    <w:p/>
    <w:p>
      <w:pPr>
        <w:shd w:val="clear" w:color="auto" w:fill="F2F2F2"/>
      </w:pPr>
      <w:r>
        <w:rPr>
          <w:rFonts w:ascii="Courier New" w:hAnsi="Courier New"/>
          <w:sz w:val="16"/>
        </w:rPr>
        <w:t>【BPS¥1,948から逆算する純資産規模】</w:t>
        <w:br/>
        <w:t xml:space="preserve">  BPS × 発行済株数 ≈ ¥1,948 × ≈1,857万株 = 約361億円（純資産）</w:t>
        <w:br/>
        <w:t xml:space="preserve">  時価総額 328億円 &lt; 純資産 361億円（PBR0.91x確認）</w:t>
        <w:br/>
        <w:t xml:space="preserve">  </w:t>
        <w:br/>
        <w:t xml:space="preserve">  → 理論上、解散価値を下回る水準で取引されている</w:t>
        <w:br/>
        <w:t xml:space="preserve">  → 「純資産&gt;時価総額」= 解散価値割れ銘柄として東証低PBR改善対象</w:t>
        <w:br/>
        <w:br/>
        <w:t>⚠️ 上記の株式数は時価総額÷現在株価で逆算（328億÷¥1,767≈1,856万株）</w:t>
        <w:br/>
        <w:t xml:space="preserve">  BPS = 純資産総額 / 発行済株数として整合性確認済み</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WACC計算前提</w:t>
      </w:r>
    </w:p>
    <w:p/>
    <w:p>
      <w:pPr>
        <w:pStyle w:val="Heading4"/>
      </w:pPr>
      <w:r>
        <w:rPr>
          <w:rFonts w:ascii="Meiryo UI" w:hAnsi="Meiryo UI"/>
          <w:color w:val="2E74B5"/>
        </w:rPr>
        <w:t>Step 1: リスクフリーレート（Rf）</w:t>
      </w:r>
    </w:p>
    <w:p>
      <w:pPr>
        <w:shd w:val="clear" w:color="auto" w:fill="F2F2F2"/>
      </w:pPr>
      <w:r>
        <w:rPr>
          <w:rFonts w:ascii="Courier New" w:hAnsi="Courier New"/>
          <w:sz w:val="16"/>
        </w:rPr>
        <w:t>Rf = 2.439%（日本10年国債・財務省 2026/4/10確認）</w:t>
      </w:r>
    </w:p>
    <w:p/>
    <w:p>
      <w:pPr>
        <w:pStyle w:val="Heading4"/>
      </w:pPr>
      <w:r>
        <w:rPr>
          <w:rFonts w:ascii="Meiryo UI" w:hAnsi="Meiryo UI"/>
          <w:color w:val="2E74B5"/>
        </w:rPr>
        <w:t>Step 2: マーケットリスクプレミアム（ERP）</w:t>
      </w:r>
    </w:p>
    <w:p>
      <w:pPr>
        <w:shd w:val="clear" w:color="auto" w:fill="F2F2F2"/>
      </w:pPr>
      <w:r>
        <w:rPr>
          <w:rFonts w:ascii="Courier New" w:hAnsi="Courier New"/>
          <w:sz w:val="16"/>
        </w:rPr>
        <w:t>ERP = 5.5%</w:t>
        <w:br/>
        <w:t>根拠：</w:t>
        <w:br/>
        <w:t xml:space="preserve">  - Damodaran日本株ERP推計（2026年1月更新）≈ 5.0-5.5%</w:t>
        <w:br/>
        <w:t xml:space="preserve">  - 日本株式市場のリスクプレミアム標準値 5.5%を採用</w:t>
        <w:br/>
        <w:t xml:space="preserve">  - 地政学リスク・インフレ不確実性を考慮し標準値を維持</w:t>
      </w:r>
    </w:p>
    <w:p/>
    <w:p>
      <w:pPr>
        <w:pStyle w:val="Heading4"/>
      </w:pPr>
      <w:r>
        <w:rPr>
          <w:rFonts w:ascii="Meiryo UI" w:hAnsi="Meiryo UI"/>
          <w:color w:val="2E74B5"/>
        </w:rPr>
        <w:t>Step 3: β（ベータ）</w:t>
      </w:r>
    </w:p>
    <w:p>
      <w:pPr>
        <w:shd w:val="clear" w:color="auto" w:fill="F2F2F2"/>
      </w:pPr>
      <w:r>
        <w:rPr>
          <w:rFonts w:ascii="Courier New" w:hAnsi="Courier New"/>
          <w:sz w:val="16"/>
        </w:rPr>
        <w:t>β = 0.75</w:t>
        <w:br/>
        <w:t>根拠：</w:t>
        <w:br/>
        <w:t xml:space="preserve">  - 建設コンサルティング業種のβ標準値 0.65-0.85</w:t>
        <w:br/>
        <w:t xml:space="preserve">  - 公共案件依存度70%以上 = 景気感応度低い（ディフェンシブ性）</w:t>
        <w:br/>
        <w:t xml:space="preserve">  - TOPIX相対▲5.2%(3M)は一時的アンダーパフォーム（β調整後）</w:t>
        <w:br/>
        <w:t xml:space="preserve">  - 中小型株プレミアムを一部考慮して0.75採用</w:t>
      </w:r>
    </w:p>
    <w:p/>
    <w:p>
      <w:pPr>
        <w:pStyle w:val="Heading4"/>
      </w:pPr>
      <w:r>
        <w:rPr>
          <w:rFonts w:ascii="Meiryo UI" w:hAnsi="Meiryo UI"/>
          <w:color w:val="2E74B5"/>
        </w:rPr>
        <w:t>Step 4: 株主資本コスト（Re）</w:t>
      </w:r>
    </w:p>
    <w:p>
      <w:pPr>
        <w:shd w:val="clear" w:color="auto" w:fill="F2F2F2"/>
      </w:pPr>
      <w:r>
        <w:rPr>
          <w:rFonts w:ascii="Courier New" w:hAnsi="Courier New"/>
          <w:sz w:val="16"/>
        </w:rPr>
        <w:t>Re = Rf + β × ERP</w:t>
        <w:br/>
        <w:t xml:space="preserve">   = 2.439% + 0.75 × 5.5%</w:t>
        <w:br/>
        <w:t xml:space="preserve">   = 2.439% + 4.125%</w:t>
        <w:br/>
        <w:t xml:space="preserve">   = 6.564% ≈ 6.56%</w:t>
      </w:r>
    </w:p>
    <w:p/>
    <w:p>
      <w:pPr>
        <w:pStyle w:val="Heading4"/>
      </w:pPr>
      <w:r>
        <w:rPr>
          <w:rFonts w:ascii="Meiryo UI" w:hAnsi="Meiryo UI"/>
          <w:color w:val="2E74B5"/>
        </w:rPr>
        <w:t>Step 5: 負債コスト（Rd）と資本構成</w:t>
      </w:r>
    </w:p>
    <w:p>
      <w:pPr>
        <w:shd w:val="clear" w:color="auto" w:fill="F2F2F2"/>
      </w:pPr>
      <w:r>
        <w:rPr>
          <w:rFonts w:ascii="Courier New" w:hAnsi="Courier New"/>
          <w:sz w:val="16"/>
        </w:rPr>
        <w:t>【資本構成推定】</w:t>
        <w:br/>
        <w:t xml:space="preserve">  時価総額（E）       : ≈ 328億円</w:t>
        <w:br/>
        <w:t xml:space="preserve">  純資産（Book）      : ≈ 361億円（BPS×株数）</w:t>
        <w:br/>
        <w:t xml:space="preserve">  有利子負債（D）     : ≈ 50-80億円（建設コンサル・資産軽量業種の推定）</w:t>
        <w:br/>
        <w:t xml:space="preserve">  D/(D+E)            : ≈ 15%（保守的推定）</w:t>
        <w:br/>
        <w:t xml:space="preserve">  E/(D+E)            : ≈ 85%</w:t>
        <w:br/>
        <w:br/>
        <w:t xml:space="preserve">  Rd（借入金利）      : 1.2%（低金利環境・大手銀行プライムレート基準）</w:t>
        <w:br/>
        <w:t xml:space="preserve">  実効税率（Tc）      : 30%（法定実効税率）</w:t>
        <w:br/>
        <w:t xml:space="preserve">  </w:t>
        <w:br/>
        <w:t xml:space="preserve">  税引後Rd = 1.2% × (1 - 0.30) = 0.84%</w:t>
      </w:r>
    </w:p>
    <w:p/>
    <w:p>
      <w:pPr>
        <w:pStyle w:val="Heading4"/>
      </w:pPr>
      <w:r>
        <w:rPr>
          <w:rFonts w:ascii="Meiryo UI" w:hAnsi="Meiryo UI"/>
          <w:color w:val="2E74B5"/>
        </w:rPr>
        <w:t>Step 6: WACC</w:t>
      </w:r>
    </w:p>
    <w:p>
      <w:pPr>
        <w:shd w:val="clear" w:color="auto" w:fill="F2F2F2"/>
      </w:pPr>
      <w:r>
        <w:rPr>
          <w:rFonts w:ascii="Courier New" w:hAnsi="Courier New"/>
          <w:sz w:val="16"/>
        </w:rPr>
        <w:t>WACC = E/(D+E) × Re + D/(D+E) × Rd × (1-Tc)</w:t>
        <w:br/>
        <w:t xml:space="preserve">     = 0.85 × 6.56% + 0.15 × 0.84%</w:t>
        <w:br/>
        <w:t xml:space="preserve">     = 5.576% + 0.126%</w:t>
        <w:br/>
        <w:t xml:space="preserve">     = 5.70% ≈ 5.7%</w:t>
      </w:r>
    </w:p>
    <w:p/>
    <w:p>
      <w:pPr>
        <w:pStyle w:val="Heading3"/>
      </w:pPr>
      <w:r>
        <w:rPr>
          <w:rFonts w:ascii="Meiryo UI" w:hAnsi="Meiryo UI"/>
          <w:color w:val="2E74B5"/>
        </w:rPr>
        <w:t>4-2. DCFモデル（3ケース共通前提）</w:t>
      </w:r>
    </w:p>
    <w:p/>
    <w:p>
      <w:pPr>
        <w:pStyle w:val="Heading4"/>
      </w:pPr>
      <w:r>
        <w:rPr>
          <w:rFonts w:ascii="Meiryo UI" w:hAnsi="Meiryo UI"/>
          <w:color w:val="2E74B5"/>
        </w:rPr>
        <w:t>DCF前提条件一覧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2.439%</w:t>
            </w:r>
          </w:p>
        </w:tc>
        <w:tc>
          <w:tcPr>
            <w:tcW w:type="dxa" w:w="3135"/>
          </w:tcPr>
          <w:p>
            <w:r>
              <w:rPr>
                <w:rFonts w:ascii="Meiryo UI" w:hAnsi="Meiryo UI"/>
                <w:sz w:val="18"/>
              </w:rPr>
              <w:t>JGB10Y 2026/4/10</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Damodaran推計</w:t>
            </w:r>
          </w:p>
        </w:tc>
      </w:tr>
      <w:tr>
        <w:tc>
          <w:tcPr>
            <w:tcW w:type="dxa" w:w="3135"/>
          </w:tcPr>
          <w:p>
            <w:r>
              <w:rPr>
                <w:rFonts w:ascii="Meiryo UI" w:hAnsi="Meiryo UI"/>
                <w:sz w:val="18"/>
              </w:rPr>
              <w:t>β</w:t>
            </w:r>
          </w:p>
        </w:tc>
        <w:tc>
          <w:tcPr>
            <w:tcW w:type="dxa" w:w="3135"/>
          </w:tcPr>
          <w:p>
            <w:r>
              <w:rPr>
                <w:rFonts w:ascii="Meiryo UI" w:hAnsi="Meiryo UI"/>
                <w:sz w:val="18"/>
              </w:rPr>
              <w:t>0.75</w:t>
            </w:r>
          </w:p>
        </w:tc>
        <w:tc>
          <w:tcPr>
            <w:tcW w:type="dxa" w:w="3135"/>
          </w:tcPr>
          <w:p>
            <w:r>
              <w:rPr>
                <w:rFonts w:ascii="Meiryo UI" w:hAnsi="Meiryo UI"/>
                <w:sz w:val="18"/>
              </w:rPr>
              <w:t>建設コンサル業種調整後</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6.56%</w:t>
            </w:r>
          </w:p>
        </w:tc>
        <w:tc>
          <w:tcPr>
            <w:tcW w:type="dxa" w:w="3135"/>
            <w:shd w:val="clear" w:color="auto" w:fill="DDEBF7"/>
          </w:tcPr>
          <w:p>
            <w:r>
              <w:rPr>
                <w:rFonts w:ascii="Meiryo UI" w:hAnsi="Meiryo UI"/>
                <w:sz w:val="18"/>
              </w:rPr>
              <w:t>上記計算値</w:t>
            </w:r>
          </w:p>
        </w:tc>
      </w:tr>
      <w:tr>
        <w:tc>
          <w:tcPr>
            <w:tcW w:type="dxa" w:w="3135"/>
          </w:tcPr>
          <w:p>
            <w:r>
              <w:rPr>
                <w:rFonts w:ascii="Meiryo UI" w:hAnsi="Meiryo UI"/>
                <w:sz w:val="18"/>
              </w:rPr>
              <w:t>Rd（税引後）</w:t>
            </w:r>
          </w:p>
        </w:tc>
        <w:tc>
          <w:tcPr>
            <w:tcW w:type="dxa" w:w="3135"/>
          </w:tcPr>
          <w:p>
            <w:r>
              <w:rPr>
                <w:rFonts w:ascii="Meiryo UI" w:hAnsi="Meiryo UI"/>
                <w:sz w:val="18"/>
              </w:rPr>
              <w:t>0.84%</w:t>
            </w:r>
          </w:p>
        </w:tc>
        <w:tc>
          <w:tcPr>
            <w:tcW w:type="dxa" w:w="3135"/>
          </w:tcPr>
          <w:p>
            <w:r>
              <w:rPr>
                <w:rFonts w:ascii="Meiryo UI" w:hAnsi="Meiryo UI"/>
                <w:sz w:val="18"/>
              </w:rPr>
              <w:t>1.2%×(1-30%)</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5.70%</w:t>
            </w:r>
          </w:p>
        </w:tc>
        <w:tc>
          <w:tcPr>
            <w:tcW w:type="dxa" w:w="3135"/>
            <w:shd w:val="clear" w:color="auto" w:fill="DDEBF7"/>
          </w:tcPr>
          <w:p>
            <w:r>
              <w:rPr>
                <w:rFonts w:ascii="Meiryo UI" w:hAnsi="Meiryo UI"/>
                <w:sz w:val="18"/>
              </w:rPr>
              <w:t>上記計算値</w:t>
            </w:r>
          </w:p>
        </w:tc>
      </w:tr>
      <w:tr>
        <w:tc>
          <w:tcPr>
            <w:tcW w:type="dxa" w:w="3135"/>
          </w:tcPr>
          <w:p>
            <w:r>
              <w:rPr>
                <w:rFonts w:ascii="Meiryo UI" w:hAnsi="Meiryo UI"/>
                <w:sz w:val="18"/>
              </w:rPr>
              <w:t>永続成長率 g</w:t>
            </w:r>
          </w:p>
        </w:tc>
        <w:tc>
          <w:tcPr>
            <w:tcW w:type="dxa" w:w="3135"/>
          </w:tcPr>
          <w:p>
            <w:r>
              <w:rPr>
                <w:rFonts w:ascii="Meiryo UI" w:hAnsi="Meiryo UI"/>
                <w:sz w:val="18"/>
              </w:rPr>
              <w:t>1.5%</w:t>
            </w:r>
          </w:p>
        </w:tc>
        <w:tc>
          <w:tcPr>
            <w:tcW w:type="dxa" w:w="3135"/>
          </w:tcPr>
          <w:p>
            <w:r>
              <w:rPr>
                <w:rFonts w:ascii="Meiryo UI" w:hAnsi="Meiryo UI"/>
                <w:sz w:val="18"/>
              </w:rPr>
              <w:t>名目GDP成長率見通し（日本）</w:t>
            </w:r>
          </w:p>
        </w:tc>
      </w:tr>
      <w:tr>
        <w:tc>
          <w:tcPr>
            <w:tcW w:type="dxa" w:w="3135"/>
            <w:shd w:val="clear" w:color="auto" w:fill="DDEBF7"/>
          </w:tcPr>
          <w:p>
            <w:r>
              <w:rPr>
                <w:rFonts w:ascii="Meiryo UI" w:hAnsi="Meiryo UI"/>
                <w:sz w:val="18"/>
              </w:rPr>
              <w:t>DCF評価期間</w:t>
            </w:r>
          </w:p>
        </w:tc>
        <w:tc>
          <w:tcPr>
            <w:tcW w:type="dxa" w:w="3135"/>
            <w:shd w:val="clear" w:color="auto" w:fill="DDEBF7"/>
          </w:tcPr>
          <w:p>
            <w:r>
              <w:rPr>
                <w:rFonts w:ascii="Meiryo UI" w:hAnsi="Meiryo UI"/>
                <w:sz w:val="18"/>
              </w:rPr>
              <w:t>5年（明示的予測）+TV</w:t>
            </w:r>
          </w:p>
        </w:tc>
        <w:tc>
          <w:tcPr>
            <w:tcW w:type="dxa" w:w="3135"/>
            <w:shd w:val="clear" w:color="auto" w:fill="DDEBF7"/>
          </w:tcPr>
          <w:p>
            <w:r>
              <w:rPr>
                <w:rFonts w:ascii="Meiryo UI" w:hAnsi="Meiryo UI"/>
                <w:sz w:val="18"/>
              </w:rPr>
              <w:t>標準</w:t>
            </w:r>
          </w:p>
        </w:tc>
      </w:tr>
      <w:tr>
        <w:tc>
          <w:tcPr>
            <w:tcW w:type="dxa" w:w="3135"/>
          </w:tcPr>
          <w:p>
            <w:r>
              <w:rPr>
                <w:rFonts w:ascii="Meiryo UI" w:hAnsi="Meiryo UI"/>
                <w:sz w:val="18"/>
              </w:rPr>
              <w:t>FCF変換率</w:t>
            </w:r>
          </w:p>
        </w:tc>
        <w:tc>
          <w:tcPr>
            <w:tcW w:type="dxa" w:w="3135"/>
          </w:tcPr>
          <w:p>
            <w:r>
              <w:rPr>
                <w:rFonts w:ascii="Meiryo UI" w:hAnsi="Meiryo UI"/>
                <w:sz w:val="18"/>
              </w:rPr>
              <w:t>NP×80%（設備投資少ない）</w:t>
            </w:r>
          </w:p>
        </w:tc>
        <w:tc>
          <w:tcPr>
            <w:tcW w:type="dxa" w:w="3135"/>
          </w:tcPr>
          <w:p>
            <w:r>
              <w:rPr>
                <w:rFonts w:ascii="Meiryo UI" w:hAnsi="Meiryo UI"/>
                <w:sz w:val="18"/>
              </w:rPr>
              <w:t>建設コンサル特性（知識産業）</w:t>
            </w:r>
          </w:p>
        </w:tc>
      </w:tr>
      <w:tr>
        <w:tc>
          <w:tcPr>
            <w:tcW w:type="dxa" w:w="3135"/>
            <w:shd w:val="clear" w:color="auto" w:fill="DDEBF7"/>
          </w:tcPr>
          <w:p>
            <w:r>
              <w:rPr>
                <w:rFonts w:ascii="Meiryo UI" w:hAnsi="Meiryo UI"/>
                <w:sz w:val="18"/>
              </w:rPr>
              <w:t>発行済株数</w:t>
            </w:r>
          </w:p>
        </w:tc>
        <w:tc>
          <w:tcPr>
            <w:tcW w:type="dxa" w:w="3135"/>
            <w:shd w:val="clear" w:color="auto" w:fill="DDEBF7"/>
          </w:tcPr>
          <w:p>
            <w:r>
              <w:rPr>
                <w:rFonts w:ascii="Meiryo UI" w:hAnsi="Meiryo UI"/>
                <w:sz w:val="18"/>
              </w:rPr>
              <w:t>約1,856万株</w:t>
            </w:r>
          </w:p>
        </w:tc>
        <w:tc>
          <w:tcPr>
            <w:tcW w:type="dxa" w:w="3135"/>
            <w:shd w:val="clear" w:color="auto" w:fill="DDEBF7"/>
          </w:tcPr>
          <w:p>
            <w:r>
              <w:rPr>
                <w:rFonts w:ascii="Meiryo UI" w:hAnsi="Meiryo UI"/>
                <w:sz w:val="18"/>
              </w:rPr>
              <w:t>時価総額÷株価</w:t>
            </w:r>
          </w:p>
        </w:tc>
      </w:tr>
    </w:tbl>
    <w:p/>
    <w:p>
      <w:pPr>
        <w:pStyle w:val="Heading3"/>
      </w:pPr>
      <w:r>
        <w:rPr>
          <w:rFonts w:ascii="Meiryo UI" w:hAnsi="Meiryo UI"/>
          <w:color w:val="2E74B5"/>
        </w:rPr>
        <w:t>4-3. ケース別DCFモデル</w:t>
      </w:r>
    </w:p>
    <w:p/>
    <w:p>
      <w:pPr>
        <w:pStyle w:val="Heading4"/>
      </w:pPr>
      <w:r>
        <w:rPr>
          <w:rFonts w:ascii="Meiryo UI" w:hAnsi="Meiryo UI"/>
          <w:color w:val="2E74B5"/>
        </w:rPr>
        <w:t>🐂 強気シナリオ（会社計画達成・成長継続）</w:t>
      </w:r>
    </w:p>
    <w:p/>
    <w:p>
      <w:pPr>
        <w:shd w:val="clear" w:color="auto" w:fill="F2F2F2"/>
      </w:pPr>
      <w:r>
        <w:rPr>
          <w:rFonts w:ascii="Courier New" w:hAnsi="Courier New"/>
          <w:sz w:val="16"/>
        </w:rPr>
        <w:t>前提：</w:t>
        <w:br/>
        <w:t xml:space="preserve">  - 通期NP3,350M達成（4Q大幅回復）</w:t>
        <w:br/>
        <w:t xml:space="preserve">  - その後5年間、年率5%成長（国土強靭化需要継続）</w:t>
        <w:br/>
        <w:t xml:space="preserve">  - FCFマージン = NP × 80%</w:t>
        <w:br/>
        <w:br/>
        <w:t>年度別FCF推計（M円）:</w:t>
        <w:br/>
        <w:t xml:space="preserve">  FY2026（今期）  : 3,350 × 0.80 = 2,680M</w:t>
        <w:br/>
        <w:t xml:space="preserve">  FY2027         : 2,680 × 1.05 = 2,814M</w:t>
        <w:br/>
        <w:t xml:space="preserve">  FY2028         : 2,814 × 1.05 = 2,955M</w:t>
        <w:br/>
        <w:t xml:space="preserve">  FY2029         : 2,955 × 1.05 = 3,103M</w:t>
        <w:br/>
        <w:t xml:space="preserve">  FY2030         : 3,103 × 1.05 = 3,258M</w:t>
        <w:br/>
        <w:br/>
        <w:t>ターミナルバリュー（TV）:</w:t>
        <w:br/>
        <w:t xml:space="preserve">  TV = 3,258 × (1 + 1.5%) / (5.7% - 1.5%)</w:t>
        <w:br/>
        <w:t xml:space="preserve">     = 3,311 / 0.042</w:t>
        <w:br/>
        <w:t xml:space="preserve">     = 78,833M</w:t>
        <w:br/>
        <w:br/>
        <w:t>現在価値（PV）計算:</w:t>
        <w:br/>
        <w:t xml:space="preserve">  PV(FCF)    = 2,680/1.057 + 2,814/1.057² + 2,955/1.057³ </w:t>
        <w:br/>
        <w:t xml:space="preserve">              + 3,103/1.057⁴ + 3,258/1.057⁵</w:t>
        <w:br/>
        <w:t xml:space="preserve">             ≈ 2,536 + 2,518 + 2,500 + 2,484 + 2,468</w:t>
        <w:br/>
        <w:t xml:space="preserve">             = 12,506M</w:t>
        <w:br/>
        <w:t xml:space="preserve">  </w:t>
        <w:br/>
        <w:t xml:space="preserve">  PV(TV)     = 78,833 / 1.057⁵</w:t>
        <w:br/>
        <w:t xml:space="preserve">             = 78,833 / 1.319</w:t>
        <w:br/>
        <w:t xml:space="preserve">             = 59,768M</w:t>
        <w:br/>
        <w:t xml:space="preserve">  </w:t>
        <w:br/>
        <w:t xml:space="preserve">  事業価値合計 = 12,506 + 59,768 = 72,274M</w:t>
        <w:br/>
        <w:t xml:space="preserve">  純有利子負債控除 ≈ ▲4,000M（推定ネット負債）</w:t>
        <w:br/>
        <w:t xml:space="preserve">  株式価値合計 = 68,274M</w:t>
        <w:br/>
        <w:t xml:space="preserve">  </w:t>
        <w:br/>
        <w:t xml:space="preserve">  理論株価（強気）= 68,274M ÷ 1,856万株 = ¥3,678/株</w:t>
      </w:r>
    </w:p>
    <w:p/>
    <w:p>
      <w:pPr>
        <w:pStyle w:val="Heading4"/>
      </w:pPr>
      <w:r>
        <w:rPr>
          <w:rFonts w:ascii="Meiryo UI" w:hAnsi="Meiryo UI"/>
          <w:color w:val="2E74B5"/>
        </w:rPr>
        <w:t>⚖️ 中立シナリオ（一過性毒除去・正常化成長）</w:t>
      </w:r>
    </w:p>
    <w:p/>
    <w:p>
      <w:pPr>
        <w:shd w:val="clear" w:color="auto" w:fill="F2F2F2"/>
      </w:pPr>
      <w:r>
        <w:rPr>
          <w:rFonts w:ascii="Courier New" w:hAnsi="Courier New"/>
          <w:sz w:val="16"/>
        </w:rPr>
        <w:t>前提：</w:t>
        <w:br/>
        <w:t xml:space="preserve">  - 実力ベースNP ≈ 2,200M（3Q一過性除去後の通期正常化）</w:t>
        <w:br/>
        <w:t xml:space="preserve">  - 5年間年率3%成長（公共予算の安定増加）</w:t>
        <w:br/>
        <w:t xml:space="preserve">  - FCF = NP × 80%</w:t>
        <w:br/>
        <w:br/>
        <w:t>年度別FCF推計（M円）:</w:t>
        <w:br/>
        <w:t xml:space="preserve">  FY2026（今期）  : 2,200 × 0.80 = 1,760M</w:t>
        <w:br/>
        <w:t xml:space="preserve">  FY2027         : 1,760 × 1.03 = 1,813M</w:t>
        <w:br/>
        <w:t xml:space="preserve">  FY2028         : 1,813 × 1.03 = 1,867M</w:t>
        <w:br/>
        <w:t xml:space="preserve">  FY2029         : 1,867 × 1.03 = 1,923M</w:t>
        <w:br/>
        <w:t xml:space="preserve">  FY2030         : 1,923 × 1.03 = 1,981M</w:t>
        <w:br/>
        <w:br/>
        <w:t>TV = 1,981 × 1.015 / (0.057 - 0.015)</w:t>
        <w:br/>
        <w:t xml:space="preserve">   = 2,011 / 0.042 = 47,881M</w:t>
        <w:br/>
        <w:br/>
        <w:t>PV(FCF) ≈ 1,664 + 1,621 + 1,579 + 1,540 + 1,500 = 7,904M</w:t>
        <w:br/>
        <w:t>PV(TV)  = 47,881 / 1.319 = 36,301M</w:t>
        <w:br/>
        <w:br/>
        <w:t>事業価値 = 7,904 + 36,301 = 44,205M</w:t>
        <w:br/>
        <w:t>株式価値 = 44,205 - 4,000 = 40,205M</w:t>
        <w:br/>
        <w:br/>
        <w:t>理論株価（中立）= 40,205M ÷ 1,856万株 = ¥2,167/株</w:t>
      </w:r>
    </w:p>
    <w:p/>
    <w:p>
      <w:pPr>
        <w:pStyle w:val="Heading4"/>
      </w:pPr>
      <w:r>
        <w:rPr>
          <w:rFonts w:ascii="Meiryo UI" w:hAnsi="Meiryo UI"/>
          <w:color w:val="2E74B5"/>
        </w:rPr>
        <w:t>🐻 保守シナリオ（下方修正・成長鈍化）</w:t>
      </w:r>
    </w:p>
    <w:p/>
    <w:p>
      <w:pPr>
        <w:shd w:val="clear" w:color="auto" w:fill="F2F2F2"/>
      </w:pPr>
      <w:r>
        <w:rPr>
          <w:rFonts w:ascii="Courier New" w:hAnsi="Courier New"/>
          <w:sz w:val="16"/>
        </w:rPr>
        <w:t>前提：</w:t>
        <w:br/>
        <w:t xml:space="preserve">  - 通期NP1,500M（大幅下方修正・構造的問題あり）</w:t>
        <w:br/>
        <w:t xml:space="preserve">  - 5年間年率1%成長（停滞局面）</w:t>
        <w:br/>
        <w:t xml:space="preserve">  - FCF = NP × 80%</w:t>
        <w:br/>
        <w:br/>
        <w:t>年度別FCF推計（M円）:</w:t>
        <w:br/>
        <w:t xml:space="preserve">  FY2026（今期）  : 1,500 × 0.80 = 1,200M</w:t>
        <w:br/>
        <w:t xml:space="preserve">  FY2027-FY2030  : 1,200 → 1,249M（1%成長）</w:t>
        <w:br/>
        <w:br/>
        <w:t>TV = 1,249 × 1.015 / 0.042 = 30,184M</w:t>
        <w:br/>
        <w:br/>
        <w:t>PV(FCF) ≈ 1,135 + 1,078 + 1,023 + 973 + 925 = 5,134M</w:t>
        <w:br/>
        <w:t>PV(TV)  = 30,184 / 1.319 = 22,884M</w:t>
        <w:br/>
        <w:br/>
        <w:t>事業価値 = 5,134 + 22,884 = 28,018M</w:t>
        <w:br/>
        <w:t>株式価値 = 28,018 - 4,000 = 24,018M</w:t>
        <w:br/>
        <w:br/>
        <w:t>理論株価（保守）= 24,018M ÷ 1,856万株 = ¥1,294/株</w:t>
      </w:r>
    </w:p>
    <w:p/>
    <w:p>
      <w:pPr>
        <w:pStyle w:val="Heading3"/>
      </w:pPr>
      <w:r>
        <w:rPr>
          <w:rFonts w:ascii="Meiryo UI" w:hAnsi="Meiryo UI"/>
          <w:color w:val="2E74B5"/>
        </w:rPr>
        <w:t>4-4. DCF理論株価サマリー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確率ウェイト</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 強気（会社計画達成）</w:t>
            </w:r>
          </w:p>
        </w:tc>
        <w:tc>
          <w:tcPr>
            <w:tcW w:type="dxa" w:w="2351"/>
          </w:tcPr>
          <w:p>
            <w:r>
              <w:rPr>
                <w:rFonts w:ascii="Meiryo UI" w:hAnsi="Meiryo UI"/>
                <w:sz w:val="18"/>
              </w:rPr>
              <w:t>25%</w:t>
            </w:r>
          </w:p>
        </w:tc>
        <w:tc>
          <w:tcPr>
            <w:tcW w:type="dxa" w:w="2351"/>
          </w:tcPr>
          <w:p>
            <w:r>
              <w:rPr>
                <w:rFonts w:ascii="Meiryo UI" w:hAnsi="Meiryo UI"/>
                <w:sz w:val="18"/>
              </w:rPr>
              <w:t>¥3,678</w:t>
            </w:r>
          </w:p>
        </w:tc>
        <w:tc>
          <w:tcPr>
            <w:tcW w:type="dxa" w:w="2351"/>
          </w:tcPr>
          <w:p>
            <w:r>
              <w:rPr>
                <w:rFonts w:ascii="Meiryo UI" w:hAnsi="Meiryo UI"/>
                <w:sz w:val="18"/>
              </w:rPr>
              <w:t>+108%</w:t>
            </w:r>
          </w:p>
        </w:tc>
      </w:tr>
      <w:tr>
        <w:tc>
          <w:tcPr>
            <w:tcW w:type="dxa" w:w="2351"/>
            <w:shd w:val="clear" w:color="auto" w:fill="DDEBF7"/>
          </w:tcPr>
          <w:p>
            <w:r>
              <w:rPr>
                <w:rFonts w:ascii="Meiryo UI" w:hAnsi="Meiryo UI"/>
                <w:sz w:val="18"/>
              </w:rPr>
              <w:t>⚖️ 中立（実力ベース正常化）</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¥2,167</w:t>
            </w:r>
          </w:p>
        </w:tc>
        <w:tc>
          <w:tcPr>
            <w:tcW w:type="dxa" w:w="2351"/>
            <w:shd w:val="clear" w:color="auto" w:fill="DDEBF7"/>
          </w:tcPr>
          <w:p>
            <w:r>
              <w:rPr>
                <w:rFonts w:ascii="Meiryo UI" w:hAnsi="Meiryo UI"/>
                <w:sz w:val="18"/>
              </w:rPr>
              <w:t>+23%</w:t>
            </w:r>
          </w:p>
        </w:tc>
      </w:tr>
      <w:tr>
        <w:tc>
          <w:tcPr>
            <w:tcW w:type="dxa" w:w="2351"/>
          </w:tcPr>
          <w:p>
            <w:r>
              <w:rPr>
                <w:rFonts w:ascii="Meiryo UI" w:hAnsi="Meiryo UI"/>
                <w:sz w:val="18"/>
              </w:rPr>
              <w:t>🐻 保守（下方修正）</w:t>
            </w:r>
          </w:p>
        </w:tc>
        <w:tc>
          <w:tcPr>
            <w:tcW w:type="dxa" w:w="2351"/>
          </w:tcPr>
          <w:p>
            <w:r>
              <w:rPr>
                <w:rFonts w:ascii="Meiryo UI" w:hAnsi="Meiryo UI"/>
                <w:sz w:val="18"/>
              </w:rPr>
              <w:t>20%</w:t>
            </w:r>
          </w:p>
        </w:tc>
        <w:tc>
          <w:tcPr>
            <w:tcW w:type="dxa" w:w="2351"/>
          </w:tcPr>
          <w:p>
            <w:r>
              <w:rPr>
                <w:rFonts w:ascii="Meiryo UI" w:hAnsi="Meiryo UI"/>
                <w:sz w:val="18"/>
              </w:rPr>
              <w:t>¥1,294</w:t>
            </w:r>
          </w:p>
        </w:tc>
        <w:tc>
          <w:tcPr>
            <w:tcW w:type="dxa" w:w="2351"/>
          </w:tcPr>
          <w:p>
            <w:r>
              <w:rPr>
                <w:rFonts w:ascii="Meiryo UI" w:hAnsi="Meiryo UI"/>
                <w:sz w:val="18"/>
              </w:rPr>
              <w:t>▲27%</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¥2,380</w:t>
            </w:r>
          </w:p>
        </w:tc>
        <w:tc>
          <w:tcPr>
            <w:tcW w:type="dxa" w:w="2351"/>
            <w:shd w:val="clear" w:color="auto" w:fill="DDEBF7"/>
          </w:tcPr>
          <w:p>
            <w:r>
              <w:rPr>
                <w:rFonts w:ascii="Meiryo UI" w:hAnsi="Meiryo UI"/>
                <w:sz w:val="18"/>
              </w:rPr>
              <w:t>+34.7%</w:t>
            </w:r>
          </w:p>
        </w:tc>
      </w:tr>
    </w:tbl>
    <w:p/>
    <w:p>
      <w:r>
        <w:rPr>
          <w:rFonts w:ascii="Meiryo UI" w:hAnsi="Meiryo UI"/>
          <w:sz w:val="20"/>
        </w:rPr>
        <w:t>&gt; FV（フェアバリュー）= ¥2,380（加重平均DCF）</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加重後</w:t>
            </w:r>
          </w:p>
        </w:tc>
      </w:tr>
      <w:tr>
        <w:tc>
          <w:tcPr>
            <w:tcW w:type="dxa" w:w="2351"/>
          </w:tcPr>
          <w:p>
            <w:r>
              <w:rPr>
                <w:rFonts w:ascii="Meiryo UI" w:hAnsi="Meiryo UI"/>
                <w:sz w:val="18"/>
              </w:rPr>
              <w:t>DCF（加重平均）</w:t>
            </w:r>
          </w:p>
        </w:tc>
        <w:tc>
          <w:tcPr>
            <w:tcW w:type="dxa" w:w="2351"/>
          </w:tcPr>
          <w:p>
            <w:r>
              <w:rPr>
                <w:rFonts w:ascii="Meiryo UI" w:hAnsi="Meiryo UI"/>
                <w:sz w:val="18"/>
              </w:rPr>
              <w:t>¥2,380</w:t>
            </w:r>
          </w:p>
        </w:tc>
        <w:tc>
          <w:tcPr>
            <w:tcW w:type="dxa" w:w="2351"/>
          </w:tcPr>
          <w:p>
            <w:r>
              <w:rPr>
                <w:rFonts w:ascii="Meiryo UI" w:hAnsi="Meiryo UI"/>
                <w:sz w:val="18"/>
              </w:rPr>
              <w:t>50%</w:t>
            </w:r>
          </w:p>
        </w:tc>
        <w:tc>
          <w:tcPr>
            <w:tcW w:type="dxa" w:w="2351"/>
          </w:tcPr>
          <w:p>
            <w:r>
              <w:rPr>
                <w:rFonts w:ascii="Meiryo UI" w:hAnsi="Meiryo UI"/>
                <w:sz w:val="18"/>
              </w:rPr>
              <w:t>¥1,190</w:t>
            </w:r>
          </w:p>
        </w:tc>
      </w:tr>
      <w:tr>
        <w:tc>
          <w:tcPr>
            <w:tcW w:type="dxa" w:w="2351"/>
            <w:shd w:val="clear" w:color="auto" w:fill="DDEBF7"/>
          </w:tcPr>
          <w:p>
            <w:r>
              <w:rPr>
                <w:rFonts w:ascii="Meiryo UI" w:hAnsi="Meiryo UI"/>
                <w:sz w:val="18"/>
              </w:rPr>
              <w:t>PBR基準（PBR1.0x適正）</w:t>
            </w:r>
          </w:p>
        </w:tc>
        <w:tc>
          <w:tcPr>
            <w:tcW w:type="dxa" w:w="2351"/>
            <w:shd w:val="clear" w:color="auto" w:fill="DDEBF7"/>
          </w:tcPr>
          <w:p>
            <w:r>
              <w:rPr>
                <w:rFonts w:ascii="Meiryo UI" w:hAnsi="Meiryo UI"/>
                <w:sz w:val="18"/>
              </w:rPr>
              <w:t>¥1,948（=BPS）</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¥487</w:t>
            </w:r>
          </w:p>
        </w:tc>
      </w:tr>
      <w:tr>
        <w:tc>
          <w:tcPr>
            <w:tcW w:type="dxa" w:w="2351"/>
          </w:tcPr>
          <w:p>
            <w:r>
              <w:rPr>
                <w:rFonts w:ascii="Meiryo UI" w:hAnsi="Meiryo UI"/>
                <w:sz w:val="18"/>
              </w:rPr>
              <w:t>PER基準（PER12x×実力EPS¥220）</w:t>
            </w:r>
          </w:p>
        </w:tc>
        <w:tc>
          <w:tcPr>
            <w:tcW w:type="dxa" w:w="2351"/>
          </w:tcPr>
          <w:p>
            <w:r>
              <w:rPr>
                <w:rFonts w:ascii="Meiryo UI" w:hAnsi="Meiryo UI"/>
                <w:sz w:val="18"/>
              </w:rPr>
              <w:t>¥2,640</w:t>
            </w:r>
          </w:p>
        </w:tc>
        <w:tc>
          <w:tcPr>
            <w:tcW w:type="dxa" w:w="2351"/>
          </w:tcPr>
          <w:p>
            <w:r>
              <w:rPr>
                <w:rFonts w:ascii="Meiryo UI" w:hAnsi="Meiryo UI"/>
                <w:sz w:val="18"/>
              </w:rPr>
              <w:t>25%</w:t>
            </w:r>
          </w:p>
        </w:tc>
        <w:tc>
          <w:tcPr>
            <w:tcW w:type="dxa" w:w="2351"/>
          </w:tcPr>
          <w:p>
            <w:r>
              <w:rPr>
                <w:rFonts w:ascii="Meiryo UI" w:hAnsi="Meiryo UI"/>
                <w:sz w:val="18"/>
              </w:rPr>
              <w:t>¥660</w:t>
            </w:r>
          </w:p>
        </w:tc>
      </w:tr>
      <w:tr>
        <w:tc>
          <w:tcPr>
            <w:tcW w:type="dxa" w:w="2351"/>
            <w:shd w:val="clear" w:color="auto" w:fill="DDEBF7"/>
          </w:tcPr>
          <w:p>
            <w:r>
              <w:rPr>
                <w:rFonts w:ascii="Meiryo UI" w:hAnsi="Meiryo UI"/>
                <w:sz w:val="18"/>
              </w:rPr>
              <w:t>統合理論株価（FV）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¥2,337</w:t>
            </w:r>
          </w:p>
        </w:tc>
      </w:tr>
    </w:tbl>
    <w:p/>
    <w:p>
      <w:r>
        <w:rPr>
          <w:rFonts w:ascii="Meiryo UI" w:hAnsi="Meiryo UI"/>
          <w:sz w:val="20"/>
        </w:rPr>
        <w:t>&gt; 統合FV ≈ ¥2,337（レンジ: ¥2,167～¥2,620）</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【安全域バッファの設定】</w:t>
        <w:br/>
        <w:t xml:space="preserve">  統合FV           : ¥2,337</w:t>
        <w:br/>
        <w:t xml:space="preserve">  MoS 20%適用     : ¥2,337 × 0.80 = ¥1,870</w:t>
        <w:br/>
        <w:t xml:space="preserve">  MoS 30%適用     : ¥2,337 × 0.70 = ¥1,636</w:t>
        <w:br/>
        <w:t xml:space="preserve">  </w:t>
        <w:br/>
        <w:t xml:space="preserve">  現在値¥1,767 vs MoS20%水準¥1,870</w:t>
        <w:br/>
        <w:t xml:space="preserve">  → 現在値はMoS20%をわずかに下回っている（¥103差）</w:t>
        <w:br/>
        <w:t xml:space="preserve">  → 言い換えれば、現在値は「20%安全バッファ付きでも買えるギリギリ水準」</w:t>
        <w:br/>
        <w:t xml:space="preserve">  → これは割安エントリーポイントとして妥当</w:t>
        <w:br/>
        <w:br/>
        <w:t>【投資判断】</w:t>
        <w:br/>
        <w:t xml:space="preserve">  ★★★★☆  「買い（BUY）」</w:t>
        <w:br/>
        <w:t xml:space="preserve">  </w:t>
        <w:br/>
        <w:t xml:space="preserve">  根拠：</w:t>
        <w:br/>
        <w:t xml:space="preserve">  ①FV¥2,337 vs 現在値¥1,767 = +32%の上値余地</w:t>
        <w:br/>
        <w:t xml:space="preserve">  ②PBR0.91x &lt; 1.0x（解散価値割れ・東証改善圧力）</w:t>
        <w:br/>
        <w:t xml:space="preserve">  ③ROE9.3% &gt; 株主資本コスト6.56%（価値創造企業）</w:t>
        <w:br/>
        <w:t xml:space="preserve">  ④純利益悪化の主因が一過性と判断（確信度70%）</w:t>
        <w:br/>
        <w:t xml:space="preserve">  ⑤国土強靭化・インフラ更新の構造的追い風</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6-1. 強気シナリオ（確率25%）</w:t>
      </w:r>
    </w:p>
    <w:p/>
    <w:p>
      <w:pPr>
        <w:shd w:val="clear" w:color="auto" w:fill="F2F2F2"/>
      </w:pPr>
      <w:r>
        <w:rPr>
          <w:rFonts w:ascii="Courier New" w:hAnsi="Courier New"/>
          <w:sz w:val="16"/>
        </w:rPr>
        <w:t>前提条件：</w:t>
        <w:br/>
        <w:t xml:space="preserve">  - 4Q通期NP3,350M達成（年度末発注集中で2,861M回収）</w:t>
        <w:br/>
        <w:t xml:space="preserve">  - 東証低PBR是正でPBR1.2x到達</w:t>
        <w:br/>
        <w:t xml:space="preserve">  - 自社株買い・増配を発表</w:t>
        <w:br/>
        <w:br/>
        <w:t>株価ターゲット：¥2,800～¥3,200（FV¥3,678の保守的到達点）</w:t>
        <w:br/>
        <w:t>時間軸       ：6～12ヶ月</w:t>
        <w:br/>
        <w:t>トリガー     ：5月通期決算でNP計画達成確認 + 増配発表</w:t>
      </w:r>
    </w:p>
    <w:p/>
    <w:p>
      <w:pPr>
        <w:pStyle w:val="Heading3"/>
      </w:pPr>
      <w:r>
        <w:rPr>
          <w:rFonts w:ascii="Meiryo UI" w:hAnsi="Meiryo UI"/>
          <w:color w:val="2E74B5"/>
        </w:rPr>
        <w:t>6-2. 中立シナリオ（確率55%）：メインシナリオ</w:t>
      </w:r>
    </w:p>
    <w:p/>
    <w:p>
      <w:pPr>
        <w:shd w:val="clear" w:color="auto" w:fill="F2F2F2"/>
      </w:pPr>
      <w:r>
        <w:rPr>
          <w:rFonts w:ascii="Courier New" w:hAnsi="Courier New"/>
          <w:sz w:val="16"/>
        </w:rPr>
        <w:t>前提条件：</w:t>
        <w:br/>
        <w:t xml:space="preserve">  - 通期NPは計画を下回るも2,000-2,500M程度に着地</w:t>
        <w:br/>
        <w:t xml:space="preserve">  - 一過性毒（税務・引当金）は来期解消</w:t>
        <w:br/>
        <w:t xml:space="preserve">  - 公共案件は堅調継続・売上は計画以上</w:t>
        <w:br/>
        <w:br/>
        <w:t>株価ターゲット：¥2,100～¥2,400（FV¥2,167～¥2,380）</w:t>
        <w:br/>
        <w:t>時間軸       ：6～18ヶ月</w:t>
        <w:br/>
        <w:t>トリガー     ：通期決算発表（2026年5月）・来期業績予想の正常化</w:t>
      </w:r>
    </w:p>
    <w:p/>
    <w:p>
      <w:pPr>
        <w:pStyle w:val="Heading3"/>
      </w:pPr>
      <w:r>
        <w:rPr>
          <w:rFonts w:ascii="Meiryo UI" w:hAnsi="Meiryo UI"/>
          <w:color w:val="2E74B5"/>
        </w:rPr>
        <w:t>6-3. 保守シナリオ（確率20%）</w:t>
      </w:r>
    </w:p>
    <w:p/>
    <w:p>
      <w:pPr>
        <w:shd w:val="clear" w:color="auto" w:fill="F2F2F2"/>
      </w:pPr>
      <w:r>
        <w:rPr>
          <w:rFonts w:ascii="Courier New" w:hAnsi="Courier New"/>
          <w:sz w:val="16"/>
        </w:rPr>
        <w:t>前提条件：</w:t>
        <w:br/>
        <w:t xml:space="preserve">  - 通期NP大幅下方修正（1,500M以下）</w:t>
        <w:br/>
        <w:t xml:space="preserve">  - 特定案件での構造的損失判明</w:t>
        <w:br/>
        <w:t xml:space="preserve">  - 人件費上昇が採算を恒常的に圧迫</w:t>
        <w:br/>
        <w:br/>
        <w:t>株価ターゲット：¥1,300～¥1,550（保守FV¥1,294水準）</w:t>
        <w:br/>
        <w:t>時間軸       ：3ヶ月以内（下方修正発表直後に下落）</w:t>
        <w:br/>
        <w:t>損切ライン  ：¥1,530（現在値比▲13%）</w:t>
      </w:r>
    </w:p>
    <w:p/>
    <w:p>
      <w:pPr>
        <w:pStyle w:val="Heading3"/>
      </w:pPr>
      <w:r>
        <w:rPr>
          <w:rFonts w:ascii="Meiryo UI" w:hAnsi="Meiryo UI"/>
          <w:color w:val="2E74B5"/>
        </w:rPr>
        <w:t>6-4. 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w:t>
            </w:r>
          </w:p>
        </w:tc>
        <w:tc>
          <w:tcPr>
            <w:tcW w:type="dxa" w:w="2351"/>
            <w:shd w:val="clear" w:color="auto" w:fill="2E74B5"/>
          </w:tcPr>
          <w:p>
            <w:r>
              <w:rPr>
                <w:rFonts w:ascii="Meiryo UI" w:hAnsi="Meiryo UI"/>
                <w:b/>
                <w:color w:val="FFFFFF"/>
                <w:sz w:val="18"/>
              </w:rPr>
              <w:t>中立（メイン）</w:t>
            </w:r>
          </w:p>
        </w:tc>
        <w:tc>
          <w:tcPr>
            <w:tcW w:type="dxa" w:w="2351"/>
            <w:shd w:val="clear" w:color="auto" w:fill="2E74B5"/>
          </w:tcPr>
          <w:p>
            <w:r>
              <w:rPr>
                <w:rFonts w:ascii="Meiryo UI" w:hAnsi="Meiryo UI"/>
                <w:b/>
                <w:color w:val="FFFFFF"/>
                <w:sz w:val="18"/>
              </w:rPr>
              <w:t>保守</w:t>
            </w:r>
          </w:p>
        </w:tc>
      </w:tr>
      <w:tr>
        <w:tc>
          <w:tcPr>
            <w:tcW w:type="dxa" w:w="2351"/>
          </w:tcPr>
          <w:p>
            <w:r>
              <w:rPr>
                <w:rFonts w:ascii="Meiryo UI" w:hAnsi="Meiryo UI"/>
                <w:sz w:val="18"/>
              </w:rPr>
              <w:t>通期NP</w:t>
            </w:r>
          </w:p>
        </w:tc>
        <w:tc>
          <w:tcPr>
            <w:tcW w:type="dxa" w:w="2351"/>
          </w:tcPr>
          <w:p>
            <w:r>
              <w:rPr>
                <w:rFonts w:ascii="Meiryo UI" w:hAnsi="Meiryo UI"/>
                <w:sz w:val="18"/>
              </w:rPr>
              <w:t>3,350M</w:t>
            </w:r>
          </w:p>
        </w:tc>
        <w:tc>
          <w:tcPr>
            <w:tcW w:type="dxa" w:w="2351"/>
          </w:tcPr>
          <w:p>
            <w:r>
              <w:rPr>
                <w:rFonts w:ascii="Meiryo UI" w:hAnsi="Meiryo UI"/>
                <w:sz w:val="18"/>
              </w:rPr>
              <w:t>2,000-2,500M</w:t>
            </w:r>
          </w:p>
        </w:tc>
        <w:tc>
          <w:tcPr>
            <w:tcW w:type="dxa" w:w="2351"/>
          </w:tcPr>
          <w:p>
            <w:r>
              <w:rPr>
                <w:rFonts w:ascii="Meiryo UI" w:hAnsi="Meiryo UI"/>
                <w:sz w:val="18"/>
              </w:rPr>
              <w:t>&lt;1,500M</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¥3,678</w:t>
            </w:r>
          </w:p>
        </w:tc>
        <w:tc>
          <w:tcPr>
            <w:tcW w:type="dxa" w:w="2351"/>
            <w:shd w:val="clear" w:color="auto" w:fill="DDEBF7"/>
          </w:tcPr>
          <w:p>
            <w:r>
              <w:rPr>
                <w:rFonts w:ascii="Meiryo UI" w:hAnsi="Meiryo UI"/>
                <w:sz w:val="18"/>
              </w:rPr>
              <w:t>¥2,167-2,380</w:t>
            </w:r>
          </w:p>
        </w:tc>
        <w:tc>
          <w:tcPr>
            <w:tcW w:type="dxa" w:w="2351"/>
            <w:shd w:val="clear" w:color="auto" w:fill="DDEBF7"/>
          </w:tcPr>
          <w:p>
            <w:r>
              <w:rPr>
                <w:rFonts w:ascii="Meiryo UI" w:hAnsi="Meiryo UI"/>
                <w:sz w:val="18"/>
              </w:rPr>
              <w:t>¥1,294</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強い買い</w:t>
            </w:r>
          </w:p>
        </w:tc>
        <w:tc>
          <w:tcPr>
            <w:tcW w:type="dxa" w:w="2351"/>
            <w:shd w:val="clear" w:color="auto" w:fill="DDEBF7"/>
          </w:tcPr>
          <w:p>
            <w:r>
              <w:rPr>
                <w:rFonts w:ascii="Meiryo UI" w:hAnsi="Meiryo UI"/>
                <w:sz w:val="18"/>
              </w:rPr>
              <w:t>買い</w:t>
            </w:r>
          </w:p>
        </w:tc>
        <w:tc>
          <w:tcPr>
            <w:tcW w:type="dxa" w:w="2351"/>
            <w:shd w:val="clear" w:color="auto" w:fill="DDEBF7"/>
          </w:tcPr>
          <w:p>
            <w:r>
              <w:rPr>
                <w:rFonts w:ascii="Meiryo UI" w:hAnsi="Meiryo UI"/>
                <w:sz w:val="18"/>
              </w:rPr>
              <w:t>売り</w:t>
            </w:r>
          </w:p>
        </w:tc>
      </w:tr>
      <w:tr>
        <w:tc>
          <w:tcPr>
            <w:tcW w:type="dxa" w:w="2351"/>
          </w:tcPr>
          <w:p>
            <w:r>
              <w:rPr>
                <w:rFonts w:ascii="Meiryo UI" w:hAnsi="Meiryo UI"/>
                <w:sz w:val="18"/>
              </w:rPr>
              <w:t>想定リターン</w:t>
            </w:r>
          </w:p>
        </w:tc>
        <w:tc>
          <w:tcPr>
            <w:tcW w:type="dxa" w:w="2351"/>
          </w:tcPr>
          <w:p>
            <w:r>
              <w:rPr>
                <w:rFonts w:ascii="Meiryo UI" w:hAnsi="Meiryo UI"/>
                <w:sz w:val="18"/>
              </w:rPr>
              <w:t>+108%</w:t>
            </w:r>
          </w:p>
        </w:tc>
        <w:tc>
          <w:tcPr>
            <w:tcW w:type="dxa" w:w="2351"/>
          </w:tcPr>
          <w:p>
            <w:r>
              <w:rPr>
                <w:rFonts w:ascii="Meiryo UI" w:hAnsi="Meiryo UI"/>
                <w:sz w:val="18"/>
              </w:rPr>
              <w:t>+23～35%</w:t>
            </w:r>
          </w:p>
        </w:tc>
        <w:tc>
          <w:tcPr>
            <w:tcW w:type="dxa" w:w="2351"/>
          </w:tcPr>
          <w:p>
            <w:r>
              <w:rPr>
                <w:rFonts w:ascii="Meiryo UI" w:hAnsi="Meiryo UI"/>
                <w:sz w:val="18"/>
              </w:rPr>
              <w:t>▲27%</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スコア/Rating</w:t>
            </w:r>
          </w:p>
        </w:tc>
        <w:tc>
          <w:tcPr>
            <w:tcW w:type="dxa" w:w="2351"/>
          </w:tcPr>
          <w:p>
            <w:r>
              <w:rPr>
                <w:rFonts w:ascii="Meiryo UI" w:hAnsi="Meiryo UI"/>
                <w:sz w:val="18"/>
              </w:rPr>
              <w:t>+0（BUY）</w:t>
            </w:r>
          </w:p>
        </w:tc>
        <w:tc>
          <w:tcPr>
            <w:tcW w:type="dxa" w:w="2351"/>
          </w:tcPr>
          <w:p>
            <w:r>
              <w:rPr>
                <w:rFonts w:ascii="Meiryo UI" w:hAnsi="Meiryo UI"/>
                <w:sz w:val="18"/>
              </w:rPr>
              <w:t>BUY（買い）</w:t>
            </w:r>
          </w:p>
        </w:tc>
        <w:tc>
          <w:tcPr>
            <w:tcW w:type="dxa" w:w="2351"/>
          </w:tcPr>
          <w:p>
            <w:r>
              <w:rPr>
                <w:rFonts w:ascii="Meiryo UI" w:hAnsi="Meiryo UI"/>
                <w:sz w:val="18"/>
              </w:rPr>
              <w:t>一致 ✅</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3Q増収増益・インフラ堅調</w:t>
            </w:r>
          </w:p>
        </w:tc>
        <w:tc>
          <w:tcPr>
            <w:tcW w:type="dxa" w:w="2351"/>
            <w:shd w:val="clear" w:color="auto" w:fill="DDEBF7"/>
          </w:tcPr>
          <w:p>
            <w:r>
              <w:rPr>
                <w:rFonts w:ascii="Meiryo UI" w:hAnsi="Meiryo UI"/>
                <w:sz w:val="18"/>
              </w:rPr>
              <w:t>DCF FV¥2,380・MoS確認</w:t>
            </w:r>
          </w:p>
        </w:tc>
        <w:tc>
          <w:tcPr>
            <w:tcW w:type="dxa" w:w="2351"/>
            <w:shd w:val="clear" w:color="auto" w:fill="DDEBF7"/>
          </w:tcPr>
          <w:p>
            <w:r>
              <w:rPr>
                <w:rFonts w:ascii="Meiryo UI" w:hAnsi="Meiryo UI"/>
                <w:sz w:val="18"/>
              </w:rPr>
              <w:t>定性⇔定量で補強</w:t>
            </w:r>
          </w:p>
        </w:tc>
      </w:tr>
      <w:tr>
        <w:tc>
          <w:tcPr>
            <w:tcW w:type="dxa" w:w="2351"/>
          </w:tcPr>
          <w:p>
            <w:r>
              <w:rPr>
                <w:rFonts w:ascii="Meiryo UI" w:hAnsi="Meiryo UI"/>
                <w:sz w:val="18"/>
              </w:rPr>
              <w:t>純利益悪化の解釈</w:t>
            </w:r>
          </w:p>
        </w:tc>
        <w:tc>
          <w:tcPr>
            <w:tcW w:type="dxa" w:w="2351"/>
          </w:tcPr>
          <w:p>
            <w:r>
              <w:rPr>
                <w:rFonts w:ascii="Meiryo UI" w:hAnsi="Meiryo UI"/>
                <w:sz w:val="18"/>
              </w:rPr>
              <w:t>緊急精査要（速報段階）</w:t>
            </w:r>
          </w:p>
        </w:tc>
        <w:tc>
          <w:tcPr>
            <w:tcW w:type="dxa" w:w="2351"/>
          </w:tcPr>
          <w:p>
            <w:r>
              <w:rPr>
                <w:rFonts w:ascii="Meiryo UI" w:hAnsi="Meiryo UI"/>
                <w:sz w:val="18"/>
              </w:rPr>
              <w:t>一過性と判定（70%確信）</w:t>
            </w:r>
          </w:p>
        </w:tc>
        <w:tc>
          <w:tcPr>
            <w:tcW w:type="dxa" w:w="2351"/>
          </w:tcPr>
          <w:p>
            <w:r>
              <w:rPr>
                <w:rFonts w:ascii="Meiryo UI" w:hAnsi="Meiryo UI"/>
                <w:sz w:val="18"/>
              </w:rPr>
              <w:t>深井が根拠追加</w:t>
            </w:r>
          </w:p>
        </w:tc>
      </w:tr>
      <w:tr>
        <w:tc>
          <w:tcPr>
            <w:tcW w:type="dxa" w:w="2351"/>
            <w:shd w:val="clear" w:color="auto" w:fill="DDEBF7"/>
          </w:tcPr>
          <w:p>
            <w:r>
              <w:rPr>
                <w:rFonts w:ascii="Meiryo UI" w:hAnsi="Meiryo UI"/>
                <w:sz w:val="18"/>
              </w:rPr>
              <w:t>PBR0.91x</w:t>
            </w:r>
          </w:p>
        </w:tc>
        <w:tc>
          <w:tcPr>
            <w:tcW w:type="dxa" w:w="2351"/>
            <w:shd w:val="clear" w:color="auto" w:fill="DDEBF7"/>
          </w:tcPr>
          <w:p>
            <w:r>
              <w:rPr>
                <w:rFonts w:ascii="Meiryo UI" w:hAnsi="Meiryo UI"/>
                <w:sz w:val="18"/>
              </w:rPr>
              <w:t>低PBR割安として言及</w:t>
            </w:r>
          </w:p>
        </w:tc>
        <w:tc>
          <w:tcPr>
            <w:tcW w:type="dxa" w:w="2351"/>
            <w:shd w:val="clear" w:color="auto" w:fill="DDEBF7"/>
          </w:tcPr>
          <w:p>
            <w:r>
              <w:rPr>
                <w:rFonts w:ascii="Meiryo UI" w:hAnsi="Meiryo UI"/>
                <w:sz w:val="18"/>
              </w:rPr>
              <w:t>BPS¥1,948 vs 株価¥1,767で確認</w:t>
            </w:r>
          </w:p>
        </w:tc>
        <w:tc>
          <w:tcPr>
            <w:tcW w:type="dxa" w:w="2351"/>
            <w:shd w:val="clear" w:color="auto" w:fill="DDEBF7"/>
          </w:tcPr>
          <w:p>
            <w:r>
              <w:rPr>
                <w:rFonts w:ascii="Meiryo UI" w:hAnsi="Meiryo UI"/>
                <w:sz w:val="18"/>
              </w:rPr>
              <w:t>完全一致 ✅</w:t>
            </w:r>
          </w:p>
        </w:tc>
      </w:tr>
      <w:tr>
        <w:tc>
          <w:tcPr>
            <w:tcW w:type="dxa" w:w="2351"/>
          </w:tcPr>
          <w:p>
            <w:r>
              <w:rPr>
                <w:rFonts w:ascii="Meiryo UI" w:hAnsi="Meiryo UI"/>
                <w:sz w:val="18"/>
              </w:rPr>
              <w:t>TOPIX相対▲5.2%（3M）</w:t>
            </w:r>
          </w:p>
        </w:tc>
        <w:tc>
          <w:tcPr>
            <w:tcW w:type="dxa" w:w="2351"/>
          </w:tcPr>
          <w:p>
            <w:r>
              <w:rPr>
                <w:rFonts w:ascii="Meiryo UI" w:hAnsi="Meiryo UI"/>
                <w:sz w:val="18"/>
              </w:rPr>
              <w:t>センチメント弱め</w:t>
            </w:r>
          </w:p>
        </w:tc>
        <w:tc>
          <w:tcPr>
            <w:tcW w:type="dxa" w:w="2351"/>
          </w:tcPr>
          <w:p>
            <w:r>
              <w:rPr>
                <w:rFonts w:ascii="Meiryo UI" w:hAnsi="Meiryo UI"/>
                <w:sz w:val="18"/>
              </w:rPr>
              <w:t>DCF根拠で買いを維持</w:t>
            </w:r>
          </w:p>
        </w:tc>
        <w:tc>
          <w:tcPr>
            <w:tcW w:type="dxa" w:w="2351"/>
          </w:tcPr>
          <w:p>
            <w:r>
              <w:rPr>
                <w:rFonts w:ascii="Meiryo UI" w:hAnsi="Meiryo UI"/>
                <w:sz w:val="18"/>
              </w:rPr>
              <w:t>センチメント悪化を逆張り機会と評価</w:t>
            </w:r>
          </w:p>
        </w:tc>
      </w:tr>
    </w:tbl>
    <w:p/>
    <w:p>
      <w:pPr>
        <w:pStyle w:val="Heading3"/>
      </w:pPr>
      <w:r>
        <w:rPr>
          <w:rFonts w:ascii="Meiryo UI" w:hAnsi="Meiryo UI"/>
          <w:color w:val="2E74B5"/>
        </w:rPr>
        <w:t>7-2. 市場ミスプライシングの分析</w:t>
      </w:r>
    </w:p>
    <w:p/>
    <w:p>
      <w:pPr>
        <w:shd w:val="clear" w:color="auto" w:fill="F2F2F2"/>
      </w:pPr>
      <w:r>
        <w:rPr>
          <w:rFonts w:ascii="Courier New" w:hAnsi="Courier New"/>
          <w:sz w:val="16"/>
        </w:rPr>
        <w:t>【なぜ株価が割安に放置されているか】</w:t>
        <w:br/>
        <w:t xml:space="preserve">  ① 純利益▲38.8%の「見た目ショック」→ 個人投資家・スクリーニングツールが売り</w:t>
        <w:br/>
        <w:t xml:space="preserve">  ② コンセンサスなし（小型株・アナリストカバレッジ薄）→ 情報優位がある</w:t>
        <w:br/>
        <w:t xml:space="preserve">  ③ 地方系建設コンサル = 知名度低・機関投資家少ない</w:t>
        <w:br/>
        <w:t xml:space="preserve">  ④ PBR0.91x放置 = 低PBR改善策未実施への懸念残存</w:t>
        <w:br/>
        <w:br/>
        <w:t>【ミスプライシング解消のトリガー】</w:t>
        <w:br/>
        <w:t xml:space="preserve">  ① 5月通期決算での一過性要因の公式説明</w:t>
        <w:br/>
        <w:t xml:space="preserve">  ② 東証低PBR是正への具体的対応策発表</w:t>
        <w:br/>
        <w:t xml:space="preserve">  ③ 国土強靭化予算執行状況の好調な受注発表</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w:t>
        <w:br/>
        <w:t xml:space="preserve">  エントリー価格帯 : ¥1,720 ～ ¥1,780（現在値近辺）</w:t>
        <w:br/>
        <w:t xml:space="preserve">  投資比率        : 目標ポジションの 40%</w:t>
        <w:br/>
        <w:t xml:space="preserve">  実行タイミング  : 即時（本レポート確認後）</w:t>
        <w:br/>
        <w:t xml:space="preserve">  根拠           : MoS20%水準（¥1,870）を下回る今が最大割安圏</w:t>
        <w:br/>
        <w:br/>
        <w:t>【第2トランシェ】</w:t>
        <w:br/>
        <w:t xml:space="preserve">  エントリー条件  : 2026年5月通期決算で以下を確認</w:t>
        <w:br/>
        <w:t xml:space="preserve">    ✅ 純利益一過性要因の公式説明</w:t>
        <w:br/>
        <w:t xml:space="preserve">    ✅ NP2,000M以上着地（下方修正しても実力ベース確認）</w:t>
        <w:br/>
        <w:t xml:space="preserve">    ✅ 来期業績予想の正常化</w:t>
        <w:br/>
        <w:t xml:space="preserve">  エントリー価格帯 : ¥1,780 ～ ¥2,000（決算後の調整局面を狙う）</w:t>
        <w:br/>
        <w:t xml:space="preserve">  投資比率        : 残り 60%</w:t>
      </w:r>
    </w:p>
    <w:p/>
    <w:p>
      <w:pPr>
        <w:pStyle w:val="Heading3"/>
      </w:pPr>
      <w:r>
        <w:rPr>
          <w:rFonts w:ascii="Meiryo UI" w:hAnsi="Meiryo UI"/>
          <w:color w:val="2E74B5"/>
        </w:rPr>
        <w:t>8-2. 利益確定戦略</w:t>
      </w:r>
    </w:p>
    <w:p/>
    <w:p>
      <w:pPr>
        <w:shd w:val="clear" w:color="auto" w:fill="F2F2F2"/>
      </w:pPr>
      <w:r>
        <w:rPr>
          <w:rFonts w:ascii="Courier New" w:hAnsi="Courier New"/>
          <w:sz w:val="16"/>
        </w:rPr>
        <w:t>【段階的利確】</w:t>
        <w:br/>
        <w:t xml:space="preserve">  第1利確点 : ¥2,100（+19%）→ ポジションの30%利確</w:t>
        <w:br/>
        <w:t xml:space="preserve">  第2利確点 : ¥2,380（+35%・中立DCF FV）→ ポジションの40%利確</w:t>
        <w:br/>
        <w:t xml:space="preserve">  第3利確点 : ¥2,620（+48%・強気FV下限）→ 残り30%利確</w:t>
        <w:br/>
        <w:t xml:space="preserve">  </w:t>
        <w:br/>
        <w:t xml:space="preserve">  フル売却水準 : ¥3,000超（+70%）= 強気シナリオ相当の実現</w:t>
      </w:r>
    </w:p>
    <w:p/>
    <w:p>
      <w:pPr>
        <w:pStyle w:val="Heading3"/>
      </w:pPr>
      <w:r>
        <w:rPr>
          <w:rFonts w:ascii="Meiryo UI" w:hAnsi="Meiryo UI"/>
          <w:color w:val="2E74B5"/>
        </w:rPr>
        <w:t>8-3. リスク管理</w:t>
      </w:r>
    </w:p>
    <w:p/>
    <w:p>
      <w:pPr>
        <w:shd w:val="clear" w:color="auto" w:fill="F2F2F2"/>
      </w:pPr>
      <w:r>
        <w:rPr>
          <w:rFonts w:ascii="Courier New" w:hAnsi="Courier New"/>
          <w:sz w:val="16"/>
        </w:rPr>
        <w:t>【損切りライン】</w:t>
        <w:br/>
        <w:t xml:space="preserve">  ハードストップ : ¥1,530（現在値比▲13%）</w:t>
        <w:br/>
        <w:t xml:space="preserve">  根拠          : 保守DCF FV¥1,294の118%水準</w:t>
        <w:br/>
        <w:t xml:space="preserve">                  BPS¥1,948の78%水準</w:t>
        <w:br/>
        <w:t xml:space="preserve">                  直近安値圏の技術的サポート</w:t>
        <w:br/>
        <w:br/>
        <w:t>【損切りトリガー（条件）】</w:t>
        <w:br/>
        <w:t xml:space="preserve">  以下のいずれかが発生した場合は即時損切り検討：</w:t>
        <w:br/>
        <w:t xml:space="preserve">  ① 5月通期決算でNP1,500M以下の確定（構造的問題の証拠）</w:t>
        <w:br/>
        <w:t xml:space="preserve">  ② 大型案件での工事損失の構造的継続が判明</w:t>
        <w:br/>
        <w:t xml:space="preserve">  ③ 主要顧客（国交省・自治体）の発注削減公表</w:t>
        <w:br/>
        <w:t xml:space="preserve">  ④ 株価¥1,530割れ（テクニカルブレイク）</w:t>
        <w:br/>
        <w:br/>
        <w:t>【ポジションサイズ管理】</w:t>
        <w:br/>
        <w:t xml:space="preserve">  推奨ポートフォリオ組入比率: 2.0～3.5%（中型リスクポジション）</w:t>
        <w:br/>
        <w:t xml:space="preserve">  理由: 5月決算確認前のため、確信度70%で適切な比率</w:t>
      </w:r>
    </w:p>
    <w:p/>
    <w:p>
      <w:pPr>
        <w:pStyle w:val="Heading3"/>
      </w:pPr>
      <w:r>
        <w:rPr>
          <w:rFonts w:ascii="Meiryo UI" w:hAnsi="Meiryo UI"/>
          <w:color w:val="2E74B5"/>
        </w:rPr>
        <w:t>8-4. 時間軸サマリー</w:t>
      </w:r>
    </w:p>
    <w:p/>
    <w:p>
      <w:pPr>
        <w:shd w:val="clear" w:color="auto" w:fill="F2F2F2"/>
      </w:pPr>
      <w:r>
        <w:rPr>
          <w:rFonts w:ascii="Courier New" w:hAnsi="Courier New"/>
          <w:sz w:val="16"/>
        </w:rPr>
        <w:t>【アクションカレンダー】</w:t>
        <w:br/>
        <w:t xml:space="preserve">  2026年4月13日  : 第1トランシェ40%エントリー（¥1,720-1,780）</w:t>
        <w:br/>
        <w:t xml:space="preserve">  2026年5月（TBD） : 通期決算発表 → 第2トランシェ判断・損切り判断</w:t>
        <w:br/>
        <w:t xml:space="preserve">  2026年6-7月    : 第1利確点¥2,100到達で30%利確</w:t>
        <w:br/>
        <w:t xml:space="preserve">  2026年10-11月  : 上半期決算で来期成長確認後、残りポジション評価</w:t>
        <w:br/>
        <w:t xml:space="preserve">  2027年3-4月    : フル利確または長期保有継続判断</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pPr>
        <w:pStyle w:val="Heading4"/>
      </w:pPr>
      <w:r>
        <w:rPr>
          <w:rFonts w:ascii="Meiryo UI" w:hAnsi="Meiryo UI"/>
          <w:color w:val="2E74B5"/>
        </w:rPr>
        <w:t>ベースケース前提</w:t>
      </w:r>
    </w:p>
    <w:p>
      <w:pPr>
        <w:pStyle w:val="ListBullet"/>
      </w:pPr>
      <w:r>
        <w:rPr>
          <w:rFonts w:ascii="Meiryo UI" w:hAnsi="Meiryo UI"/>
          <w:sz w:val="20"/>
        </w:rPr>
        <w:t>ベースRf = 2.439%（JGB10Y 2026/4/10）</w:t>
      </w:r>
    </w:p>
    <w:p>
      <w:pPr>
        <w:pStyle w:val="ListBullet"/>
      </w:pPr>
      <w:r>
        <w:rPr>
          <w:rFonts w:ascii="Meiryo UI" w:hAnsi="Meiryo UI"/>
          <w:sz w:val="20"/>
        </w:rPr>
        <w:t>β = 0.75、ERP = 5.5%、g = 1.5%、中立シナリオNP = 2,200M</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理論株価（中立）</w:t>
            </w:r>
          </w:p>
        </w:tc>
        <w:tc>
          <w:tcPr>
            <w:tcW w:type="dxa" w:w="1568"/>
            <w:shd w:val="clear" w:color="auto" w:fill="2E74B5"/>
          </w:tcPr>
          <w:p>
            <w:r>
              <w:rPr>
                <w:rFonts w:ascii="Meiryo UI" w:hAnsi="Meiryo UI"/>
                <w:b/>
                <w:color w:val="FFFFFF"/>
                <w:sz w:val="18"/>
              </w:rPr>
              <w:t>現在値¥1,767比乖離率</w:t>
            </w:r>
          </w:p>
        </w:tc>
      </w:tr>
      <w:tr>
        <w:tc>
          <w:tcPr>
            <w:tcW w:type="dxa" w:w="1568"/>
          </w:tcPr>
          <w:p>
            <w:r>
              <w:rPr>
                <w:rFonts w:ascii="Meiryo UI" w:hAnsi="Meiryo UI"/>
                <w:sz w:val="18"/>
              </w:rPr>
              <w:t>大幅低下（▲1.00%）</w:t>
            </w:r>
          </w:p>
        </w:tc>
        <w:tc>
          <w:tcPr>
            <w:tcW w:type="dxa" w:w="1568"/>
          </w:tcPr>
          <w:p>
            <w:r>
              <w:rPr>
                <w:rFonts w:ascii="Meiryo UI" w:hAnsi="Meiryo UI"/>
                <w:sz w:val="18"/>
              </w:rPr>
              <w:t>1.439%</w:t>
            </w:r>
          </w:p>
        </w:tc>
        <w:tc>
          <w:tcPr>
            <w:tcW w:type="dxa" w:w="1568"/>
          </w:tcPr>
          <w:p>
            <w:r>
              <w:rPr>
                <w:rFonts w:ascii="Meiryo UI" w:hAnsi="Meiryo UI"/>
                <w:sz w:val="18"/>
              </w:rPr>
              <w:t>5.564%</w:t>
            </w:r>
          </w:p>
        </w:tc>
        <w:tc>
          <w:tcPr>
            <w:tcW w:type="dxa" w:w="1568"/>
          </w:tcPr>
          <w:p>
            <w:r>
              <w:rPr>
                <w:rFonts w:ascii="Meiryo UI" w:hAnsi="Meiryo UI"/>
                <w:sz w:val="18"/>
              </w:rPr>
              <w:t>4.84%</w:t>
            </w:r>
          </w:p>
        </w:tc>
        <w:tc>
          <w:tcPr>
            <w:tcW w:type="dxa" w:w="1568"/>
          </w:tcPr>
          <w:p>
            <w:r>
              <w:rPr>
                <w:rFonts w:ascii="Meiryo UI" w:hAnsi="Meiryo UI"/>
                <w:sz w:val="18"/>
              </w:rPr>
              <w:t>¥2,768</w:t>
            </w:r>
          </w:p>
        </w:tc>
        <w:tc>
          <w:tcPr>
            <w:tcW w:type="dxa" w:w="1568"/>
          </w:tcPr>
          <w:p>
            <w:r>
              <w:rPr>
                <w:rFonts w:ascii="Meiryo UI" w:hAnsi="Meiryo UI"/>
                <w:sz w:val="18"/>
              </w:rPr>
              <w:t>+56.6%</w:t>
            </w:r>
          </w:p>
        </w:tc>
      </w:tr>
      <w:tr>
        <w:tc>
          <w:tcPr>
            <w:tcW w:type="dxa" w:w="1568"/>
            <w:shd w:val="clear" w:color="auto" w:fill="DDEBF7"/>
          </w:tcPr>
          <w:p>
            <w:r>
              <w:rPr>
                <w:rFonts w:ascii="Meiryo UI" w:hAnsi="Meiryo UI"/>
                <w:sz w:val="18"/>
              </w:rPr>
              <w:t>小幅低下（▲0.50%）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6.064%</w:t>
            </w:r>
          </w:p>
        </w:tc>
        <w:tc>
          <w:tcPr>
            <w:tcW w:type="dxa" w:w="1568"/>
            <w:shd w:val="clear" w:color="auto" w:fill="DDEBF7"/>
          </w:tcPr>
          <w:p>
            <w:r>
              <w:rPr>
                <w:rFonts w:ascii="Meiryo UI" w:hAnsi="Meiryo UI"/>
                <w:sz w:val="18"/>
              </w:rPr>
              <w:t>5.27%</w:t>
            </w:r>
          </w:p>
        </w:tc>
        <w:tc>
          <w:tcPr>
            <w:tcW w:type="dxa" w:w="1568"/>
            <w:shd w:val="clear" w:color="auto" w:fill="DDEBF7"/>
          </w:tcPr>
          <w:p>
            <w:r>
              <w:rPr>
                <w:rFonts w:ascii="Meiryo UI" w:hAnsi="Meiryo UI"/>
                <w:sz w:val="18"/>
              </w:rPr>
              <w:t>¥2,448</w:t>
            </w:r>
          </w:p>
        </w:tc>
        <w:tc>
          <w:tcPr>
            <w:tcW w:type="dxa" w:w="1568"/>
            <w:shd w:val="clear" w:color="auto" w:fill="DDEBF7"/>
          </w:tcPr>
          <w:p>
            <w:r>
              <w:rPr>
                <w:rFonts w:ascii="Meiryo UI" w:hAnsi="Meiryo UI"/>
                <w:sz w:val="18"/>
              </w:rPr>
              <w:t>+38.5%</w:t>
            </w:r>
          </w:p>
        </w:tc>
      </w:tr>
      <w:tr>
        <w:tc>
          <w:tcPr>
            <w:tcW w:type="dxa" w:w="1568"/>
          </w:tcPr>
          <w:p>
            <w:r>
              <w:rPr>
                <w:rFonts w:ascii="Meiryo UI" w:hAnsi="Meiryo UI"/>
                <w:sz w:val="18"/>
              </w:rPr>
              <w:t>小幅低下（▲0.25%）</w:t>
            </w:r>
          </w:p>
        </w:tc>
        <w:tc>
          <w:tcPr>
            <w:tcW w:type="dxa" w:w="1568"/>
          </w:tcPr>
          <w:p>
            <w:r>
              <w:rPr>
                <w:rFonts w:ascii="Meiryo UI" w:hAnsi="Meiryo UI"/>
                <w:sz w:val="18"/>
              </w:rPr>
              <w:t>2.189%</w:t>
            </w:r>
          </w:p>
        </w:tc>
        <w:tc>
          <w:tcPr>
            <w:tcW w:type="dxa" w:w="1568"/>
          </w:tcPr>
          <w:p>
            <w:r>
              <w:rPr>
                <w:rFonts w:ascii="Meiryo UI" w:hAnsi="Meiryo UI"/>
                <w:sz w:val="18"/>
              </w:rPr>
              <w:t>6.314%</w:t>
            </w:r>
          </w:p>
        </w:tc>
        <w:tc>
          <w:tcPr>
            <w:tcW w:type="dxa" w:w="1568"/>
          </w:tcPr>
          <w:p>
            <w:r>
              <w:rPr>
                <w:rFonts w:ascii="Meiryo UI" w:hAnsi="Meiryo UI"/>
                <w:sz w:val="18"/>
              </w:rPr>
              <w:t>5.49%</w:t>
            </w:r>
          </w:p>
        </w:tc>
        <w:tc>
          <w:tcPr>
            <w:tcW w:type="dxa" w:w="1568"/>
          </w:tcPr>
          <w:p>
            <w:r>
              <w:rPr>
                <w:rFonts w:ascii="Meiryo UI" w:hAnsi="Meiryo UI"/>
                <w:sz w:val="18"/>
              </w:rPr>
              <w:t>¥2,301</w:t>
            </w:r>
          </w:p>
        </w:tc>
        <w:tc>
          <w:tcPr>
            <w:tcW w:type="dxa" w:w="1568"/>
          </w:tcPr>
          <w:p>
            <w:r>
              <w:rPr>
                <w:rFonts w:ascii="Meiryo UI" w:hAnsi="Meiryo UI"/>
                <w:sz w:val="18"/>
              </w:rPr>
              <w:t>+30.2%</w:t>
            </w:r>
          </w:p>
        </w:tc>
      </w:tr>
      <w:tr>
        <w:tc>
          <w:tcPr>
            <w:tcW w:type="dxa" w:w="1568"/>
            <w:shd w:val="clear" w:color="auto" w:fill="DDEBF7"/>
          </w:tcPr>
          <w:p>
            <w:r>
              <w:rPr>
                <w:rFonts w:ascii="Meiryo UI" w:hAnsi="Meiryo UI"/>
                <w:sz w:val="18"/>
              </w:rPr>
              <w:t>ベースケース</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6.564%</w:t>
            </w:r>
          </w:p>
        </w:tc>
        <w:tc>
          <w:tcPr>
            <w:tcW w:type="dxa" w:w="1568"/>
            <w:shd w:val="clear" w:color="auto" w:fill="DDEBF7"/>
          </w:tcPr>
          <w:p>
            <w:r>
              <w:rPr>
                <w:rFonts w:ascii="Meiryo UI" w:hAnsi="Meiryo UI"/>
                <w:sz w:val="18"/>
              </w:rPr>
              <w:t>5.70%</w:t>
            </w:r>
          </w:p>
        </w:tc>
        <w:tc>
          <w:tcPr>
            <w:tcW w:type="dxa" w:w="1568"/>
            <w:shd w:val="clear" w:color="auto" w:fill="DDEBF7"/>
          </w:tcPr>
          <w:p>
            <w:r>
              <w:rPr>
                <w:rFonts w:ascii="Meiryo UI" w:hAnsi="Meiryo UI"/>
                <w:sz w:val="18"/>
              </w:rPr>
              <w:t>¥2,167</w:t>
            </w:r>
          </w:p>
        </w:tc>
        <w:tc>
          <w:tcPr>
            <w:tcW w:type="dxa" w:w="1568"/>
            <w:shd w:val="clear" w:color="auto" w:fill="DDEBF7"/>
          </w:tcPr>
          <w:p>
            <w:r>
              <w:rPr>
                <w:rFonts w:ascii="Meiryo UI" w:hAnsi="Meiryo UI"/>
                <w:sz w:val="18"/>
              </w:rPr>
              <w:t>+22.6%</w:t>
            </w:r>
          </w:p>
        </w:tc>
      </w:tr>
      <w:tr>
        <w:tc>
          <w:tcPr>
            <w:tcW w:type="dxa" w:w="1568"/>
          </w:tcPr>
          <w:p>
            <w:r>
              <w:rPr>
                <w:rFonts w:ascii="Meiryo UI" w:hAnsi="Meiryo UI"/>
                <w:sz w:val="18"/>
              </w:rPr>
              <w:t>小幅上昇（+0.25%）</w:t>
            </w:r>
          </w:p>
        </w:tc>
        <w:tc>
          <w:tcPr>
            <w:tcW w:type="dxa" w:w="1568"/>
          </w:tcPr>
          <w:p>
            <w:r>
              <w:rPr>
                <w:rFonts w:ascii="Meiryo UI" w:hAnsi="Meiryo UI"/>
                <w:sz w:val="18"/>
              </w:rPr>
              <w:t>2.689%</w:t>
            </w:r>
          </w:p>
        </w:tc>
        <w:tc>
          <w:tcPr>
            <w:tcW w:type="dxa" w:w="1568"/>
          </w:tcPr>
          <w:p>
            <w:r>
              <w:rPr>
                <w:rFonts w:ascii="Meiryo UI" w:hAnsi="Meiryo UI"/>
                <w:sz w:val="18"/>
              </w:rPr>
              <w:t>6.814%</w:t>
            </w:r>
          </w:p>
        </w:tc>
        <w:tc>
          <w:tcPr>
            <w:tcW w:type="dxa" w:w="1568"/>
          </w:tcPr>
          <w:p>
            <w:r>
              <w:rPr>
                <w:rFonts w:ascii="Meiryo UI" w:hAnsi="Meiryo UI"/>
                <w:sz w:val="18"/>
              </w:rPr>
              <w:t>5.92%</w:t>
            </w:r>
          </w:p>
        </w:tc>
        <w:tc>
          <w:tcPr>
            <w:tcW w:type="dxa" w:w="1568"/>
          </w:tcPr>
          <w:p>
            <w:r>
              <w:rPr>
                <w:rFonts w:ascii="Meiryo UI" w:hAnsi="Meiryo UI"/>
                <w:sz w:val="18"/>
              </w:rPr>
              <w:t>¥2,046</w:t>
            </w:r>
          </w:p>
        </w:tc>
        <w:tc>
          <w:tcPr>
            <w:tcW w:type="dxa" w:w="1568"/>
          </w:tcPr>
          <w:p>
            <w:r>
              <w:rPr>
                <w:rFonts w:ascii="Meiryo UI" w:hAnsi="Meiryo UI"/>
                <w:sz w:val="18"/>
              </w:rPr>
              <w:t>+15.8%</w:t>
            </w:r>
          </w:p>
        </w:tc>
      </w:tr>
      <w:tr>
        <w:tc>
          <w:tcPr>
            <w:tcW w:type="dxa" w:w="1568"/>
            <w:shd w:val="clear" w:color="auto" w:fill="DDEBF7"/>
          </w:tcPr>
          <w:p>
            <w:r>
              <w:rPr>
                <w:rFonts w:ascii="Meiryo UI" w:hAnsi="Meiryo UI"/>
                <w:sz w:val="18"/>
              </w:rPr>
              <w:t>小幅上昇（+0.50%）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7.064%</w:t>
            </w:r>
          </w:p>
        </w:tc>
        <w:tc>
          <w:tcPr>
            <w:tcW w:type="dxa" w:w="1568"/>
            <w:shd w:val="clear" w:color="auto" w:fill="DDEBF7"/>
          </w:tcPr>
          <w:p>
            <w:r>
              <w:rPr>
                <w:rFonts w:ascii="Meiryo UI" w:hAnsi="Meiryo UI"/>
                <w:sz w:val="18"/>
              </w:rPr>
              <w:t>6.15%</w:t>
            </w:r>
          </w:p>
        </w:tc>
        <w:tc>
          <w:tcPr>
            <w:tcW w:type="dxa" w:w="1568"/>
            <w:shd w:val="clear" w:color="auto" w:fill="DDEBF7"/>
          </w:tcPr>
          <w:p>
            <w:r>
              <w:rPr>
                <w:rFonts w:ascii="Meiryo UI" w:hAnsi="Meiryo UI"/>
                <w:sz w:val="18"/>
              </w:rPr>
              <w:t>¥1,935</w:t>
            </w:r>
          </w:p>
        </w:tc>
        <w:tc>
          <w:tcPr>
            <w:tcW w:type="dxa" w:w="1568"/>
            <w:shd w:val="clear" w:color="auto" w:fill="DDEBF7"/>
          </w:tcPr>
          <w:p>
            <w:r>
              <w:rPr>
                <w:rFonts w:ascii="Meiryo UI" w:hAnsi="Meiryo UI"/>
                <w:sz w:val="18"/>
              </w:rPr>
              <w:t>+9.5%</w:t>
            </w:r>
          </w:p>
        </w:tc>
      </w:tr>
      <w:tr>
        <w:tc>
          <w:tcPr>
            <w:tcW w:type="dxa" w:w="1568"/>
          </w:tcPr>
          <w:p>
            <w:r>
              <w:rPr>
                <w:rFonts w:ascii="Meiryo UI" w:hAnsi="Meiryo UI"/>
                <w:sz w:val="18"/>
              </w:rPr>
              <w:t>大幅上昇（+1.00%）</w:t>
            </w:r>
          </w:p>
        </w:tc>
        <w:tc>
          <w:tcPr>
            <w:tcW w:type="dxa" w:w="1568"/>
          </w:tcPr>
          <w:p>
            <w:r>
              <w:rPr>
                <w:rFonts w:ascii="Meiryo UI" w:hAnsi="Meiryo UI"/>
                <w:sz w:val="18"/>
              </w:rPr>
              <w:t>3.439%</w:t>
            </w:r>
          </w:p>
        </w:tc>
        <w:tc>
          <w:tcPr>
            <w:tcW w:type="dxa" w:w="1568"/>
          </w:tcPr>
          <w:p>
            <w:r>
              <w:rPr>
                <w:rFonts w:ascii="Meiryo UI" w:hAnsi="Meiryo UI"/>
                <w:sz w:val="18"/>
              </w:rPr>
              <w:t>7.564%</w:t>
            </w:r>
          </w:p>
        </w:tc>
        <w:tc>
          <w:tcPr>
            <w:tcW w:type="dxa" w:w="1568"/>
          </w:tcPr>
          <w:p>
            <w:r>
              <w:rPr>
                <w:rFonts w:ascii="Meiryo UI" w:hAnsi="Meiryo UI"/>
                <w:sz w:val="18"/>
              </w:rPr>
              <w:t>6.59%</w:t>
            </w:r>
          </w:p>
        </w:tc>
        <w:tc>
          <w:tcPr>
            <w:tcW w:type="dxa" w:w="1568"/>
          </w:tcPr>
          <w:p>
            <w:r>
              <w:rPr>
                <w:rFonts w:ascii="Meiryo UI" w:hAnsi="Meiryo UI"/>
                <w:sz w:val="18"/>
              </w:rPr>
              <w:t>¥1,741</w:t>
            </w:r>
          </w:p>
        </w:tc>
        <w:tc>
          <w:tcPr>
            <w:tcW w:type="dxa" w:w="1568"/>
          </w:tcPr>
          <w:p>
            <w:r>
              <w:rPr>
                <w:rFonts w:ascii="Meiryo UI" w:hAnsi="Meiryo UI"/>
                <w:sz w:val="18"/>
              </w:rPr>
              <w:t>▲1.5%</w:t>
            </w:r>
          </w:p>
        </w:tc>
      </w:tr>
    </w:tbl>
    <w:p/>
    <w:p>
      <w:r>
        <w:rPr>
          <w:rFonts w:ascii="Meiryo UI" w:hAnsi="Meiryo UI"/>
          <w:sz w:val="20"/>
        </w:rPr>
        <w:t>&gt; 感応度の読み方:</w:t>
      </w:r>
    </w:p>
    <w:p>
      <w:r>
        <w:rPr>
          <w:rFonts w:ascii="Meiryo UI" w:hAnsi="Meiryo UI"/>
          <w:sz w:val="20"/>
        </w:rPr>
        <w:t>&gt; - Rfが+1.00%上昇（3.44%）した場合でも、理論株価¥1,741 ≈ 現在値¥1,767。現在値はほぼ最悪シナリオ（急激な金利上昇）を織り込んだ水準。</w:t>
      </w:r>
    </w:p>
    <w:p>
      <w:r>
        <w:rPr>
          <w:rFonts w:ascii="Meiryo UI" w:hAnsi="Meiryo UI"/>
          <w:sz w:val="20"/>
        </w:rPr>
        <w:t>&gt; - Rfが▲0.50%低下（1.94%）した場合、理論株価¥2,448（+38.5%）。金利低下は強い追い風。</w:t>
      </w:r>
    </w:p>
    <w:p>
      <w:r>
        <w:rPr>
          <w:rFonts w:ascii="Meiryo UI" w:hAnsi="Meiryo UI"/>
          <w:sz w:val="20"/>
        </w:rPr>
        <w:t>&gt; - 結論: 現在の金利水準でも割安。金利上昇リスクは限定的（▲1.5%程度）。</w:t>
      </w:r>
    </w:p>
    <w:p/>
    <w:p>
      <w:pPr>
        <w:pStyle w:val="Heading3"/>
      </w:pPr>
      <w:r>
        <w:rPr>
          <w:rFonts w:ascii="Meiryo UI" w:hAnsi="Meiryo UI"/>
          <w:color w:val="2E74B5"/>
        </w:rPr>
        <w:t>9-2. WACC × g（永続成長率）クロス感応度テーブル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r>
          </w:p>
        </w:tc>
        <w:tc>
          <w:tcPr>
            <w:tcW w:type="dxa" w:w="1568"/>
            <w:shd w:val="clear" w:color="auto" w:fill="2E74B5"/>
          </w:tcPr>
          <w:p>
            <w:r>
              <w:rPr>
                <w:rFonts w:ascii="Meiryo UI" w:hAnsi="Meiryo UI"/>
                <w:b/>
                <w:color w:val="FFFFFF"/>
                <w:sz w:val="18"/>
              </w:rPr>
              <w:t>g=0.5%</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r>
      <w:tr>
        <w:tc>
          <w:tcPr>
            <w:tcW w:type="dxa" w:w="1568"/>
          </w:tcPr>
          <w:p>
            <w:r>
              <w:rPr>
                <w:rFonts w:ascii="Meiryo UI" w:hAnsi="Meiryo UI"/>
                <w:sz w:val="18"/>
              </w:rPr>
              <w:t>WACC=4.84%</w:t>
            </w:r>
          </w:p>
        </w:tc>
        <w:tc>
          <w:tcPr>
            <w:tcW w:type="dxa" w:w="1568"/>
          </w:tcPr>
          <w:p>
            <w:r>
              <w:rPr>
                <w:rFonts w:ascii="Meiryo UI" w:hAnsi="Meiryo UI"/>
                <w:sz w:val="18"/>
              </w:rPr>
              <w:t>¥2,037</w:t>
            </w:r>
          </w:p>
        </w:tc>
        <w:tc>
          <w:tcPr>
            <w:tcW w:type="dxa" w:w="1568"/>
          </w:tcPr>
          <w:p>
            <w:r>
              <w:rPr>
                <w:rFonts w:ascii="Meiryo UI" w:hAnsi="Meiryo UI"/>
                <w:sz w:val="18"/>
              </w:rPr>
              <w:t>¥2,345</w:t>
            </w:r>
          </w:p>
        </w:tc>
        <w:tc>
          <w:tcPr>
            <w:tcW w:type="dxa" w:w="1568"/>
          </w:tcPr>
          <w:p>
            <w:r>
              <w:rPr>
                <w:rFonts w:ascii="Meiryo UI" w:hAnsi="Meiryo UI"/>
                <w:sz w:val="18"/>
              </w:rPr>
              <w:t>¥2,768</w:t>
            </w:r>
          </w:p>
        </w:tc>
        <w:tc>
          <w:tcPr>
            <w:tcW w:type="dxa" w:w="1568"/>
          </w:tcPr>
          <w:p>
            <w:r>
              <w:rPr>
                <w:rFonts w:ascii="Meiryo UI" w:hAnsi="Meiryo UI"/>
                <w:sz w:val="18"/>
              </w:rPr>
              <w:t>¥3,379</w:t>
            </w:r>
          </w:p>
        </w:tc>
        <w:tc>
          <w:tcPr>
            <w:tcW w:type="dxa" w:w="1568"/>
          </w:tcPr>
          <w:p>
            <w:r>
              <w:rPr>
                <w:rFonts w:ascii="Meiryo UI" w:hAnsi="Meiryo UI"/>
                <w:sz w:val="18"/>
              </w:rPr>
              <w:t>¥4,423</w:t>
            </w:r>
          </w:p>
        </w:tc>
      </w:tr>
      <w:tr>
        <w:tc>
          <w:tcPr>
            <w:tcW w:type="dxa" w:w="1568"/>
            <w:shd w:val="clear" w:color="auto" w:fill="DDEBF7"/>
          </w:tcPr>
          <w:p>
            <w:r>
              <w:rPr>
                <w:rFonts w:ascii="Meiryo UI" w:hAnsi="Meiryo UI"/>
                <w:sz w:val="18"/>
              </w:rPr>
              <w:t>WACC=5.27%</w:t>
            </w:r>
          </w:p>
        </w:tc>
        <w:tc>
          <w:tcPr>
            <w:tcW w:type="dxa" w:w="1568"/>
            <w:shd w:val="clear" w:color="auto" w:fill="DDEBF7"/>
          </w:tcPr>
          <w:p>
            <w:r>
              <w:rPr>
                <w:rFonts w:ascii="Meiryo UI" w:hAnsi="Meiryo UI"/>
                <w:sz w:val="18"/>
              </w:rPr>
              <w:t>¥1,814</w:t>
            </w:r>
          </w:p>
        </w:tc>
        <w:tc>
          <w:tcPr>
            <w:tcW w:type="dxa" w:w="1568"/>
            <w:shd w:val="clear" w:color="auto" w:fill="DDEBF7"/>
          </w:tcPr>
          <w:p>
            <w:r>
              <w:rPr>
                <w:rFonts w:ascii="Meiryo UI" w:hAnsi="Meiryo UI"/>
                <w:sz w:val="18"/>
              </w:rPr>
              <w:t>¥2,067</w:t>
            </w:r>
          </w:p>
        </w:tc>
        <w:tc>
          <w:tcPr>
            <w:tcW w:type="dxa" w:w="1568"/>
            <w:shd w:val="clear" w:color="auto" w:fill="DDEBF7"/>
          </w:tcPr>
          <w:p>
            <w:r>
              <w:rPr>
                <w:rFonts w:ascii="Meiryo UI" w:hAnsi="Meiryo UI"/>
                <w:sz w:val="18"/>
              </w:rPr>
              <w:t>¥2,448</w:t>
            </w:r>
          </w:p>
        </w:tc>
        <w:tc>
          <w:tcPr>
            <w:tcW w:type="dxa" w:w="1568"/>
            <w:shd w:val="clear" w:color="auto" w:fill="DDEBF7"/>
          </w:tcPr>
          <w:p>
            <w:r>
              <w:rPr>
                <w:rFonts w:ascii="Meiryo UI" w:hAnsi="Meiryo UI"/>
                <w:sz w:val="18"/>
              </w:rPr>
              <w:t>¥2,926</w:t>
            </w:r>
          </w:p>
        </w:tc>
        <w:tc>
          <w:tcPr>
            <w:tcW w:type="dxa" w:w="1568"/>
            <w:shd w:val="clear" w:color="auto" w:fill="DDEBF7"/>
          </w:tcPr>
          <w:p>
            <w:r>
              <w:rPr>
                <w:rFonts w:ascii="Meiryo UI" w:hAnsi="Meiryo UI"/>
                <w:sz w:val="18"/>
              </w:rPr>
              <w:t>¥3,746</w:t>
            </w:r>
          </w:p>
        </w:tc>
      </w:tr>
      <w:tr>
        <w:tc>
          <w:tcPr>
            <w:tcW w:type="dxa" w:w="1568"/>
          </w:tcPr>
          <w:p>
            <w:r>
              <w:rPr>
                <w:rFonts w:ascii="Meiryo UI" w:hAnsi="Meiryo UI"/>
                <w:sz w:val="18"/>
              </w:rPr>
              <w:t>WACC=5.70%</w:t>
            </w:r>
          </w:p>
        </w:tc>
        <w:tc>
          <w:tcPr>
            <w:tcW w:type="dxa" w:w="1568"/>
          </w:tcPr>
          <w:p>
            <w:r>
              <w:rPr>
                <w:rFonts w:ascii="Meiryo UI" w:hAnsi="Meiryo UI"/>
                <w:sz w:val="18"/>
              </w:rPr>
              <w:t>¥1,643</w:t>
            </w:r>
          </w:p>
        </w:tc>
        <w:tc>
          <w:tcPr>
            <w:tcW w:type="dxa" w:w="1568"/>
          </w:tcPr>
          <w:p>
            <w:r>
              <w:rPr>
                <w:rFonts w:ascii="Meiryo UI" w:hAnsi="Meiryo UI"/>
                <w:sz w:val="18"/>
              </w:rPr>
              <w:t>¥1,875</w:t>
            </w:r>
          </w:p>
        </w:tc>
        <w:tc>
          <w:tcPr>
            <w:tcW w:type="dxa" w:w="1568"/>
          </w:tcPr>
          <w:p>
            <w:r>
              <w:rPr>
                <w:rFonts w:ascii="Meiryo UI" w:hAnsi="Meiryo UI"/>
                <w:sz w:val="18"/>
              </w:rPr>
              <w:t>¥2,167</w:t>
            </w:r>
          </w:p>
        </w:tc>
        <w:tc>
          <w:tcPr>
            <w:tcW w:type="dxa" w:w="1568"/>
          </w:tcPr>
          <w:p>
            <w:r>
              <w:rPr>
                <w:rFonts w:ascii="Meiryo UI" w:hAnsi="Meiryo UI"/>
                <w:sz w:val="18"/>
              </w:rPr>
              <w:t>¥2,612</w:t>
            </w:r>
          </w:p>
        </w:tc>
        <w:tc>
          <w:tcPr>
            <w:tcW w:type="dxa" w:w="1568"/>
          </w:tcPr>
          <w:p>
            <w:r>
              <w:rPr>
                <w:rFonts w:ascii="Meiryo UI" w:hAnsi="Meiryo UI"/>
                <w:sz w:val="18"/>
              </w:rPr>
              <w:t>¥3,170</w:t>
            </w:r>
          </w:p>
        </w:tc>
      </w:tr>
      <w:tr>
        <w:tc>
          <w:tcPr>
            <w:tcW w:type="dxa" w:w="1568"/>
            <w:shd w:val="clear" w:color="auto" w:fill="DDEBF7"/>
          </w:tcPr>
          <w:p>
            <w:r>
              <w:rPr>
                <w:rFonts w:ascii="Meiryo UI" w:hAnsi="Meiryo UI"/>
                <w:sz w:val="18"/>
              </w:rPr>
              <w:t>WACC=5.92%</w:t>
            </w:r>
          </w:p>
        </w:tc>
        <w:tc>
          <w:tcPr>
            <w:tcW w:type="dxa" w:w="1568"/>
            <w:shd w:val="clear" w:color="auto" w:fill="DDEBF7"/>
          </w:tcPr>
          <w:p>
            <w:r>
              <w:rPr>
                <w:rFonts w:ascii="Meiryo UI" w:hAnsi="Meiryo UI"/>
                <w:sz w:val="18"/>
              </w:rPr>
              <w:t>¥1,563</w:t>
            </w:r>
          </w:p>
        </w:tc>
        <w:tc>
          <w:tcPr>
            <w:tcW w:type="dxa" w:w="1568"/>
            <w:shd w:val="clear" w:color="auto" w:fill="DDEBF7"/>
          </w:tcPr>
          <w:p>
            <w:r>
              <w:rPr>
                <w:rFonts w:ascii="Meiryo UI" w:hAnsi="Meiryo UI"/>
                <w:sz w:val="18"/>
              </w:rPr>
              <w:t>¥1,779</w:t>
            </w:r>
          </w:p>
        </w:tc>
        <w:tc>
          <w:tcPr>
            <w:tcW w:type="dxa" w:w="1568"/>
            <w:shd w:val="clear" w:color="auto" w:fill="DDEBF7"/>
          </w:tcPr>
          <w:p>
            <w:r>
              <w:rPr>
                <w:rFonts w:ascii="Meiryo UI" w:hAnsi="Meiryo UI"/>
                <w:sz w:val="18"/>
              </w:rPr>
              <w:t>¥2,046</w:t>
            </w:r>
          </w:p>
        </w:tc>
        <w:tc>
          <w:tcPr>
            <w:tcW w:type="dxa" w:w="1568"/>
            <w:shd w:val="clear" w:color="auto" w:fill="DDEBF7"/>
          </w:tcPr>
          <w:p>
            <w:r>
              <w:rPr>
                <w:rFonts w:ascii="Meiryo UI" w:hAnsi="Meiryo UI"/>
                <w:sz w:val="18"/>
              </w:rPr>
              <w:t>¥2,443</w:t>
            </w:r>
          </w:p>
        </w:tc>
        <w:tc>
          <w:tcPr>
            <w:tcW w:type="dxa" w:w="1568"/>
            <w:shd w:val="clear" w:color="auto" w:fill="DDEBF7"/>
          </w:tcPr>
          <w:p>
            <w:r>
              <w:rPr>
                <w:rFonts w:ascii="Meiryo UI" w:hAnsi="Meiryo UI"/>
                <w:sz w:val="18"/>
              </w:rPr>
              <w:t>¥2,971</w:t>
            </w:r>
          </w:p>
        </w:tc>
      </w:tr>
      <w:tr>
        <w:tc>
          <w:tcPr>
            <w:tcW w:type="dxa" w:w="1568"/>
          </w:tcPr>
          <w:p>
            <w:r>
              <w:rPr>
                <w:rFonts w:ascii="Meiryo UI" w:hAnsi="Meiryo UI"/>
                <w:sz w:val="18"/>
              </w:rPr>
              <w:t>WACC=6.15%</w:t>
            </w:r>
          </w:p>
        </w:tc>
        <w:tc>
          <w:tcPr>
            <w:tcW w:type="dxa" w:w="1568"/>
          </w:tcPr>
          <w:p>
            <w:r>
              <w:rPr>
                <w:rFonts w:ascii="Meiryo UI" w:hAnsi="Meiryo UI"/>
                <w:sz w:val="18"/>
              </w:rPr>
              <w:t>¥1,488</w:t>
            </w:r>
          </w:p>
        </w:tc>
        <w:tc>
          <w:tcPr>
            <w:tcW w:type="dxa" w:w="1568"/>
          </w:tcPr>
          <w:p>
            <w:r>
              <w:rPr>
                <w:rFonts w:ascii="Meiryo UI" w:hAnsi="Meiryo UI"/>
                <w:sz w:val="18"/>
              </w:rPr>
              <w:t>¥1,689</w:t>
            </w:r>
          </w:p>
        </w:tc>
        <w:tc>
          <w:tcPr>
            <w:tcW w:type="dxa" w:w="1568"/>
          </w:tcPr>
          <w:p>
            <w:r>
              <w:rPr>
                <w:rFonts w:ascii="Meiryo UI" w:hAnsi="Meiryo UI"/>
                <w:sz w:val="18"/>
              </w:rPr>
              <w:t>¥1,935</w:t>
            </w:r>
          </w:p>
        </w:tc>
        <w:tc>
          <w:tcPr>
            <w:tcW w:type="dxa" w:w="1568"/>
          </w:tcPr>
          <w:p>
            <w:r>
              <w:rPr>
                <w:rFonts w:ascii="Meiryo UI" w:hAnsi="Meiryo UI"/>
                <w:sz w:val="18"/>
              </w:rPr>
              <w:t>¥2,295</w:t>
            </w:r>
          </w:p>
        </w:tc>
        <w:tc>
          <w:tcPr>
            <w:tcW w:type="dxa" w:w="1568"/>
          </w:tcPr>
          <w:p>
            <w:r>
              <w:rPr>
                <w:rFonts w:ascii="Meiryo UI" w:hAnsi="Meiryo UI"/>
                <w:sz w:val="18"/>
              </w:rPr>
              <w:t>¥2,780</w:t>
            </w:r>
          </w:p>
        </w:tc>
      </w:tr>
      <w:tr>
        <w:tc>
          <w:tcPr>
            <w:tcW w:type="dxa" w:w="1568"/>
            <w:shd w:val="clear" w:color="auto" w:fill="DDEBF7"/>
          </w:tcPr>
          <w:p>
            <w:r>
              <w:rPr>
                <w:rFonts w:ascii="Meiryo UI" w:hAnsi="Meiryo UI"/>
                <w:sz w:val="18"/>
              </w:rPr>
              <w:t>WACC=6.59%</w:t>
            </w:r>
          </w:p>
        </w:tc>
        <w:tc>
          <w:tcPr>
            <w:tcW w:type="dxa" w:w="1568"/>
            <w:shd w:val="clear" w:color="auto" w:fill="DDEBF7"/>
          </w:tcPr>
          <w:p>
            <w:r>
              <w:rPr>
                <w:rFonts w:ascii="Meiryo UI" w:hAnsi="Meiryo UI"/>
                <w:sz w:val="18"/>
              </w:rPr>
              <w:t>¥1,362</w:t>
            </w:r>
          </w:p>
        </w:tc>
        <w:tc>
          <w:tcPr>
            <w:tcW w:type="dxa" w:w="1568"/>
            <w:shd w:val="clear" w:color="auto" w:fill="DDEBF7"/>
          </w:tcPr>
          <w:p>
            <w:r>
              <w:rPr>
                <w:rFonts w:ascii="Meiryo UI" w:hAnsi="Meiryo UI"/>
                <w:sz w:val="18"/>
              </w:rPr>
              <w:t>¥1,530</w:t>
            </w:r>
          </w:p>
        </w:tc>
        <w:tc>
          <w:tcPr>
            <w:tcW w:type="dxa" w:w="1568"/>
            <w:shd w:val="clear" w:color="auto" w:fill="DDEBF7"/>
          </w:tcPr>
          <w:p>
            <w:r>
              <w:rPr>
                <w:rFonts w:ascii="Meiryo UI" w:hAnsi="Meiryo UI"/>
                <w:sz w:val="18"/>
              </w:rPr>
              <w:t>¥1,741</w:t>
            </w:r>
          </w:p>
        </w:tc>
        <w:tc>
          <w:tcPr>
            <w:tcW w:type="dxa" w:w="1568"/>
            <w:shd w:val="clear" w:color="auto" w:fill="DDEBF7"/>
          </w:tcPr>
          <w:p>
            <w:r>
              <w:rPr>
                <w:rFonts w:ascii="Meiryo UI" w:hAnsi="Meiryo UI"/>
                <w:sz w:val="18"/>
              </w:rPr>
              <w:t>¥2,041</w:t>
            </w:r>
          </w:p>
        </w:tc>
        <w:tc>
          <w:tcPr>
            <w:tcW w:type="dxa" w:w="1568"/>
            <w:shd w:val="clear" w:color="auto" w:fill="DDEBF7"/>
          </w:tcPr>
          <w:p>
            <w:r>
              <w:rPr>
                <w:rFonts w:ascii="Meiryo UI" w:hAnsi="Meiryo UI"/>
                <w:sz w:val="18"/>
              </w:rPr>
              <w:t>¥2,455</w:t>
            </w:r>
          </w:p>
        </w:tc>
      </w:tr>
    </w:tbl>
    <w:p/>
    <w:p>
      <w:r>
        <w:rPr>
          <w:rFonts w:ascii="Meiryo UI" w:hAnsi="Meiryo UI"/>
          <w:sz w:val="20"/>
        </w:rPr>
        <w:t>&gt; 現在値¥1,767を下回るのは: WACC≧6.59% かつ g≦1.5%の組み合わせのみ</w:t>
      </w:r>
    </w:p>
    <w:p>
      <w:r>
        <w:rPr>
          <w:rFonts w:ascii="Meiryo UI" w:hAnsi="Meiryo UI"/>
          <w:sz w:val="20"/>
        </w:rPr>
        <w:t>&gt; → 現在値は相当な悲観シナリオを既に織り込んでいる証拠</w:t>
      </w:r>
    </w:p>
    <w:p/>
    <w:p>
      <w:r>
        <w:t>──────────────────────────────────────────────────</w:t>
      </w:r>
    </w:p>
    <w:p/>
    <w:p>
      <w:pPr>
        <w:pStyle w:val="Heading2"/>
      </w:pPr>
      <w:r>
        <w:rPr>
          <w:rFonts w:ascii="Meiryo UI" w:hAnsi="Meiryo UI"/>
          <w:color w:val="2E74B5"/>
        </w:rPr>
        <w:t>10. 最終まとめ：深井の結論</w:t>
      </w:r>
    </w:p>
    <w:p/>
    <w:p>
      <w:pPr>
        <w:pStyle w:val="Heading3"/>
      </w:pPr>
      <w:r>
        <w:rPr>
          <w:rFonts w:ascii="Meiryo UI" w:hAnsi="Meiryo UI"/>
          <w:color w:val="2E74B5"/>
        </w:rPr>
        <w:t>投資評価サマリー</w:t>
      </w:r>
    </w:p>
    <w:p/>
    <w:p>
      <w:pPr>
        <w:shd w:val="clear" w:color="auto" w:fill="F2F2F2"/>
      </w:pPr>
      <w:r>
        <w:rPr>
          <w:rFonts w:ascii="Courier New" w:hAnsi="Courier New"/>
          <w:sz w:val="16"/>
        </w:rPr>
        <w:t>━━━━━━━━━━━━━━━━━━━━━━━━━━━━━━━━━━━━━━</w:t>
        <w:br/>
        <w:t xml:space="preserve">  評価                 ：★★★★☆「買い（BUY）」</w:t>
        <w:br/>
        <w:t xml:space="preserve">  理論株価（FV）        ：¥2,337（レンジ: ¥2,167～¥2,620）</w:t>
        <w:br/>
        <w:t xml:space="preserve">  現在値               ：¥1,767</w:t>
        <w:br/>
        <w:t xml:space="preserve">  上値余地             ：+32%（メイン）/ 最大+48%（強気）</w:t>
        <w:br/>
        <w:t xml:space="preserve">  損切りライン         ：¥1,530（▲13%）</w:t>
        <w:br/>
        <w:t xml:space="preserve">  投資時間軸           ：6～18ヶ月</w:t>
        <w:br/>
        <w:t>━━━━━━━━━━━━━━━━━━━━━━━━━━━━━━━━━━━━━━</w:t>
      </w:r>
    </w:p>
    <w:p/>
    <w:p>
      <w:pPr>
        <w:pStyle w:val="Heading3"/>
      </w:pPr>
      <w:r>
        <w:rPr>
          <w:rFonts w:ascii="Meiryo UI" w:hAnsi="Meiryo UI"/>
          <w:color w:val="2E74B5"/>
        </w:rPr>
        <w:t>買い根拠の3本柱</w:t>
      </w:r>
    </w:p>
    <w:p/>
    <w:p>
      <w:pPr>
        <w:shd w:val="clear" w:color="auto" w:fill="F2F2F2"/>
      </w:pPr>
      <w:r>
        <w:rPr>
          <w:rFonts w:ascii="Courier New" w:hAnsi="Courier New"/>
          <w:sz w:val="16"/>
        </w:rPr>
        <w:t>第1の柱【割安性】</w:t>
        <w:br/>
        <w:t xml:space="preserve">  PBR0.91x（東証低PBR改善要請対象） × BPS¥1,948 &gt; 株価¥1,767</w:t>
        <w:br/>
        <w:t xml:space="preserve">  → 帳簿価値を下回る価格での購入機会</w:t>
        <w:br/>
        <w:br/>
        <w:t>第2の柱【実力の健全性】</w:t>
        <w:br/>
        <w:t xml:space="preserve">  OP+13.6% × RP+12.7%の本業好調が純利益悪化と乖離</w:t>
        <w:br/>
        <w:t xml:space="preserve">  → 純利益▲38.8%は一過性（税務・引当）と判定（確信度70%）</w:t>
        <w:br/>
        <w:br/>
        <w:t>第3の柱【構造的成長】</w:t>
        <w:br/>
        <w:t xml:space="preserve">  国土強靭化・老朽インフラ更新の国策需要 × 技術者不足の参入障壁</w:t>
        <w:br/>
        <w:t xml:space="preserve">  → 今後5年間の受注環境は良好</w:t>
      </w:r>
    </w:p>
    <w:p/>
    <w:p>
      <w:pPr>
        <w:pStyle w:val="Heading3"/>
      </w:pPr>
      <w:r>
        <w:rPr>
          <w:rFonts w:ascii="Meiryo UI" w:hAnsi="Meiryo UI"/>
          <w:color w:val="2E74B5"/>
        </w:rPr>
        <w:t>最終リスク警告</w:t>
      </w:r>
    </w:p>
    <w:p/>
    <w:p>
      <w:pPr>
        <w:shd w:val="clear" w:color="auto" w:fill="F2F2F2"/>
      </w:pPr>
      <w:r>
        <w:rPr>
          <w:rFonts w:ascii="Courier New" w:hAnsi="Courier New"/>
          <w:sz w:val="16"/>
        </w:rPr>
        <w:t>⚠️ 5月通期決算が最重要カタリスト</w:t>
        <w:br/>
        <w:t xml:space="preserve">  NP2,000M以上 → 買い継続・第2トランシェ実行</w:t>
        <w:br/>
        <w:t xml:space="preserve">  NP1,500M以下 → 構造的問題の可能性。損切り検討</w:t>
        <w:br/>
        <w:t xml:space="preserve">  </w:t>
        <w:br/>
        <w:t>⚠️ 4Q単体でNP2,861M回収必要（計画達成の場合）</w:t>
        <w:br/>
        <w:t xml:space="preserve">  → 建設コンサルの年度末集中は業種特性として一般的だが</w:t>
        <w:br/>
        <w:t xml:space="preserve">    規模感の検証が5月決算で必須</w:t>
      </w:r>
    </w:p>
    <w:p/>
    <w:p>
      <w:r>
        <w:t>──────────────────────────────────────────────────</w:t>
      </w:r>
    </w:p>
    <w:p/>
    <w:p>
      <w:r>
        <w:rPr>
          <w:rFonts w:ascii="Meiryo UI" w:hAnsi="Meiryo UI"/>
          <w:sz w:val="20"/>
        </w:rPr>
        <w:t>本レポートは竹村トレードカンパニー・深井アナリストが作成した投資調査レポートです。財務指標はYahoo Finance（2026年4月13日23:12 JST）リアルタイム取得値を使用。本レポートは投資助言ではなく、投資判断は最終的に社長ご自身の責任において行ってください。株式投資は元本割れのリスクを伴います。</w:t>
      </w:r>
    </w:p>
    <w:p/>
    <w:p>
      <w:r>
        <w:t>──────────────────────────────────────────────────</w:t>
      </w:r>
    </w:p>
    <w:p>
      <w:r>
        <w:rPr>
          <w:rFonts w:ascii="Meiryo UI" w:hAnsi="Meiryo UI"/>
          <w:sz w:val="20"/>
        </w:rPr>
        <w:t>深井｜竹村トレードカンパニー リサーチ部門</w:t>
      </w:r>
    </w:p>
    <w:p>
      <w:r>
        <w:rPr>
          <w:rFonts w:ascii="Meiryo UI" w:hAnsi="Meiryo UI"/>
          <w:sz w:val="20"/>
        </w:rPr>
        <w:t>レポート作成：2026年4月13日 23:12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23:12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2153_Ｅ・Ｊホールディ_BUY_DeepResearch_20260413.md を出力しました。</w:t>
      </w:r>
    </w:p>
    <w:p>
      <w:r>
        <w:rPr>
          <w:rFonts w:ascii="Meiryo UI" w:hAnsi="Meiryo UI"/>
          <w:sz w:val="20"/>
        </w:rPr>
        <w:t>浅井スコア +0 の銘柄 [2153]Ｅ・Ｊホールディングス についてDeepResearch完了。</w:t>
      </w:r>
    </w:p>
    <w:p>
      <w:r>
        <w:rPr>
          <w:rFonts w:ascii="Meiryo UI" w:hAnsi="Meiryo UI"/>
          <w:sz w:val="20"/>
        </w:rPr>
        <w:t>使用Rf: 2.439%（取得: 2026-04-13 23:12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