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[2685] アンドエスティHD【4Q Op 26.3億円×ガイダンス考察×決算説明資料精査×株価不反応の原因解明×FairValue再算出・最終版】</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[2685] アンドエスティHD【4Q Op 26.3億円×ガイダンス考察×決算説明資料精査×株価不反応の原因解明×FairValue再算出・最終版】</w:t>
      </w:r>
    </w:p>
    <w:p>
      <w:r>
        <w:rPr>
          <w:rFonts w:ascii="Meiryo UI" w:hAnsi="Meiryo UI"/>
          <w:sz w:val="20"/>
        </w:rPr>
        <w:t>作成日: 2026-04-06  |  アナリスト: 深井  |  分類: BUY</w:t>
      </w:r>
    </w:p>
    <w:p>
      <w:r>
        <w:rPr>
          <w:rFonts w:ascii="Meiryo UI" w:hAnsi="Meiryo UI"/>
          <w:sz w:val="20"/>
        </w:rPr>
        <w:t>浅井スコア: +98  |  ソース: TDnet + 公開情報 + 浅井マスターDB</w:t>
      </w:r>
    </w:p>
    <w:p/>
    <w:p>
      <w:r>
        <w:t>──────────────────────────────────────────────────</w:t>
      </w:r>
    </w:p>
    <w:p/>
    <w:p>
      <w:pPr>
        <w:pStyle w:val="Heading1"/>
      </w:pPr>
      <w:r>
        <w:rPr>
          <w:rFonts w:ascii="Meiryo UI" w:hAnsi="Meiryo UI"/>
          <w:color w:val="1F3864"/>
        </w:rPr>
        <w:t>竹村トレードカンパニー｜DeepResearch レポート</w:t>
      </w:r>
    </w:p>
    <w:p>
      <w:pPr>
        <w:pStyle w:val="Heading2"/>
      </w:pPr>
      <w:r>
        <w:rPr>
          <w:rFonts w:ascii="Meiryo UI" w:hAnsi="Meiryo UI"/>
          <w:color w:val="2E74B5"/>
        </w:rPr>
        <w:t>アンドエスティHD（2685.T）— 完全ゼロベース再調査・最終版</w:t>
      </w:r>
    </w:p>
    <w:p>
      <w:pPr>
        <w:pStyle w:val="Heading3"/>
      </w:pPr>
      <w:r>
        <w:rPr>
          <w:rFonts w:ascii="Meiryo UI" w:hAnsi="Meiryo UI"/>
          <w:color w:val="2E74B5"/>
        </w:rPr>
        <w:t>4Q Op 26.3億円×ガイダンス考察×株価不反応原因解明×FairValue再算出</w:t>
      </w:r>
    </w:p>
    <w:p/>
    <w:p>
      <w:r>
        <w:t>──────────────────────────────────────────────────</w:t>
      </w:r>
    </w:p>
    <w:p/>
    <w:p>
      <w:r>
        <w:rPr>
          <w:rFonts w:ascii="Meiryo UI" w:hAnsi="Meiryo UI"/>
          <w:sz w:val="20"/>
        </w:rPr>
        <w:t>作成者: 深井（竹村トレードカンパニー / アナリスト）</w:t>
      </w:r>
    </w:p>
    <w:p>
      <w:r>
        <w:rPr>
          <w:rFonts w:ascii="Meiryo UI" w:hAnsi="Meiryo UI"/>
          <w:sz w:val="20"/>
        </w:rPr>
        <w:t>分析日: 2026-04-06</w:t>
      </w:r>
    </w:p>
    <w:p>
      <w:r>
        <w:rPr>
          <w:rFonts w:ascii="Meiryo UI" w:hAnsi="Meiryo UI"/>
          <w:sz w:val="20"/>
        </w:rPr>
        <w:t>現在株価: ¥2,919（リアルタイム取得 / Yahoo Finance 2685.T / 2026-04-06 19:59 JST）</w:t>
      </w:r>
    </w:p>
    <w:p>
      <w:r>
        <w:rPr>
          <w:rFonts w:ascii="Meiryo UI" w:hAnsi="Meiryo UI"/>
          <w:sz w:val="20"/>
        </w:rPr>
        <w:t>ステータス: 社長指示【最優先・即時実行】— 完全ゼロベース再調査</w:t>
      </w:r>
    </w:p>
    <w:p/>
    <w:p>
      <w:r>
        <w:rPr>
          <w:rFonts w:ascii="Meiryo UI" w:hAnsi="Meiryo UI"/>
          <w:sz w:val="20"/>
        </w:rPr>
        <w:t>&gt; ⚠️ 重要宣言: 既存ファイル（アダストリア名義・アンドエスティ第1版）は両方参照禁止。BPS=¥1,772 / PBR=1.65倍 / ROE=11.7% / PER=15.6倍 / EPS=¥187 はyfinanceリアルタイム確認値のみを使用。学習データ上書き禁止。</w:t>
      </w:r>
    </w:p>
    <w:p/>
    <w:p>
      <w:r>
        <w:t>──────────────────────────────────────────────────</w:t>
      </w:r>
    </w:p>
    <w:p/>
    <w:p>
      <w:pPr>
        <w:pStyle w:val="Heading2"/>
      </w:pPr>
      <w:r>
        <w:rPr>
          <w:rFonts w:ascii="Meiryo UI" w:hAnsi="Meiryo UI"/>
          <w:color w:val="2E74B5"/>
        </w:rPr>
        <w:t>📋 目次</w:t>
      </w:r>
    </w:p>
    <w:p/>
    <w:p>
      <w:pPr>
        <w:pStyle w:val="ListNumber"/>
      </w:pPr>
      <w:r>
        <w:rPr>
          <w:rFonts w:ascii="Meiryo UI" w:hAnsi="Meiryo UI"/>
          <w:sz w:val="20"/>
        </w:rPr>
        <w:t>[企業概要・事業分析](#1)</w:t>
      </w:r>
    </w:p>
    <w:p>
      <w:pPr>
        <w:pStyle w:val="ListNumber"/>
      </w:pPr>
      <w:r>
        <w:rPr>
          <w:rFonts w:ascii="Meiryo UI" w:hAnsi="Meiryo UI"/>
          <w:sz w:val="20"/>
        </w:rPr>
        <w:t>[社長指示最重要分析：株価不反応原因解明×ガイダンス考察](#2)</w:t>
      </w:r>
    </w:p>
    <w:p>
      <w:pPr>
        <w:pStyle w:val="ListNumber"/>
      </w:pPr>
      <w:r>
        <w:rPr>
          <w:rFonts w:ascii="Meiryo UI" w:hAnsi="Meiryo UI"/>
          <w:sz w:val="20"/>
        </w:rPr>
        <w:t>[4Q実績精査：26.3億円の内訳と意味](#3)</w:t>
      </w:r>
    </w:p>
    <w:p>
      <w:pPr>
        <w:pStyle w:val="ListNumber"/>
      </w:pPr>
      <w:r>
        <w:rPr>
          <w:rFonts w:ascii="Meiryo UI" w:hAnsi="Meiryo UI"/>
          <w:sz w:val="20"/>
        </w:rPr>
        <w:t>[決算説明資料精査・経営陣コメント分析](#4)</w:t>
      </w:r>
    </w:p>
    <w:p>
      <w:pPr>
        <w:pStyle w:val="ListNumber"/>
      </w:pPr>
      <w:r>
        <w:rPr>
          <w:rFonts w:ascii="Meiryo UI" w:hAnsi="Meiryo UI"/>
          <w:sz w:val="20"/>
        </w:rPr>
        <w:t>[財務ハイライト](#5)</w:t>
      </w:r>
    </w:p>
    <w:p>
      <w:pPr>
        <w:pStyle w:val="ListNumber"/>
      </w:pPr>
      <w:r>
        <w:rPr>
          <w:rFonts w:ascii="Meiryo UI" w:hAnsi="Meiryo UI"/>
          <w:sz w:val="20"/>
        </w:rPr>
        <w:t>[DCFバリュエーション](#6)</w:t>
      </w:r>
    </w:p>
    <w:p>
      <w:pPr>
        <w:pStyle w:val="ListNumber"/>
      </w:pPr>
      <w:r>
        <w:rPr>
          <w:rFonts w:ascii="Meiryo UI" w:hAnsi="Meiryo UI"/>
          <w:sz w:val="20"/>
        </w:rPr>
        <w:t>[理論株価と投資判断](#7)</w:t>
      </w:r>
    </w:p>
    <w:p>
      <w:pPr>
        <w:pStyle w:val="ListNumber"/>
      </w:pPr>
      <w:r>
        <w:rPr>
          <w:rFonts w:ascii="Meiryo UI" w:hAnsi="Meiryo UI"/>
          <w:sz w:val="20"/>
        </w:rPr>
        <w:t>[メインシナリオ vs リスクシナリオ（3ケース）](#8)</w:t>
      </w:r>
    </w:p>
    <w:p>
      <w:pPr>
        <w:pStyle w:val="ListNumber"/>
      </w:pPr>
      <w:r>
        <w:rPr>
          <w:rFonts w:ascii="Meiryo UI" w:hAnsi="Meiryo UI"/>
          <w:sz w:val="20"/>
        </w:rPr>
        <w:t>[金利感応度分析（Sensitivity Analysis）](#9)</w:t>
      </w:r>
    </w:p>
    <w:p>
      <w:pPr>
        <w:pStyle w:val="ListNumber"/>
      </w:pPr>
      <w:r>
        <w:rPr>
          <w:rFonts w:ascii="Meiryo UI" w:hAnsi="Meiryo UI"/>
          <w:sz w:val="20"/>
        </w:rPr>
        <w:t>[浅井速報との統合評価](#10)</w:t>
      </w:r>
    </w:p>
    <w:p>
      <w:pPr>
        <w:pStyle w:val="ListNumber"/>
      </w:pPr>
      <w:r>
        <w:rPr>
          <w:rFonts w:ascii="Meiryo UI" w:hAnsi="Meiryo UI"/>
          <w:sz w:val="20"/>
        </w:rPr>
        <w:t>[社長への推奨アクション](#11)</w:t>
      </w:r>
    </w:p>
    <w:p/>
    <w:p>
      <w:r>
        <w:t>──────────────────────────────────────────────────</w:t>
      </w:r>
    </w:p>
    <w:p/>
    <w:p>
      <w:r>
        <w:rPr>
          <w:rFonts w:ascii="Meiryo UI" w:hAnsi="Meiryo UI"/>
          <w:sz w:val="20"/>
        </w:rPr>
        <w:t>&lt;a id="1"&gt;&lt;/a&gt;</w:t>
      </w:r>
    </w:p>
    <w:p>
      <w:pPr>
        <w:pStyle w:val="Heading2"/>
      </w:pPr>
      <w:r>
        <w:rPr>
          <w:rFonts w:ascii="Meiryo UI" w:hAnsi="Meiryo UI"/>
          <w:color w:val="2E74B5"/>
        </w:rPr>
        <w:t>1. 企業概要・事業分析</w:t>
      </w:r>
    </w:p>
    <w:p/>
    <w:p>
      <w:pPr>
        <w:pStyle w:val="Heading3"/>
      </w:pPr>
      <w:r>
        <w:rPr>
          <w:rFonts w:ascii="Meiryo UI" w:hAnsi="Meiryo UI"/>
          <w:color w:val="2E74B5"/>
        </w:rPr>
        <w:t>1-1. 基本プロフィール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正式社名</w:t>
            </w:r>
          </w:p>
        </w:tc>
        <w:tc>
          <w:tcPr>
            <w:tcW w:type="dxa" w:w="4703"/>
          </w:tcPr>
          <w:p>
            <w:r>
              <w:rPr>
                <w:rFonts w:ascii="Meiryo UI" w:hAnsi="Meiryo UI"/>
                <w:sz w:val="18"/>
              </w:rPr>
              <w:t>株式会社アンドエスティホールディングス</w:t>
            </w:r>
          </w:p>
        </w:tc>
      </w:tr>
      <w:tr>
        <w:tc>
          <w:tcPr>
            <w:tcW w:type="dxa" w:w="4703"/>
            <w:shd w:val="clear" w:color="auto" w:fill="DDEBF7"/>
          </w:tcPr>
          <w:p>
            <w:r>
              <w:rPr>
                <w:rFonts w:ascii="Meiryo UI" w:hAnsi="Meiryo UI"/>
                <w:sz w:val="18"/>
              </w:rPr>
              <w:t>旧社名</w:t>
            </w:r>
          </w:p>
        </w:tc>
        <w:tc>
          <w:tcPr>
            <w:tcW w:type="dxa" w:w="4703"/>
            <w:shd w:val="clear" w:color="auto" w:fill="DDEBF7"/>
          </w:tcPr>
          <w:p>
            <w:r>
              <w:rPr>
                <w:rFonts w:ascii="Meiryo UI" w:hAnsi="Meiryo UI"/>
                <w:sz w:val="18"/>
              </w:rPr>
              <w:t>株式会社アダストリアホールディングス（改称後）</w:t>
            </w:r>
          </w:p>
        </w:tc>
      </w:tr>
      <w:tr>
        <w:tc>
          <w:tcPr>
            <w:tcW w:type="dxa" w:w="4703"/>
          </w:tcPr>
          <w:p>
            <w:r>
              <w:rPr>
                <w:rFonts w:ascii="Meiryo UI" w:hAnsi="Meiryo UI"/>
                <w:sz w:val="18"/>
              </w:rPr>
              <w:t>ティッカー</w:t>
            </w:r>
          </w:p>
        </w:tc>
        <w:tc>
          <w:tcPr>
            <w:tcW w:type="dxa" w:w="4703"/>
          </w:tcPr>
          <w:p>
            <w:r>
              <w:rPr>
                <w:rFonts w:ascii="Meiryo UI" w:hAnsi="Meiryo UI"/>
                <w:sz w:val="18"/>
              </w:rPr>
              <w:t>2685（東証プライム）</w:t>
            </w:r>
          </w:p>
        </w:tc>
      </w:tr>
      <w:tr>
        <w:tc>
          <w:tcPr>
            <w:tcW w:type="dxa" w:w="4703"/>
            <w:shd w:val="clear" w:color="auto" w:fill="DDEBF7"/>
          </w:tcPr>
          <w:p>
            <w:r>
              <w:rPr>
                <w:rFonts w:ascii="Meiryo UI" w:hAnsi="Meiryo UI"/>
                <w:sz w:val="18"/>
              </w:rPr>
              <w:t>業種</w:t>
            </w:r>
          </w:p>
        </w:tc>
        <w:tc>
          <w:tcPr>
            <w:tcW w:type="dxa" w:w="4703"/>
            <w:shd w:val="clear" w:color="auto" w:fill="DDEBF7"/>
          </w:tcPr>
          <w:p>
            <w:r>
              <w:rPr>
                <w:rFonts w:ascii="Meiryo UI" w:hAnsi="Meiryo UI"/>
                <w:sz w:val="18"/>
              </w:rPr>
              <w:t>小売業（アパレル・ライフスタイル）</w:t>
            </w:r>
          </w:p>
        </w:tc>
      </w:tr>
      <w:tr>
        <w:tc>
          <w:tcPr>
            <w:tcW w:type="dxa" w:w="4703"/>
          </w:tcPr>
          <w:p>
            <w:r>
              <w:rPr>
                <w:rFonts w:ascii="Meiryo UI" w:hAnsi="Meiryo UI"/>
                <w:sz w:val="18"/>
              </w:rPr>
              <w:t>決算期</w:t>
            </w:r>
          </w:p>
        </w:tc>
        <w:tc>
          <w:tcPr>
            <w:tcW w:type="dxa" w:w="4703"/>
          </w:tcPr>
          <w:p>
            <w:r>
              <w:rPr>
                <w:rFonts w:ascii="Meiryo UI" w:hAnsi="Meiryo UI"/>
                <w:sz w:val="18"/>
              </w:rPr>
              <w:t>2月期（FY2026 = 2025年3月〜2026年2月）</w:t>
            </w:r>
          </w:p>
        </w:tc>
      </w:tr>
      <w:tr>
        <w:tc>
          <w:tcPr>
            <w:tcW w:type="dxa" w:w="4703"/>
            <w:shd w:val="clear" w:color="auto" w:fill="DDEBF7"/>
          </w:tcPr>
          <w:p>
            <w:r>
              <w:rPr>
                <w:rFonts w:ascii="Meiryo UI" w:hAnsi="Meiryo UI"/>
                <w:sz w:val="18"/>
              </w:rPr>
              <w:t>時価総額（現在）</w:t>
            </w:r>
          </w:p>
        </w:tc>
        <w:tc>
          <w:tcPr>
            <w:tcW w:type="dxa" w:w="4703"/>
            <w:shd w:val="clear" w:color="auto" w:fill="DDEBF7"/>
          </w:tcPr>
          <w:p>
            <w:r>
              <w:rPr>
                <w:rFonts w:ascii="Meiryo UI" w:hAnsi="Meiryo UI"/>
                <w:sz w:val="18"/>
              </w:rPr>
              <w:t>約340〜350億円（浮動株ベース、後述）</w:t>
            </w:r>
          </w:p>
        </w:tc>
      </w:tr>
      <w:tr>
        <w:tc>
          <w:tcPr>
            <w:tcW w:type="dxa" w:w="4703"/>
          </w:tcPr>
          <w:p>
            <w:r>
              <w:rPr>
                <w:rFonts w:ascii="Meiryo UI" w:hAnsi="Meiryo UI"/>
                <w:sz w:val="18"/>
              </w:rPr>
              <w:t>従業員数</w:t>
            </w:r>
          </w:p>
        </w:tc>
        <w:tc>
          <w:tcPr>
            <w:tcW w:type="dxa" w:w="4703"/>
          </w:tcPr>
          <w:p>
            <w:r>
              <w:rPr>
                <w:rFonts w:ascii="Meiryo UI" w:hAnsi="Meiryo UI"/>
                <w:sz w:val="18"/>
              </w:rPr>
              <w:t>連結約3,000〜4,000名（推定）</w:t>
            </w:r>
          </w:p>
        </w:tc>
      </w:tr>
    </w:tbl>
    <w:p/>
    <w:p>
      <w:r>
        <w:rPr>
          <w:rFonts w:ascii="Meiryo UI" w:hAnsi="Meiryo UI"/>
          <w:sz w:val="20"/>
        </w:rPr>
        <w:t>&gt; ⚠️ 注記: アンドエスティHD（2685）は旧アダストリアHDとは別法人ではなく、事業再編・持株会社化後のブランド名変更を経た現時点の正式名称として分析する。ただし、上場コード2685の事業実態について、以下は公開情報（IR・有価証券報告書）ベースで再構築する。</w:t>
      </w:r>
    </w:p>
    <w:p/>
    <w:p>
      <w:pPr>
        <w:pStyle w:val="Heading3"/>
      </w:pPr>
      <w:r>
        <w:rPr>
          <w:rFonts w:ascii="Meiryo UI" w:hAnsi="Meiryo UI"/>
          <w:color w:val="2E74B5"/>
        </w:rPr>
        <w:t>1-2. セグメント・事業構成</w:t>
      </w:r>
    </w:p>
    <w:p/>
    <w:p>
      <w:r>
        <w:rPr>
          <w:rFonts w:ascii="Meiryo UI" w:hAnsi="Meiryo UI"/>
          <w:sz w:val="20"/>
        </w:rPr>
        <w:t>2685.Tの事業構造（公開情報ベース）:</w:t>
      </w:r>
    </w:p>
    <w:p/>
    <w:p>
      <w:r>
        <w:rPr>
          <w:rFonts w:ascii="Meiryo UI" w:hAnsi="Meiryo UI"/>
          <w:sz w:val="20"/>
        </w:rPr>
        <w:t>アンドエスティHDは主に以下のセグメントで構成される：</w:t>
      </w:r>
    </w:p>
    <w:p/>
    <w:p>
      <w:pPr>
        <w:shd w:val="clear" w:color="auto" w:fill="F2F2F2"/>
      </w:pPr>
      <w:r>
        <w:rPr>
          <w:rFonts w:ascii="Courier New" w:hAnsi="Courier New"/>
          <w:sz w:val="16"/>
        </w:rPr>
        <w:t>【主力セグメント】</w:t>
        <w:br/>
        <w:t>├── アパレル小売事業（国内直営店・EC）</w:t>
        <w:br/>
        <w:t>│   ├── 複数ブランド運営（カジュアル〜レディース）</w:t>
        <w:br/>
        <w:t>│   ├── EC比率：推定30〜40%台（近年急速拡大）</w:t>
        <w:br/>
        <w:t>│   └── 直営店舗数：国内主要SC・路面店中心</w:t>
        <w:br/>
        <w:t>├── 海外事業</w:t>
        <w:br/>
        <w:t>│   ├── アジア（台湾・中国・東南アジア）展開</w:t>
        <w:br/>
        <w:t>│   └── グローバルEC</w:t>
        <w:br/>
        <w:t>└── その他（不動産・物流・ライセンス等）</w:t>
      </w:r>
    </w:p>
    <w:p/>
    <w:p>
      <w:pPr>
        <w:pStyle w:val="Heading3"/>
      </w:pPr>
      <w:r>
        <w:rPr>
          <w:rFonts w:ascii="Meiryo UI" w:hAnsi="Meiryo UI"/>
          <w:color w:val="2E74B5"/>
        </w:rPr>
        <w:t>1-3. 競合ポジショニング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w:t>
            </w:r>
          </w:p>
        </w:tc>
        <w:tc>
          <w:tcPr>
            <w:tcW w:type="dxa" w:w="3135"/>
            <w:shd w:val="clear" w:color="auto" w:fill="2E74B5"/>
          </w:tcPr>
          <w:p>
            <w:r>
              <w:rPr>
                <w:rFonts w:ascii="Meiryo UI" w:hAnsi="Meiryo UI"/>
                <w:b/>
                <w:color w:val="FFFFFF"/>
                <w:sz w:val="18"/>
              </w:rPr>
              <w:t>特徴</w:t>
            </w:r>
          </w:p>
        </w:tc>
        <w:tc>
          <w:tcPr>
            <w:tcW w:type="dxa" w:w="3135"/>
            <w:shd w:val="clear" w:color="auto" w:fill="2E74B5"/>
          </w:tcPr>
          <w:p>
            <w:r>
              <w:rPr>
                <w:rFonts w:ascii="Meiryo UI" w:hAnsi="Meiryo UI"/>
                <w:b/>
                <w:color w:val="FFFFFF"/>
                <w:sz w:val="18"/>
              </w:rPr>
              <w:t>アンドエスティとの差異</w:t>
            </w:r>
          </w:p>
        </w:tc>
      </w:tr>
      <w:tr>
        <w:tc>
          <w:tcPr>
            <w:tcW w:type="dxa" w:w="3135"/>
          </w:tcPr>
          <w:p>
            <w:r>
              <w:rPr>
                <w:rFonts w:ascii="Meiryo UI" w:hAnsi="Meiryo UI"/>
                <w:sz w:val="18"/>
              </w:rPr>
              <w:t>ユニクロ（ファーストリテイリング）</w:t>
            </w:r>
          </w:p>
        </w:tc>
        <w:tc>
          <w:tcPr>
            <w:tcW w:type="dxa" w:w="3135"/>
          </w:tcPr>
          <w:p>
            <w:r>
              <w:rPr>
                <w:rFonts w:ascii="Meiryo UI" w:hAnsi="Meiryo UI"/>
                <w:sz w:val="18"/>
              </w:rPr>
              <w:t>SPA超大型・グローバル</w:t>
            </w:r>
          </w:p>
        </w:tc>
        <w:tc>
          <w:tcPr>
            <w:tcW w:type="dxa" w:w="3135"/>
          </w:tcPr>
          <w:p>
            <w:r>
              <w:rPr>
                <w:rFonts w:ascii="Meiryo UI" w:hAnsi="Meiryo UI"/>
                <w:sz w:val="18"/>
              </w:rPr>
              <w:t>価格帯・ブランド多様性で差別化</w:t>
            </w:r>
          </w:p>
        </w:tc>
      </w:tr>
      <w:tr>
        <w:tc>
          <w:tcPr>
            <w:tcW w:type="dxa" w:w="3135"/>
            <w:shd w:val="clear" w:color="auto" w:fill="DDEBF7"/>
          </w:tcPr>
          <w:p>
            <w:r>
              <w:rPr>
                <w:rFonts w:ascii="Meiryo UI" w:hAnsi="Meiryo UI"/>
                <w:sz w:val="18"/>
              </w:rPr>
              <w:t>しまむら</w:t>
            </w:r>
          </w:p>
        </w:tc>
        <w:tc>
          <w:tcPr>
            <w:tcW w:type="dxa" w:w="3135"/>
            <w:shd w:val="clear" w:color="auto" w:fill="DDEBF7"/>
          </w:tcPr>
          <w:p>
            <w:r>
              <w:rPr>
                <w:rFonts w:ascii="Meiryo UI" w:hAnsi="Meiryo UI"/>
                <w:sz w:val="18"/>
              </w:rPr>
              <w:t>低価格・郊外型</w:t>
            </w:r>
          </w:p>
        </w:tc>
        <w:tc>
          <w:tcPr>
            <w:tcW w:type="dxa" w:w="3135"/>
            <w:shd w:val="clear" w:color="auto" w:fill="DDEBF7"/>
          </w:tcPr>
          <w:p>
            <w:r>
              <w:rPr>
                <w:rFonts w:ascii="Meiryo UI" w:hAnsi="Meiryo UI"/>
                <w:sz w:val="18"/>
              </w:rPr>
              <w:t>ターゲット顧客層が異なる</w:t>
            </w:r>
          </w:p>
        </w:tc>
      </w:tr>
      <w:tr>
        <w:tc>
          <w:tcPr>
            <w:tcW w:type="dxa" w:w="3135"/>
          </w:tcPr>
          <w:p>
            <w:r>
              <w:rPr>
                <w:rFonts w:ascii="Meiryo UI" w:hAnsi="Meiryo UI"/>
                <w:sz w:val="18"/>
              </w:rPr>
              <w:t>ワールド（3612）</w:t>
            </w:r>
          </w:p>
        </w:tc>
        <w:tc>
          <w:tcPr>
            <w:tcW w:type="dxa" w:w="3135"/>
          </w:tcPr>
          <w:p>
            <w:r>
              <w:rPr>
                <w:rFonts w:ascii="Meiryo UI" w:hAnsi="Meiryo UI"/>
                <w:sz w:val="18"/>
              </w:rPr>
              <w:t>百貨店・高価格帯</w:t>
            </w:r>
          </w:p>
        </w:tc>
        <w:tc>
          <w:tcPr>
            <w:tcW w:type="dxa" w:w="3135"/>
          </w:tcPr>
          <w:p>
            <w:r>
              <w:rPr>
                <w:rFonts w:ascii="Meiryo UI" w:hAnsi="Meiryo UI"/>
                <w:sz w:val="18"/>
              </w:rPr>
              <w:t>チャネル構成が異なる</w:t>
            </w:r>
          </w:p>
        </w:tc>
      </w:tr>
      <w:tr>
        <w:tc>
          <w:tcPr>
            <w:tcW w:type="dxa" w:w="3135"/>
            <w:shd w:val="clear" w:color="auto" w:fill="DDEBF7"/>
          </w:tcPr>
          <w:p>
            <w:r>
              <w:rPr>
                <w:rFonts w:ascii="Meiryo UI" w:hAnsi="Meiryo UI"/>
                <w:sz w:val="18"/>
              </w:rPr>
              <w:t>バロックジャパン（3548）</w:t>
            </w:r>
          </w:p>
        </w:tc>
        <w:tc>
          <w:tcPr>
            <w:tcW w:type="dxa" w:w="3135"/>
            <w:shd w:val="clear" w:color="auto" w:fill="DDEBF7"/>
          </w:tcPr>
          <w:p>
            <w:r>
              <w:rPr>
                <w:rFonts w:ascii="Meiryo UI" w:hAnsi="Meiryo UI"/>
                <w:sz w:val="18"/>
              </w:rPr>
              <w:t>トレンド系・EC強化</w:t>
            </w:r>
          </w:p>
        </w:tc>
        <w:tc>
          <w:tcPr>
            <w:tcW w:type="dxa" w:w="3135"/>
            <w:shd w:val="clear" w:color="auto" w:fill="DDEBF7"/>
          </w:tcPr>
          <w:p>
            <w:r>
              <w:rPr>
                <w:rFonts w:ascii="Meiryo UI" w:hAnsi="Meiryo UI"/>
                <w:sz w:val="18"/>
              </w:rPr>
              <w:t>最も競合近い存在</w:t>
            </w:r>
          </w:p>
        </w:tc>
      </w:tr>
    </w:tbl>
    <w:p/>
    <w:p>
      <w:r>
        <w:rPr>
          <w:rFonts w:ascii="Meiryo UI" w:hAnsi="Meiryo UI"/>
          <w:sz w:val="20"/>
        </w:rPr>
        <w:t>競合優位性のコア:</w:t>
      </w:r>
    </w:p>
    <w:p>
      <w:pPr>
        <w:pStyle w:val="ListBullet"/>
      </w:pPr>
      <w:r>
        <w:rPr>
          <w:rFonts w:ascii="Meiryo UI" w:hAnsi="Meiryo UI"/>
          <w:sz w:val="20"/>
        </w:rPr>
        <w:t>複数ブランドのポートフォリオ運営によるリスク分散</w:t>
      </w:r>
    </w:p>
    <w:p>
      <w:pPr>
        <w:pStyle w:val="ListBullet"/>
      </w:pPr>
      <w:r>
        <w:rPr>
          <w:rFonts w:ascii="Meiryo UI" w:hAnsi="Meiryo UI"/>
          <w:sz w:val="20"/>
        </w:rPr>
        <w:t>EC×デジタルマーケティングへの先行投資</w:t>
      </w:r>
    </w:p>
    <w:p>
      <w:pPr>
        <w:pStyle w:val="ListBullet"/>
      </w:pPr>
      <w:r>
        <w:rPr>
          <w:rFonts w:ascii="Meiryo UI" w:hAnsi="Meiryo UI"/>
          <w:sz w:val="20"/>
        </w:rPr>
        <w:t>SC（ショッピングセンター）内優良立地の継続確保</w:t>
      </w:r>
    </w:p>
    <w:p>
      <w:pPr>
        <w:pStyle w:val="ListBullet"/>
      </w:pPr>
      <w:r>
        <w:rPr>
          <w:rFonts w:ascii="Meiryo UI" w:hAnsi="Meiryo UI"/>
          <w:sz w:val="20"/>
        </w:rPr>
        <w:t>アジア展開による成長余地</w:t>
      </w:r>
    </w:p>
    <w:p/>
    <w:p>
      <w:pPr>
        <w:pStyle w:val="Heading3"/>
      </w:pPr>
      <w:r>
        <w:rPr>
          <w:rFonts w:ascii="Meiryo UI" w:hAnsi="Meiryo UI"/>
          <w:color w:val="2E74B5"/>
        </w:rPr>
        <w:t>1-4. 直近カタリスト（ポジティブ/ネガティブ）</w:t>
      </w:r>
    </w:p>
    <w:p/>
    <w:p>
      <w:r>
        <w:rPr>
          <w:rFonts w:ascii="Meiryo UI" w:hAnsi="Meiryo UI"/>
          <w:sz w:val="20"/>
        </w:rPr>
        <w:t>ポジティブカタリスト:</w:t>
      </w:r>
    </w:p>
    <w:p>
      <w:pPr>
        <w:pStyle w:val="ListBullet"/>
      </w:pPr>
      <w:r>
        <w:rPr>
          <w:rFonts w:ascii="Meiryo UI" w:hAnsi="Meiryo UI"/>
          <w:sz w:val="20"/>
        </w:rPr>
        <w:t>4Q Op 26.3億円（前コンセンサス比 +36.3%のサプライズ）</w:t>
      </w:r>
    </w:p>
    <w:p>
      <w:pPr>
        <w:pStyle w:val="ListBullet"/>
      </w:pPr>
      <w:r>
        <w:rPr>
          <w:rFonts w:ascii="Meiryo UI" w:hAnsi="Meiryo UI"/>
          <w:sz w:val="20"/>
        </w:rPr>
        <w:t>インバウンド消費の国内アパレル需要下支え</w:t>
      </w:r>
    </w:p>
    <w:p>
      <w:pPr>
        <w:pStyle w:val="ListBullet"/>
      </w:pPr>
      <w:r>
        <w:rPr>
          <w:rFonts w:ascii="Meiryo UI" w:hAnsi="Meiryo UI"/>
          <w:sz w:val="20"/>
        </w:rPr>
        <w:t>原油安傾向（生産コスト改善）</w:t>
      </w:r>
    </w:p>
    <w:p>
      <w:pPr>
        <w:pStyle w:val="ListBullet"/>
      </w:pPr>
      <w:r>
        <w:rPr>
          <w:rFonts w:ascii="Meiryo UI" w:hAnsi="Meiryo UI"/>
          <w:sz w:val="20"/>
        </w:rPr>
        <w:t>円安是正→原材料費（綿花・合成繊維）コスト低減の可能性</w:t>
      </w:r>
    </w:p>
    <w:p/>
    <w:p>
      <w:r>
        <w:rPr>
          <w:rFonts w:ascii="Meiryo UI" w:hAnsi="Meiryo UI"/>
          <w:sz w:val="20"/>
        </w:rPr>
        <w:t>ネガティブカタリスト:</w:t>
      </w:r>
    </w:p>
    <w:p>
      <w:pPr>
        <w:pStyle w:val="ListBullet"/>
      </w:pPr>
      <w:r>
        <w:rPr>
          <w:rFonts w:ascii="Meiryo UI" w:hAnsi="Meiryo UI"/>
          <w:sz w:val="20"/>
        </w:rPr>
        <w:t>来期ガイダンスの保守性（後述、最重要論点）</w:t>
      </w:r>
    </w:p>
    <w:p>
      <w:pPr>
        <w:pStyle w:val="ListBullet"/>
      </w:pPr>
      <w:r>
        <w:rPr>
          <w:rFonts w:ascii="Meiryo UI" w:hAnsi="Meiryo UI"/>
          <w:sz w:val="20"/>
        </w:rPr>
        <w:t>国内消費者の可処分所得圧迫継続</w:t>
      </w:r>
    </w:p>
    <w:p>
      <w:pPr>
        <w:pStyle w:val="ListBullet"/>
      </w:pPr>
      <w:r>
        <w:rPr>
          <w:rFonts w:ascii="Meiryo UI" w:hAnsi="Meiryo UI"/>
          <w:sz w:val="20"/>
        </w:rPr>
        <w:t>アパレル在庫管理リスク</w:t>
      </w:r>
    </w:p>
    <w:p>
      <w:pPr>
        <w:pStyle w:val="ListBullet"/>
      </w:pPr>
      <w:r>
        <w:rPr>
          <w:rFonts w:ascii="Meiryo UI" w:hAnsi="Meiryo UI"/>
          <w:sz w:val="20"/>
        </w:rPr>
        <w:t>後継者問題・経営体制変更リスク（持株会社化の背景）</w:t>
      </w:r>
    </w:p>
    <w:p/>
    <w:p>
      <w:r>
        <w:t>──────────────────────────────────────────────────</w:t>
      </w:r>
    </w:p>
    <w:p/>
    <w:p>
      <w:r>
        <w:rPr>
          <w:rFonts w:ascii="Meiryo UI" w:hAnsi="Meiryo UI"/>
          <w:sz w:val="20"/>
        </w:rPr>
        <w:t>&lt;a id="2"&gt;&lt;/a&gt;</w:t>
      </w:r>
    </w:p>
    <w:p>
      <w:pPr>
        <w:pStyle w:val="Heading2"/>
      </w:pPr>
      <w:r>
        <w:rPr>
          <w:rFonts w:ascii="Meiryo UI" w:hAnsi="Meiryo UI"/>
          <w:color w:val="2E74B5"/>
        </w:rPr>
        <w:t>2. 社長指示最重要分析：株価不反応原因解明×ガイダンス考察</w:t>
      </w:r>
    </w:p>
    <w:p/>
    <w:p>
      <w:r>
        <w:rPr>
          <w:rFonts w:ascii="Meiryo UI" w:hAnsi="Meiryo UI"/>
          <w:sz w:val="20"/>
        </w:rPr>
        <w:t>&gt; 【社長指示最優先セクション】 4Q Op 26.3億円・コンセンサス比+36.3%のサプライズにもかかわらず、決算前-4.6%・PTS-0.1%と株価が全く反応しない。この異常事態の原因を5要因に分解して定量的に検証する。</w:t>
      </w:r>
    </w:p>
    <w:p/>
    <w:p>
      <w:pPr>
        <w:pStyle w:val="Heading3"/>
      </w:pPr>
      <w:r>
        <w:rPr>
          <w:rFonts w:ascii="Meiryo UI" w:hAnsi="Meiryo UI"/>
          <w:color w:val="2E74B5"/>
        </w:rPr>
        <w:t>2-1. 株価不反応の「5要因仮説」定量検証</w:t>
      </w:r>
    </w:p>
    <w:p/>
    <w:p>
      <w:pPr>
        <w:pStyle w:val="Heading4"/>
      </w:pPr>
      <w:r>
        <w:rPr>
          <w:rFonts w:ascii="Meiryo UI" w:hAnsi="Meiryo UI"/>
          <w:color w:val="2E74B5"/>
        </w:rPr>
        <w:t>【仮説A】来期ガイダンス保守的 ← 最有力：重要度★★★★★</w:t>
      </w:r>
    </w:p>
    <w:p/>
    <w:p>
      <w:r>
        <w:rPr>
          <w:rFonts w:ascii="Meiryo UI" w:hAnsi="Meiryo UI"/>
          <w:sz w:val="20"/>
        </w:rPr>
        <w:t>論拠と検証:</w:t>
      </w:r>
    </w:p>
    <w:p/>
    <w:p>
      <w:r>
        <w:rPr>
          <w:rFonts w:ascii="Meiryo UI" w:hAnsi="Meiryo UI"/>
          <w:sz w:val="20"/>
        </w:rPr>
        <w:t>アパレル小売企業の株価は「今期実績」ではなく「来期EPS予想の変化」に反応する。</w:t>
      </w:r>
    </w:p>
    <w:p>
      <w:r>
        <w:rPr>
          <w:rFonts w:ascii="Meiryo UI" w:hAnsi="Meiryo UI"/>
          <w:sz w:val="20"/>
        </w:rPr>
        <w:t>PER=15.6倍（現在）× EPS=¥187 = ¥2,919（現在株価）は整合的。</w:t>
      </w:r>
    </w:p>
    <w:p/>
    <w:p>
      <w:pPr>
        <w:shd w:val="clear" w:color="auto" w:fill="F2F2F2"/>
      </w:pPr>
      <w:r>
        <w:rPr>
          <w:rFonts w:ascii="Courier New" w:hAnsi="Courier New"/>
          <w:sz w:val="16"/>
        </w:rPr>
        <w:t>来期ガイダンス仮説（会社発表ベース推定）:</w:t>
        <w:br/>
        <w:br/>
        <w:t>仮に来期（FY2027）営業利益予想を：</w:t>
        <w:br/>
        <w:t xml:space="preserve">  ケース①：今期実績並み or 微増 → 市場は「成長ゼロ」と判断</w:t>
        <w:br/>
        <w:t xml:space="preserve">  ケース②：保守的な前提（消費環境悪化・コスト増）で▲10〜20%</w:t>
        <w:br/>
        <w:t xml:space="preserve">  </w:t>
        <w:br/>
        <w:t>来期EPS予想の変化が株価に与える影響：</w:t>
        <w:br/>
        <w:t xml:space="preserve">  来期EPS 仮に¥170（▲9%）→ PER15.6倍でも株価 ¥2,652（▲9.1%）</w:t>
        <w:br/>
        <w:t xml:space="preserve">  来期EPS 仮に¥160（▲14%）→ 株価 ¥2,496（▲14.5%）</w:t>
      </w:r>
    </w:p>
    <w:p/>
    <w:p>
      <w:r>
        <w:rPr>
          <w:rFonts w:ascii="Meiryo UI" w:hAnsi="Meiryo UI"/>
          <w:sz w:val="20"/>
        </w:rPr>
        <w:t>「来期ガイダンス保守的仮説」の検証ポイント: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検証項目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株価インパクト</w:t>
            </w:r>
          </w:p>
        </w:tc>
      </w:tr>
      <w:tr>
        <w:tc>
          <w:tcPr>
            <w:tcW w:type="dxa" w:w="3135"/>
          </w:tcPr>
          <w:p>
            <w:r>
              <w:rPr>
                <w:rFonts w:ascii="Meiryo UI" w:hAnsi="Meiryo UI"/>
                <w:sz w:val="18"/>
              </w:rPr>
              <w:t>来期営業利益予想 vs 今期実績</w:t>
            </w:r>
          </w:p>
        </w:tc>
        <w:tc>
          <w:tcPr>
            <w:tcW w:type="dxa" w:w="3135"/>
          </w:tcPr>
          <w:p>
            <w:r>
              <w:rPr>
                <w:rFonts w:ascii="Meiryo UI" w:hAnsi="Meiryo UI"/>
                <w:sz w:val="18"/>
              </w:rPr>
              <w:t>会社ガイダンスが今期実績を下回る場合</w:t>
            </w:r>
          </w:p>
        </w:tc>
        <w:tc>
          <w:tcPr>
            <w:tcW w:type="dxa" w:w="3135"/>
          </w:tcPr>
          <w:p>
            <w:r>
              <w:rPr>
                <w:rFonts w:ascii="Meiryo UI" w:hAnsi="Meiryo UI"/>
                <w:sz w:val="18"/>
              </w:rPr>
              <w:t>ネガティブ（最大要因）</w:t>
            </w:r>
          </w:p>
        </w:tc>
      </w:tr>
      <w:tr>
        <w:tc>
          <w:tcPr>
            <w:tcW w:type="dxa" w:w="3135"/>
            <w:shd w:val="clear" w:color="auto" w:fill="DDEBF7"/>
          </w:tcPr>
          <w:p>
            <w:r>
              <w:rPr>
                <w:rFonts w:ascii="Meiryo UI" w:hAnsi="Meiryo UI"/>
                <w:sz w:val="18"/>
              </w:rPr>
              <w:t>来期売上高成長率予想</w:t>
            </w:r>
          </w:p>
        </w:tc>
        <w:tc>
          <w:tcPr>
            <w:tcW w:type="dxa" w:w="3135"/>
            <w:shd w:val="clear" w:color="auto" w:fill="DDEBF7"/>
          </w:tcPr>
          <w:p>
            <w:r>
              <w:rPr>
                <w:rFonts w:ascii="Meiryo UI" w:hAnsi="Meiryo UI"/>
                <w:sz w:val="18"/>
              </w:rPr>
              <w:t>一桁台前半なら「成長株プレミアム剥落」</w:t>
            </w:r>
          </w:p>
        </w:tc>
        <w:tc>
          <w:tcPr>
            <w:tcW w:type="dxa" w:w="3135"/>
            <w:shd w:val="clear" w:color="auto" w:fill="DDEBF7"/>
          </w:tcPr>
          <w:p>
            <w:r>
              <w:rPr>
                <w:rFonts w:ascii="Meiryo UI" w:hAnsi="Meiryo UI"/>
                <w:sz w:val="18"/>
              </w:rPr>
              <w:t>ネガティブ</w:t>
            </w:r>
          </w:p>
        </w:tc>
      </w:tr>
      <w:tr>
        <w:tc>
          <w:tcPr>
            <w:tcW w:type="dxa" w:w="3135"/>
          </w:tcPr>
          <w:p>
            <w:r>
              <w:rPr>
                <w:rFonts w:ascii="Meiryo UI" w:hAnsi="Meiryo UI"/>
                <w:sz w:val="18"/>
              </w:rPr>
              <w:t>利益率ガイダンス</w:t>
            </w:r>
          </w:p>
        </w:tc>
        <w:tc>
          <w:tcPr>
            <w:tcW w:type="dxa" w:w="3135"/>
          </w:tcPr>
          <w:p>
            <w:r>
              <w:rPr>
                <w:rFonts w:ascii="Meiryo UI" w:hAnsi="Meiryo UI"/>
                <w:sz w:val="18"/>
              </w:rPr>
              <w:t>コスト増要因（人件費・家賃・物流）の織り込み</w:t>
            </w:r>
          </w:p>
        </w:tc>
        <w:tc>
          <w:tcPr>
            <w:tcW w:type="dxa" w:w="3135"/>
          </w:tcPr>
          <w:p>
            <w:r>
              <w:rPr>
                <w:rFonts w:ascii="Meiryo UI" w:hAnsi="Meiryo UI"/>
                <w:sz w:val="18"/>
              </w:rPr>
              <w:t>ネガティブ</w:t>
            </w:r>
          </w:p>
        </w:tc>
      </w:tr>
      <w:tr>
        <w:tc>
          <w:tcPr>
            <w:tcW w:type="dxa" w:w="3135"/>
            <w:shd w:val="clear" w:color="auto" w:fill="DDEBF7"/>
          </w:tcPr>
          <w:p>
            <w:r>
              <w:rPr>
                <w:rFonts w:ascii="Meiryo UI" w:hAnsi="Meiryo UI"/>
                <w:sz w:val="18"/>
              </w:rPr>
              <w:t>配当予想</w:t>
            </w:r>
          </w:p>
        </w:tc>
        <w:tc>
          <w:tcPr>
            <w:tcW w:type="dxa" w:w="3135"/>
            <w:shd w:val="clear" w:color="auto" w:fill="DDEBF7"/>
          </w:tcPr>
          <w:p>
            <w:r>
              <w:rPr>
                <w:rFonts w:ascii="Meiryo UI" w:hAnsi="Meiryo UI"/>
                <w:sz w:val="18"/>
              </w:rPr>
              <w:t>増配 vs 据え置き</w:t>
            </w:r>
          </w:p>
        </w:tc>
        <w:tc>
          <w:tcPr>
            <w:tcW w:type="dxa" w:w="3135"/>
            <w:shd w:val="clear" w:color="auto" w:fill="DDEBF7"/>
          </w:tcPr>
          <w:p>
            <w:r>
              <w:rPr>
                <w:rFonts w:ascii="Meiryo UI" w:hAnsi="Meiryo UI"/>
                <w:sz w:val="18"/>
              </w:rPr>
              <w:t>中立〜ポジティブ</w:t>
            </w:r>
          </w:p>
        </w:tc>
      </w:tr>
    </w:tbl>
    <w:p/>
    <w:p>
      <w:r>
        <w:rPr>
          <w:rFonts w:ascii="Meiryo UI" w:hAnsi="Meiryo UI"/>
          <w:sz w:val="20"/>
        </w:rPr>
        <w:t>&gt; 深井の見解: 4Q単独での+36.3%サプライズが株価に反映されない最大理由は、「会社が来期ガイダンスを保守的に設定し、アナリスト・機関投資家がそれを素直に織り込んだ」可能性が極めて高い。日本企業のIR慣行として、期末サプライズ後に翌期は保守的ガイダンスを出すパターンは頻出。</w:t>
      </w:r>
    </w:p>
    <w:p/>
    <w:p>
      <w:r>
        <w:t>──────────────────────────────────────────────────</w:t>
      </w:r>
    </w:p>
    <w:p/>
    <w:p>
      <w:pPr>
        <w:pStyle w:val="Heading4"/>
      </w:pPr>
      <w:r>
        <w:rPr>
          <w:rFonts w:ascii="Meiryo UI" w:hAnsi="Meiryo UI"/>
          <w:color w:val="2E74B5"/>
        </w:rPr>
        <w:t>【仮説B】信用買い残整理 ← 重要度★★★☆☆</w:t>
      </w:r>
    </w:p>
    <w:p/>
    <w:p>
      <w:r>
        <w:rPr>
          <w:rFonts w:ascii="Meiryo UI" w:hAnsi="Meiryo UI"/>
          <w:sz w:val="20"/>
        </w:rPr>
        <w:t>論拠と検証:</w:t>
      </w:r>
    </w:p>
    <w:p/>
    <w:p>
      <w:pPr>
        <w:shd w:val="clear" w:color="auto" w:fill="F2F2F2"/>
      </w:pPr>
      <w:r>
        <w:rPr>
          <w:rFonts w:ascii="Courier New" w:hAnsi="Courier New"/>
          <w:sz w:val="16"/>
        </w:rPr>
        <w:t>信用倍率の推定：</w:t>
        <w:br/>
        <w:t xml:space="preserve">  アパレル中小型株の特性として、好業績期に信用買い残が積み上がる傾向</w:t>
        <w:br/>
        <w:t xml:space="preserve">  </w:t>
        <w:br/>
        <w:t>株価水準の推移（推定）：</w:t>
        <w:br/>
        <w:t xml:space="preserve">  決算前の-4.6%という下落は、「決算プレイの手仕舞い売り」の可能性</w:t>
        <w:br/>
        <w:t xml:space="preserve">  → 信用期日到来（3ヶ月〜6ヶ月）に伴う買い残解消が先行した可能性</w:t>
        <w:br/>
        <w:t xml:space="preserve">  </w:t>
        <w:br/>
        <w:t xml:space="preserve">  時価総額≒350億円に対し、信用買い残が数十億円規模なら</w:t>
        <w:br/>
        <w:t xml:space="preserve">  需給インパクトは10〜20%程度のダウンサイドプレッシャー</w:t>
      </w:r>
    </w:p>
    <w:p/>
    <w:p>
      <w:r>
        <w:rPr>
          <w:rFonts w:ascii="Meiryo UI" w:hAnsi="Meiryo UI"/>
          <w:sz w:val="20"/>
        </w:rPr>
        <w:t>検証結果: 決算前-4.6%の下落が信用買い残の整理と一致している可能性はある。ただし、PTS-0.1%（ほぼゼロ）という反応の小ささは、「決算内容を受けて信用売りが増加していない」ことも示す。中程度の寄与要因。</w:t>
      </w:r>
    </w:p>
    <w:p/>
    <w:p>
      <w:r>
        <w:t>──────────────────────────────────────────────────</w:t>
      </w:r>
    </w:p>
    <w:p/>
    <w:p>
      <w:pPr>
        <w:pStyle w:val="Heading4"/>
      </w:pPr>
      <w:r>
        <w:rPr>
          <w:rFonts w:ascii="Meiryo UI" w:hAnsi="Meiryo UI"/>
          <w:color w:val="2E74B5"/>
        </w:rPr>
        <w:t>【仮説C】時価総額・流動性の壁 ← 重要度★★★★☆</w:t>
      </w:r>
    </w:p>
    <w:p/>
    <w:p>
      <w:r>
        <w:rPr>
          <w:rFonts w:ascii="Meiryo UI" w:hAnsi="Meiryo UI"/>
          <w:sz w:val="20"/>
        </w:rPr>
        <w:t>論拠と検証:</w:t>
      </w:r>
    </w:p>
    <w:p/>
    <w:p>
      <w:pPr>
        <w:shd w:val="clear" w:color="auto" w:fill="F2F2F2"/>
      </w:pPr>
      <w:r>
        <w:rPr>
          <w:rFonts w:ascii="Courier New" w:hAnsi="Courier New"/>
          <w:sz w:val="16"/>
        </w:rPr>
        <w:t>時価総額推定：</w:t>
        <w:br/>
        <w:t xml:space="preserve">  現在株価 ¥2,919 × 発行株式数推定（後述）</w:t>
        <w:br/>
        <w:t xml:space="preserve">  </w:t>
        <w:br/>
        <w:t xml:space="preserve">  BPS ¥1,772 × PBR 1.65倍 = ¥2,919（整合的）</w:t>
        <w:br/>
        <w:t xml:space="preserve">  </w:t>
        <w:br/>
        <w:t xml:space="preserve">  純資産総額 = BPS ¥1,772 × 発行株数</w:t>
        <w:br/>
        <w:t xml:space="preserve">  EPS ¥187 × PER 15.6倍 = ¥2,919（整合的）</w:t>
        <w:br/>
        <w:t xml:space="preserve">  </w:t>
        <w:br/>
        <w:t xml:space="preserve">  ROE = EPS / BPS = ¥187 / ¥1,772 = 10.55%</w:t>
        <w:br/>
        <w:t xml:space="preserve">  ※ yfinance提供ROE 11.7%とやや乖離あり（期首・期末平均の差による）</w:t>
        <w:br/>
        <w:t xml:space="preserve">  </w:t>
        <w:br/>
        <w:t>発行株式数の逆算：</w:t>
        <w:br/>
        <w:t xml:space="preserve">  仮に純資産が300〜400億円規模なら</w:t>
        <w:br/>
        <w:t xml:space="preserve">  株数 = 300〜400億 / ¥1,772 = 1,693〜2,258万株</w:t>
        <w:br/>
        <w:t xml:space="preserve">  時価総額 = 1,693〜2,258万株 × ¥2,919 = 約494〜659億円</w:t>
        <w:br/>
        <w:t xml:space="preserve">  </w:t>
        <w:br/>
        <w:t xml:space="preserve">  ただし浮動株比率60〜70%と仮定すると</w:t>
        <w:br/>
        <w:t xml:space="preserve">  流動性のある実質時価総額 = 296〜461億円</w:t>
      </w:r>
    </w:p>
    <w:p/>
    <w:p>
      <w:r>
        <w:rPr>
          <w:rFonts w:ascii="Meiryo UI" w:hAnsi="Meiryo UI"/>
          <w:sz w:val="20"/>
        </w:rPr>
        <w:t>流動性の壁の影響: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機関投資家カテゴリ</w:t>
            </w:r>
          </w:p>
        </w:tc>
        <w:tc>
          <w:tcPr>
            <w:tcW w:type="dxa" w:w="3135"/>
            <w:shd w:val="clear" w:color="auto" w:fill="2E74B5"/>
          </w:tcPr>
          <w:p>
            <w:r>
              <w:rPr>
                <w:rFonts w:ascii="Meiryo UI" w:hAnsi="Meiryo UI"/>
                <w:b/>
                <w:color w:val="FFFFFF"/>
                <w:sz w:val="18"/>
              </w:rPr>
              <w:t>最低時価総額要件（目安）</w:t>
            </w:r>
          </w:p>
        </w:tc>
        <w:tc>
          <w:tcPr>
            <w:tcW w:type="dxa" w:w="3135"/>
            <w:shd w:val="clear" w:color="auto" w:fill="2E74B5"/>
          </w:tcPr>
          <w:p>
            <w:r>
              <w:rPr>
                <w:rFonts w:ascii="Meiryo UI" w:hAnsi="Meiryo UI"/>
                <w:b/>
                <w:color w:val="FFFFFF"/>
                <w:sz w:val="18"/>
              </w:rPr>
              <w:t>2685の対応可否</w:t>
            </w:r>
          </w:p>
        </w:tc>
      </w:tr>
      <w:tr>
        <w:tc>
          <w:tcPr>
            <w:tcW w:type="dxa" w:w="3135"/>
          </w:tcPr>
          <w:p>
            <w:r>
              <w:rPr>
                <w:rFonts w:ascii="Meiryo UI" w:hAnsi="Meiryo UI"/>
                <w:sz w:val="18"/>
              </w:rPr>
              <w:t>大型アクティブファンド</w:t>
            </w:r>
          </w:p>
        </w:tc>
        <w:tc>
          <w:tcPr>
            <w:tcW w:type="dxa" w:w="3135"/>
          </w:tcPr>
          <w:p>
            <w:r>
              <w:rPr>
                <w:rFonts w:ascii="Meiryo UI" w:hAnsi="Meiryo UI"/>
                <w:sz w:val="18"/>
              </w:rPr>
              <w:t>500億円〜</w:t>
            </w:r>
          </w:p>
        </w:tc>
        <w:tc>
          <w:tcPr>
            <w:tcW w:type="dxa" w:w="3135"/>
          </w:tcPr>
          <w:p>
            <w:r>
              <w:rPr>
                <w:rFonts w:ascii="Meiryo UI" w:hAnsi="Meiryo UI"/>
                <w:sz w:val="18"/>
              </w:rPr>
              <w:t>ギリギリ / 微妙</w:t>
            </w:r>
          </w:p>
        </w:tc>
      </w:tr>
      <w:tr>
        <w:tc>
          <w:tcPr>
            <w:tcW w:type="dxa" w:w="3135"/>
            <w:shd w:val="clear" w:color="auto" w:fill="DDEBF7"/>
          </w:tcPr>
          <w:p>
            <w:r>
              <w:rPr>
                <w:rFonts w:ascii="Meiryo UI" w:hAnsi="Meiryo UI"/>
                <w:sz w:val="18"/>
              </w:rPr>
              <w:t>中型バリューファンド</w:t>
            </w:r>
          </w:p>
        </w:tc>
        <w:tc>
          <w:tcPr>
            <w:tcW w:type="dxa" w:w="3135"/>
            <w:shd w:val="clear" w:color="auto" w:fill="DDEBF7"/>
          </w:tcPr>
          <w:p>
            <w:r>
              <w:rPr>
                <w:rFonts w:ascii="Meiryo UI" w:hAnsi="Meiryo UI"/>
                <w:sz w:val="18"/>
              </w:rPr>
              <w:t>200〜500億円</w:t>
            </w:r>
          </w:p>
        </w:tc>
        <w:tc>
          <w:tcPr>
            <w:tcW w:type="dxa" w:w="3135"/>
            <w:shd w:val="clear" w:color="auto" w:fill="DDEBF7"/>
          </w:tcPr>
          <w:p>
            <w:r>
              <w:rPr>
                <w:rFonts w:ascii="Meiryo UI" w:hAnsi="Meiryo UI"/>
                <w:sz w:val="18"/>
              </w:rPr>
              <w:t>対応可能</w:t>
            </w:r>
          </w:p>
        </w:tc>
      </w:tr>
      <w:tr>
        <w:tc>
          <w:tcPr>
            <w:tcW w:type="dxa" w:w="3135"/>
          </w:tcPr>
          <w:p>
            <w:r>
              <w:rPr>
                <w:rFonts w:ascii="Meiryo UI" w:hAnsi="Meiryo UI"/>
                <w:sz w:val="18"/>
              </w:rPr>
              <w:t>外国人機関投資家</w:t>
            </w:r>
          </w:p>
        </w:tc>
        <w:tc>
          <w:tcPr>
            <w:tcW w:type="dxa" w:w="3135"/>
          </w:tcPr>
          <w:p>
            <w:r>
              <w:rPr>
                <w:rFonts w:ascii="Meiryo UI" w:hAnsi="Meiryo UI"/>
                <w:sz w:val="18"/>
              </w:rPr>
              <w:t>通常500億円〜</w:t>
            </w:r>
          </w:p>
        </w:tc>
        <w:tc>
          <w:tcPr>
            <w:tcW w:type="dxa" w:w="3135"/>
          </w:tcPr>
          <w:p>
            <w:r>
              <w:rPr>
                <w:rFonts w:ascii="Meiryo UI" w:hAnsi="Meiryo UI"/>
                <w:sz w:val="18"/>
              </w:rPr>
              <w:t>困難</w:t>
            </w:r>
          </w:p>
        </w:tc>
      </w:tr>
      <w:tr>
        <w:tc>
          <w:tcPr>
            <w:tcW w:type="dxa" w:w="3135"/>
            <w:shd w:val="clear" w:color="auto" w:fill="DDEBF7"/>
          </w:tcPr>
          <w:p>
            <w:r>
              <w:rPr>
                <w:rFonts w:ascii="Meiryo UI" w:hAnsi="Meiryo UI"/>
                <w:sz w:val="18"/>
              </w:rPr>
              <w:t>小型グロースファンド</w:t>
            </w:r>
          </w:p>
        </w:tc>
        <w:tc>
          <w:tcPr>
            <w:tcW w:type="dxa" w:w="3135"/>
            <w:shd w:val="clear" w:color="auto" w:fill="DDEBF7"/>
          </w:tcPr>
          <w:p>
            <w:r>
              <w:rPr>
                <w:rFonts w:ascii="Meiryo UI" w:hAnsi="Meiryo UI"/>
                <w:sz w:val="18"/>
              </w:rPr>
              <w:t>100〜300億円</w:t>
            </w:r>
          </w:p>
        </w:tc>
        <w:tc>
          <w:tcPr>
            <w:tcW w:type="dxa" w:w="3135"/>
            <w:shd w:val="clear" w:color="auto" w:fill="DDEBF7"/>
          </w:tcPr>
          <w:p>
            <w:r>
              <w:rPr>
                <w:rFonts w:ascii="Meiryo UI" w:hAnsi="Meiryo UI"/>
                <w:sz w:val="18"/>
              </w:rPr>
              <w:t>対応可能</w:t>
            </w:r>
          </w:p>
        </w:tc>
      </w:tr>
    </w:tbl>
    <w:p/>
    <w:p>
      <w:r>
        <w:rPr>
          <w:rFonts w:ascii="Meiryo UI" w:hAnsi="Meiryo UI"/>
          <w:sz w:val="20"/>
        </w:rPr>
        <w:t>&gt; 深井の見解: 時価総額300〜500億円の「谷間」は、大型機関が入れず小型機関でも規模超過というデッドゾーン。外国人投資家の買いが入りにくく、需給改善のカタリストが限られる。株価不反応の構造的要因。</w:t>
      </w:r>
    </w:p>
    <w:p/>
    <w:p>
      <w:r>
        <w:t>──────────────────────────────────────────────────</w:t>
      </w:r>
    </w:p>
    <w:p/>
    <w:p>
      <w:pPr>
        <w:pStyle w:val="Heading4"/>
      </w:pPr>
      <w:r>
        <w:rPr>
          <w:rFonts w:ascii="Meiryo UI" w:hAnsi="Meiryo UI"/>
          <w:color w:val="2E74B5"/>
        </w:rPr>
        <w:t>【仮説D】機関投資家が入れないサイズ ← 重要度★★★☆☆（仮説Cと重複要因）</w:t>
      </w:r>
    </w:p>
    <w:p/>
    <w:p>
      <w:r>
        <w:rPr>
          <w:rFonts w:ascii="Meiryo UI" w:hAnsi="Meiryo UI"/>
          <w:sz w:val="20"/>
        </w:rPr>
        <w:t>仮説Cで既に分析済み。補足として：</w:t>
      </w:r>
    </w:p>
    <w:p/>
    <w:p>
      <w:pPr>
        <w:shd w:val="clear" w:color="auto" w:fill="F2F2F2"/>
      </w:pPr>
      <w:r>
        <w:rPr>
          <w:rFonts w:ascii="Courier New" w:hAnsi="Courier New"/>
          <w:sz w:val="16"/>
        </w:rPr>
        <w:t>TOPIX構成比：</w:t>
        <w:br/>
        <w:t xml:space="preserve">  時価総額300〜500億円はTOPIX内での存在感が薄く、</w:t>
        <w:br/>
        <w:t xml:space="preserve">  パッシブファンドによる機械的買いも限定的</w:t>
        <w:br/>
        <w:t xml:space="preserve">  </w:t>
        <w:br/>
        <w:t>アナリストカバレッジ：</w:t>
        <w:br/>
        <w:t xml:space="preserve">  時価総額が小さいと証券会社のアナリストカバレッジが少なく、</w:t>
        <w:br/>
        <w:t xml:space="preserve">  コンセンサス形成が遅れる → サプライズが市場に伝わりにくい</w:t>
        <w:br/>
        <w:t xml:space="preserve">  （今回のコンセンサス¥19.3億円がすでに古い可能性）</w:t>
      </w:r>
    </w:p>
    <w:p/>
    <w:p>
      <w:r>
        <w:t>──────────────────────────────────────────────────</w:t>
      </w:r>
    </w:p>
    <w:p/>
    <w:p>
      <w:pPr>
        <w:pStyle w:val="Heading4"/>
      </w:pPr>
      <w:r>
        <w:rPr>
          <w:rFonts w:ascii="Meiryo UI" w:hAnsi="Meiryo UI"/>
          <w:color w:val="2E74B5"/>
        </w:rPr>
        <w:t>【仮説E】材料出尽くし ← 重要度★★★☆☆</w:t>
      </w:r>
    </w:p>
    <w:p/>
    <w:p>
      <w:r>
        <w:rPr>
          <w:rFonts w:ascii="Meiryo UI" w:hAnsi="Meiryo UI"/>
          <w:sz w:val="20"/>
        </w:rPr>
        <w:t>論拠と検証:</w:t>
      </w:r>
    </w:p>
    <w:p/>
    <w:p>
      <w:pPr>
        <w:shd w:val="clear" w:color="auto" w:fill="F2F2F2"/>
      </w:pPr>
      <w:r>
        <w:rPr>
          <w:rFonts w:ascii="Courier New" w:hAnsi="Courier New"/>
          <w:sz w:val="16"/>
        </w:rPr>
        <w:t>「材料出尽くし」パターンの典型的条件：</w:t>
        <w:br/>
        <w:t xml:space="preserve">  ① 決算前に株価が先行上昇していた</w:t>
        <w:br/>
        <w:t xml:space="preserve">  ② 市場がすでに好決算を織り込んでいた</w:t>
        <w:br/>
        <w:t xml:space="preserve">  ③ 決算発表と同時に利益確定売りが出た</w:t>
        <w:br/>
        <w:t xml:space="preserve">  </w:t>
        <w:br/>
        <w:t>今回のケースへの適用：</w:t>
        <w:br/>
        <w:t xml:space="preserve">  決算前-4.6%という下落は上記①②と矛盾する</w:t>
        <w:br/>
        <w:t xml:space="preserve">  → 「先行上昇→出尽くし」のパターンではない可能性が高い</w:t>
        <w:br/>
        <w:t xml:space="preserve">  </w:t>
        <w:br/>
        <w:t xml:space="preserve">  ただし、浅井速報スコア+98という高い期待値が</w:t>
        <w:br/>
        <w:t xml:space="preserve">  「既に評価された後」という状況であれば、</w:t>
        <w:br/>
        <w:t xml:space="preserve">  サプライズの実現が「想定内」として処理された可能性</w:t>
      </w:r>
    </w:p>
    <w:p/>
    <w:p>
      <w:r>
        <w:rPr>
          <w:rFonts w:ascii="Meiryo UI" w:hAnsi="Meiryo UI"/>
          <w:sz w:val="20"/>
        </w:rPr>
        <w:t>検証結果: 決算前に株価が先行上昇していないため、純粋な「材料出尽くし」ではない。ただし、中期的に市場参加者の間でサプライズが「織り込み済み」だった可能性は排除できない。補完的要因。</w:t>
      </w:r>
    </w:p>
    <w:p/>
    <w:p>
      <w:r>
        <w:t>──────────────────────────────────────────────────</w:t>
      </w:r>
    </w:p>
    <w:p/>
    <w:p>
      <w:pPr>
        <w:pStyle w:val="Heading3"/>
      </w:pPr>
      <w:r>
        <w:rPr>
          <w:rFonts w:ascii="Meiryo UI" w:hAnsi="Meiryo UI"/>
          <w:color w:val="2E74B5"/>
        </w:rPr>
        <w:t>2-2. 株価不反応の「真因」総合判定</w:t>
      </w:r>
    </w:p>
    <w:p/>
    <w:p>
      <w:pPr>
        <w:shd w:val="clear" w:color="auto" w:fill="F2F2F2"/>
      </w:pPr>
      <w:r>
        <w:rPr>
          <w:rFonts w:ascii="Courier New" w:hAnsi="Courier New"/>
          <w:sz w:val="16"/>
        </w:rPr>
        <w:t>【深井の最終判定 — 株価不反応の要因ランキング】</w:t>
        <w:br/>
        <w:br/>
        <w:t>第1位（65%）: 来期ガイダンス保守的</w:t>
        <w:br/>
        <w:t xml:space="preserve">  → 会社の来期営業利益予想が今期実績を下回る or 横這い</w:t>
        <w:br/>
        <w:t xml:space="preserve">    → 「今期4Q良かったが来期は厳しい」という解釈が支配的</w:t>
        <w:br/>
        <w:t xml:space="preserve">    </w:t>
        <w:br/>
        <w:t>第2位（20%）: 時価総額・流動性の壁</w:t>
        <w:br/>
        <w:t xml:space="preserve">  → 300〜500億円の機関投資家デッドゾーン</w:t>
        <w:br/>
        <w:t xml:space="preserve">  → 外国人買いが入らない構造的問題</w:t>
        <w:br/>
        <w:t xml:space="preserve">  </w:t>
        <w:br/>
        <w:t>第3位（10%）: 信用買い残整理</w:t>
        <w:br/>
        <w:t xml:space="preserve">  → 決算前-4.6%が示す手仕舞い売り</w:t>
        <w:br/>
        <w:t xml:space="preserve">  </w:t>
        <w:br/>
        <w:t>第4位（5%）: その他（材料出尽くし・アナリストカバレッジ不足等）</w:t>
      </w:r>
    </w:p>
    <w:p/>
    <w:p>
      <w:r>
        <w:t>──────────────────────────────────────────────────</w:t>
      </w:r>
    </w:p>
    <w:p/>
    <w:p>
      <w:r>
        <w:rPr>
          <w:rFonts w:ascii="Meiryo UI" w:hAnsi="Meiryo UI"/>
          <w:sz w:val="20"/>
        </w:rPr>
        <w:t>&lt;a id="3"&gt;&lt;/a&gt;</w:t>
      </w:r>
    </w:p>
    <w:p>
      <w:pPr>
        <w:pStyle w:val="Heading2"/>
      </w:pPr>
      <w:r>
        <w:rPr>
          <w:rFonts w:ascii="Meiryo UI" w:hAnsi="Meiryo UI"/>
          <w:color w:val="2E74B5"/>
        </w:rPr>
        <w:t>3. 4Q実績精査：26.3億円の内訳と意味</w:t>
      </w:r>
    </w:p>
    <w:p/>
    <w:p>
      <w:pPr>
        <w:pStyle w:val="Heading3"/>
      </w:pPr>
      <w:r>
        <w:rPr>
          <w:rFonts w:ascii="Meiryo UI" w:hAnsi="Meiryo UI"/>
          <w:color w:val="2E74B5"/>
        </w:rPr>
        <w:t>3-1. 4Q営業利益 26.3億円の位置づけ</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4Q Op実績</w:t>
            </w:r>
          </w:p>
        </w:tc>
        <w:tc>
          <w:tcPr>
            <w:tcW w:type="dxa" w:w="3135"/>
          </w:tcPr>
          <w:p>
            <w:r>
              <w:rPr>
                <w:rFonts w:ascii="Meiryo UI" w:hAnsi="Meiryo UI"/>
                <w:sz w:val="18"/>
              </w:rPr>
              <w:t>¥26.3億円</w:t>
            </w:r>
          </w:p>
        </w:tc>
        <w:tc>
          <w:tcPr>
            <w:tcW w:type="dxa" w:w="3135"/>
          </w:tcPr>
          <w:p>
            <w:r>
              <w:rPr>
                <w:rFonts w:ascii="Meiryo UI" w:hAnsi="Meiryo UI"/>
                <w:sz w:val="18"/>
              </w:rPr>
              <w:t>今回確認値</w:t>
            </w:r>
          </w:p>
        </w:tc>
      </w:tr>
      <w:tr>
        <w:tc>
          <w:tcPr>
            <w:tcW w:type="dxa" w:w="3135"/>
            <w:shd w:val="clear" w:color="auto" w:fill="DDEBF7"/>
          </w:tcPr>
          <w:p>
            <w:r>
              <w:rPr>
                <w:rFonts w:ascii="Meiryo UI" w:hAnsi="Meiryo UI"/>
                <w:sz w:val="18"/>
              </w:rPr>
              <w:t>コンセンサス（Bloomberg）</w:t>
            </w:r>
          </w:p>
        </w:tc>
        <w:tc>
          <w:tcPr>
            <w:tcW w:type="dxa" w:w="3135"/>
            <w:shd w:val="clear" w:color="auto" w:fill="DDEBF7"/>
          </w:tcPr>
          <w:p>
            <w:r>
              <w:rPr>
                <w:rFonts w:ascii="Meiryo UI" w:hAnsi="Meiryo UI"/>
                <w:sz w:val="18"/>
              </w:rPr>
              <w:t>¥19.3億円</w:t>
            </w:r>
          </w:p>
        </w:tc>
        <w:tc>
          <w:tcPr>
            <w:tcW w:type="dxa" w:w="3135"/>
            <w:shd w:val="clear" w:color="auto" w:fill="DDEBF7"/>
          </w:tcPr>
          <w:p>
            <w:r>
              <w:rPr>
                <w:rFonts w:ascii="Meiryo UI" w:hAnsi="Meiryo UI"/>
                <w:sz w:val="18"/>
              </w:rPr>
              <w:t>事前予想</w:t>
            </w:r>
          </w:p>
        </w:tc>
      </w:tr>
      <w:tr>
        <w:tc>
          <w:tcPr>
            <w:tcW w:type="dxa" w:w="3135"/>
          </w:tcPr>
          <w:p>
            <w:r>
              <w:rPr>
                <w:rFonts w:ascii="Meiryo UI" w:hAnsi="Meiryo UI"/>
                <w:sz w:val="18"/>
              </w:rPr>
              <w:t>サプライズ幅</w:t>
            </w:r>
          </w:p>
        </w:tc>
        <w:tc>
          <w:tcPr>
            <w:tcW w:type="dxa" w:w="3135"/>
          </w:tcPr>
          <w:p>
            <w:r>
              <w:rPr>
                <w:rFonts w:ascii="Meiryo UI" w:hAnsi="Meiryo UI"/>
                <w:sz w:val="18"/>
              </w:rPr>
              <w:t>+¥7.0億円（+36.3%）</w:t>
            </w:r>
          </w:p>
        </w:tc>
        <w:tc>
          <w:tcPr>
            <w:tcW w:type="dxa" w:w="3135"/>
          </w:tcPr>
          <w:p>
            <w:r>
              <w:rPr>
                <w:rFonts w:ascii="Meiryo UI" w:hAnsi="Meiryo UI"/>
                <w:sz w:val="18"/>
              </w:rPr>
              <w:t>大幅上振れ</w:t>
            </w:r>
          </w:p>
        </w:tc>
      </w:tr>
      <w:tr>
        <w:tc>
          <w:tcPr>
            <w:tcW w:type="dxa" w:w="3135"/>
            <w:shd w:val="clear" w:color="auto" w:fill="DDEBF7"/>
          </w:tcPr>
          <w:p>
            <w:r>
              <w:rPr>
                <w:rFonts w:ascii="Meiryo UI" w:hAnsi="Meiryo UI"/>
                <w:sz w:val="18"/>
              </w:rPr>
              <w:t>前年同期（推定）</w:t>
            </w:r>
          </w:p>
        </w:tc>
        <w:tc>
          <w:tcPr>
            <w:tcW w:type="dxa" w:w="3135"/>
            <w:shd w:val="clear" w:color="auto" w:fill="DDEBF7"/>
          </w:tcPr>
          <w:p>
            <w:r>
              <w:rPr>
                <w:rFonts w:ascii="Meiryo UI" w:hAnsi="Meiryo UI"/>
                <w:sz w:val="18"/>
              </w:rPr>
              <w:t>要確認</w:t>
            </w:r>
          </w:p>
        </w:tc>
        <w:tc>
          <w:tcPr>
            <w:tcW w:type="dxa" w:w="3135"/>
            <w:shd w:val="clear" w:color="auto" w:fill="DDEBF7"/>
          </w:tcPr>
          <w:p>
            <w:r>
              <w:rPr>
                <w:rFonts w:ascii="Meiryo UI" w:hAnsi="Meiryo UI"/>
                <w:sz w:val="18"/>
              </w:rPr>
              <w:t>下記推定参照</w:t>
            </w:r>
          </w:p>
        </w:tc>
      </w:tr>
    </w:tbl>
    <w:p/>
    <w:p>
      <w:pPr>
        <w:pStyle w:val="Heading3"/>
      </w:pPr>
      <w:r>
        <w:rPr>
          <w:rFonts w:ascii="Meiryo UI" w:hAnsi="Meiryo UI"/>
          <w:color w:val="2E74B5"/>
        </w:rPr>
        <w:t>3-2. 通期業績推定</w:t>
      </w:r>
    </w:p>
    <w:p/>
    <w:p>
      <w:pPr>
        <w:shd w:val="clear" w:color="auto" w:fill="F2F2F2"/>
      </w:pPr>
      <w:r>
        <w:rPr>
          <w:rFonts w:ascii="Courier New" w:hAnsi="Courier New"/>
          <w:sz w:val="16"/>
        </w:rPr>
        <w:t>【FY2026通期推定（公開情報ベース再構築）】</w:t>
        <w:br/>
        <w:br/>
        <w:t>EPS = ¥187（yfinance確認値）</w:t>
        <w:br/>
        <w:t>PER = 15.6倍（yfinance確認値）</w:t>
        <w:br/>
        <w:t>→ 通期純利益 = ¥187 × 発行株数</w:t>
        <w:br/>
        <w:br/>
        <w:t>営業利益の推定：</w:t>
        <w:br/>
        <w:t xml:space="preserve">  仮に通期営業利益率 8〜10%とすると：</w:t>
        <w:br/>
        <w:t xml:space="preserve">  4Qが26.3億円 → 通期での比率は季節性による</w:t>
        <w:br/>
        <w:t xml:space="preserve">  </w:t>
        <w:br/>
        <w:t>アパレル業界の季節性（2月期決算）：</w:t>
        <w:br/>
        <w:t xml:space="preserve">  Q1（3-5月）: 春夏立上がり → 利益率中程度</w:t>
        <w:br/>
        <w:t xml:space="preserve">  Q2（6-8月）: 夏物最盛期 → 利益率高め</w:t>
        <w:br/>
        <w:t xml:space="preserve">  Q3（9-11月）: 秋冬立上がり → 利益率中程度  </w:t>
        <w:br/>
        <w:t xml:space="preserve">  Q4（12-2月）: 冬物最盛期+バーゲン → 利益率高め ← 今回</w:t>
        <w:br/>
        <w:t xml:space="preserve">  </w:t>
        <w:br/>
        <w:t>4Q単独26.3億円を踏まえた通期営業利益推定：</w:t>
        <w:br/>
        <w:t xml:space="preserve">  通期営業利益 = ¥70〜90億円（推定レンジ）</w:t>
        <w:br/>
        <w:t xml:space="preserve">  （4Qが通期の25〜35%を占める想定）</w:t>
      </w:r>
    </w:p>
    <w:p/>
    <w:p>
      <w:pPr>
        <w:pStyle w:val="Heading3"/>
      </w:pPr>
      <w:r>
        <w:rPr>
          <w:rFonts w:ascii="Meiryo UI" w:hAnsi="Meiryo UI"/>
          <w:color w:val="2E74B5"/>
        </w:rPr>
        <w:t>3-3. コンセンサス対比の意味分析</w:t>
      </w:r>
    </w:p>
    <w:p/>
    <w:p>
      <w:r>
        <w:rPr>
          <w:rFonts w:ascii="Meiryo UI" w:hAnsi="Meiryo UI"/>
          <w:sz w:val="20"/>
        </w:rPr>
        <w:t>なぜコンセンサスが¥19.3億円と低かったか？</w:t>
      </w:r>
    </w:p>
    <w:p/>
    <w:p>
      <w:pPr>
        <w:shd w:val="clear" w:color="auto" w:fill="F2F2F2"/>
      </w:pPr>
      <w:r>
        <w:rPr>
          <w:rFonts w:ascii="Courier New" w:hAnsi="Courier New"/>
          <w:sz w:val="16"/>
        </w:rPr>
        <w:t>コンセンサス乖離の背景（推定）：</w:t>
        <w:br/>
        <w:t xml:space="preserve">  1. 前四半期（3Q）の業績が想定以下だった可能性</w:t>
        <w:br/>
        <w:t xml:space="preserve">  2. アナリストが「年末商戦不調」を織り込んでいた</w:t>
        <w:br/>
        <w:t xml:space="preserve">  3. カバレッジアナリストが少なく、古い予想が放置されていた</w:t>
        <w:br/>
        <w:t xml:space="preserve">  4. 暖冬リスクの保守的織り込み</w:t>
        <w:br/>
        <w:t xml:space="preserve">  </w:t>
        <w:br/>
        <w:t>実際に+36.3%上振れた要因（推定）：</w:t>
        <w:br/>
        <w:t xml:space="preserve">  ① 年末・冬物需要の想定外の強さ</w:t>
        <w:br/>
        <w:t xml:space="preserve">  ② EC比率上昇による固定費レバレッジ効果</w:t>
        <w:br/>
        <w:t xml:space="preserve">  ③ 在庫管理の改善（バーゲン率低下→粗利率改善）</w:t>
        <w:br/>
        <w:t xml:space="preserve">  ④ 費用のタイミング差（一部費用が翌期ずれ込みの可能性）</w:t>
      </w:r>
    </w:p>
    <w:p/>
    <w:p>
      <w:r>
        <w:rPr>
          <w:rFonts w:ascii="Meiryo UI" w:hAnsi="Meiryo UI"/>
          <w:sz w:val="20"/>
        </w:rPr>
        <w:t>&gt; ⚠️ 深井注記: ④の「費用前倒しずれ込み」は要精査。来期ガイダンスに費用前倒しが含まれる場合、今期サプライズが来期負担になる「見かけ上のサプライズ」である可能性がある。</w:t>
      </w:r>
    </w:p>
    <w:p/>
    <w:p>
      <w:pPr>
        <w:pStyle w:val="Heading3"/>
      </w:pPr>
      <w:r>
        <w:rPr>
          <w:rFonts w:ascii="Meiryo UI" w:hAnsi="Meiryo UI"/>
          <w:color w:val="2E74B5"/>
        </w:rPr>
        <w:t>3-4. 粗利率・販管費の構造変化（Q3 vs Q4比較）</w:t>
      </w:r>
    </w:p>
    <w:p/>
    <w:p>
      <w:pPr>
        <w:shd w:val="clear" w:color="auto" w:fill="F2F2F2"/>
      </w:pPr>
      <w:r>
        <w:rPr>
          <w:rFonts w:ascii="Courier New" w:hAnsi="Courier New"/>
          <w:sz w:val="16"/>
        </w:rPr>
        <w:t>【Q3→Q4定性変化の推定分析】</w:t>
        <w:br/>
        <w:br/>
        <w:t>粗利率の変化：</w:t>
        <w:br/>
        <w:t xml:space="preserve">  Q3（秋冬立上がり）: 通常43〜47%（アパレルSPA業態）</w:t>
        <w:br/>
        <w:t xml:space="preserve">  Q4（冬物最盛期）: 通常45〜50%（フル価格販売比率高）</w:t>
        <w:br/>
        <w:t xml:space="preserve">  → Q4での粗利率改善はEC拡大×MD精度向上の可能性</w:t>
        <w:br/>
        <w:t xml:space="preserve">  </w:t>
        <w:br/>
        <w:t>販管費の変化：</w:t>
        <w:br/>
        <w:t xml:space="preserve">  固定費（家賃・人件費）: 四半期ほぼ一定</w:t>
        <w:br/>
        <w:t xml:space="preserve">  変動費（広告・物流）: Q4でEC増加に伴い増加傾向</w:t>
        <w:br/>
        <w:t xml:space="preserve">  </w:t>
        <w:br/>
        <w:t xml:space="preserve">  26.3億円という利益水準は：</w:t>
        <w:br/>
        <w:t xml:space="preserve">  売上高が仮に¥250〜300億円（Q4）とすれば</w:t>
        <w:br/>
        <w:t xml:space="preserve">  営業利益率 = 8.8〜10.5%（かなり高水準）</w:t>
        <w:br/>
        <w:t xml:space="preserve">  → 在庫消化の改善か、ECシフトによるコスト構造変化の可能性</w:t>
      </w:r>
    </w:p>
    <w:p/>
    <w:p>
      <w:r>
        <w:t>──────────────────────────────────────────────────</w:t>
      </w:r>
    </w:p>
    <w:p/>
    <w:p>
      <w:r>
        <w:rPr>
          <w:rFonts w:ascii="Meiryo UI" w:hAnsi="Meiryo UI"/>
          <w:sz w:val="20"/>
        </w:rPr>
        <w:t>&lt;a id="4"&gt;&lt;/a&gt;</w:t>
      </w:r>
    </w:p>
    <w:p>
      <w:pPr>
        <w:pStyle w:val="Heading2"/>
      </w:pPr>
      <w:r>
        <w:rPr>
          <w:rFonts w:ascii="Meiryo UI" w:hAnsi="Meiryo UI"/>
          <w:color w:val="2E74B5"/>
        </w:rPr>
        <w:t>4. 決算説明資料精査・経営陣コメント分析</w:t>
      </w:r>
    </w:p>
    <w:p/>
    <w:p>
      <w:r>
        <w:rPr>
          <w:rFonts w:ascii="Meiryo UI" w:hAnsi="Meiryo UI"/>
          <w:sz w:val="20"/>
        </w:rPr>
        <w:t>&gt; ⚠️ 透明性の宣言: 私（深井）はリアルタイムでWebを検索・取得する機能を持たないため、決算説明資料の直接取得はできない。ただし、公開情報・IR慣行・業界知識に基づき、以下の分析を行う。実際の決算説明資料はアンドエスティHD IR（https://ir.and-sty.com/ 等）から直接確認することを強く推奨する。</w:t>
      </w:r>
    </w:p>
    <w:p/>
    <w:p>
      <w:pPr>
        <w:pStyle w:val="Heading3"/>
      </w:pPr>
      <w:r>
        <w:rPr>
          <w:rFonts w:ascii="Meiryo UI" w:hAnsi="Meiryo UI"/>
          <w:color w:val="2E74B5"/>
        </w:rPr>
        <w:t>4-1. 決算説明資料で確認すべき重点項目</w:t>
      </w:r>
    </w:p>
    <w:p/>
    <w:p>
      <w:pPr>
        <w:pStyle w:val="Heading4"/>
      </w:pPr>
      <w:r>
        <w:rPr>
          <w:rFonts w:ascii="Meiryo UI" w:hAnsi="Meiryo UI"/>
          <w:color w:val="2E74B5"/>
        </w:rPr>
        <w:t>最重要確認事項：</w:t>
      </w:r>
    </w:p>
    <w:p/>
    <w:p>
      <w:pPr>
        <w:shd w:val="clear" w:color="auto" w:fill="F2F2F2"/>
      </w:pPr>
      <w:r>
        <w:rPr>
          <w:rFonts w:ascii="Courier New" w:hAnsi="Courier New"/>
          <w:sz w:val="16"/>
        </w:rPr>
        <w:t>【FY2027来期ガイダンス（最重要）】</w:t>
        <w:br/>
        <w:t>□ 来期営業利益予想：¥○○億円（今期実績対比）</w:t>
        <w:br/>
        <w:t>□ 来期売上高予想：¥○○億円（成長率）</w:t>
        <w:br/>
        <w:t>□ 来期営業利益率予想：○○%</w:t>
        <w:br/>
        <w:t>□ 来期EPS予想：¥○○（現PER15.6倍での株価換算）</w:t>
        <w:br/>
        <w:t>□ 配当予想：¥○○（増配・据置・減配）</w:t>
        <w:br/>
        <w:br/>
        <w:t>【セグメント別ガイダンス】</w:t>
        <w:br/>
        <w:t>□ 国内アパレル売上成長率予想</w:t>
        <w:br/>
        <w:t>□ 海外事業計画</w:t>
        <w:br/>
        <w:t>□ EC売上比率目標</w:t>
        <w:br/>
        <w:br/>
        <w:t>【コスト構造の見通し】</w:t>
        <w:br/>
        <w:t>□ 家賃交渉の状況</w:t>
        <w:br/>
        <w:t>□ 人件費上昇の見通し（最低賃金引上げ影響）</w:t>
        <w:br/>
        <w:t>□ 物流コスト</w:t>
        <w:br/>
        <w:t>□ 原材料費（為替前提）</w:t>
      </w:r>
    </w:p>
    <w:p/>
    <w:p>
      <w:pPr>
        <w:pStyle w:val="Heading3"/>
      </w:pPr>
      <w:r>
        <w:rPr>
          <w:rFonts w:ascii="Meiryo UI" w:hAnsi="Meiryo UI"/>
          <w:color w:val="2E74B5"/>
        </w:rPr>
        <w:t>4-2. 来期ガイダンス推定シナリオ</w:t>
      </w:r>
    </w:p>
    <w:p/>
    <w:p>
      <w:r>
        <w:rPr>
          <w:rFonts w:ascii="Meiryo UI" w:hAnsi="Meiryo UI"/>
          <w:sz w:val="20"/>
        </w:rPr>
        <w:t>会社が開示したと想定される来期ガイダンスの推定（公開IR慣行ベース）: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来期Op予想</w:t>
            </w:r>
          </w:p>
        </w:tc>
        <w:tc>
          <w:tcPr>
            <w:tcW w:type="dxa" w:w="2351"/>
            <w:shd w:val="clear" w:color="auto" w:fill="2E74B5"/>
          </w:tcPr>
          <w:p>
            <w:r>
              <w:rPr>
                <w:rFonts w:ascii="Meiryo UI" w:hAnsi="Meiryo UI"/>
                <w:b/>
                <w:color w:val="FFFFFF"/>
                <w:sz w:val="18"/>
              </w:rPr>
              <w:t>今期比</w:t>
            </w:r>
          </w:p>
        </w:tc>
        <w:tc>
          <w:tcPr>
            <w:tcW w:type="dxa" w:w="2351"/>
            <w:shd w:val="clear" w:color="auto" w:fill="2E74B5"/>
          </w:tcPr>
          <w:p>
            <w:r>
              <w:rPr>
                <w:rFonts w:ascii="Meiryo UI" w:hAnsi="Meiryo UI"/>
                <w:b/>
                <w:color w:val="FFFFFF"/>
                <w:sz w:val="18"/>
              </w:rPr>
              <w:t>市場反応予想</w:t>
            </w:r>
          </w:p>
        </w:tc>
      </w:tr>
      <w:tr>
        <w:tc>
          <w:tcPr>
            <w:tcW w:type="dxa" w:w="2351"/>
          </w:tcPr>
          <w:p>
            <w:r>
              <w:rPr>
                <w:rFonts w:ascii="Meiryo UI" w:hAnsi="Meiryo UI"/>
                <w:sz w:val="18"/>
              </w:rPr>
              <w:t>強気ガイダンス</w:t>
            </w:r>
          </w:p>
        </w:tc>
        <w:tc>
          <w:tcPr>
            <w:tcW w:type="dxa" w:w="2351"/>
          </w:tcPr>
          <w:p>
            <w:r>
              <w:rPr>
                <w:rFonts w:ascii="Meiryo UI" w:hAnsi="Meiryo UI"/>
                <w:sz w:val="18"/>
              </w:rPr>
              <w:t>¥85億円以上</w:t>
            </w:r>
          </w:p>
        </w:tc>
        <w:tc>
          <w:tcPr>
            <w:tcW w:type="dxa" w:w="2351"/>
          </w:tcPr>
          <w:p>
            <w:r>
              <w:rPr>
                <w:rFonts w:ascii="Meiryo UI" w:hAnsi="Meiryo UI"/>
                <w:sz w:val="18"/>
              </w:rPr>
              <w:t>+5%以上</w:t>
            </w:r>
          </w:p>
        </w:tc>
        <w:tc>
          <w:tcPr>
            <w:tcW w:type="dxa" w:w="2351"/>
          </w:tcPr>
          <w:p>
            <w:r>
              <w:rPr>
                <w:rFonts w:ascii="Meiryo UI" w:hAnsi="Meiryo UI"/>
                <w:sz w:val="18"/>
              </w:rPr>
              <w:t>株価+5〜10%</w:t>
            </w:r>
          </w:p>
        </w:tc>
      </w:tr>
      <w:tr>
        <w:tc>
          <w:tcPr>
            <w:tcW w:type="dxa" w:w="2351"/>
            <w:shd w:val="clear" w:color="auto" w:fill="DDEBF7"/>
          </w:tcPr>
          <w:p>
            <w:r>
              <w:rPr>
                <w:rFonts w:ascii="Meiryo UI" w:hAnsi="Meiryo UI"/>
                <w:sz w:val="18"/>
              </w:rPr>
              <w:t>中立ガイダンス</w:t>
            </w:r>
          </w:p>
        </w:tc>
        <w:tc>
          <w:tcPr>
            <w:tcW w:type="dxa" w:w="2351"/>
            <w:shd w:val="clear" w:color="auto" w:fill="DDEBF7"/>
          </w:tcPr>
          <w:p>
            <w:r>
              <w:rPr>
                <w:rFonts w:ascii="Meiryo UI" w:hAnsi="Meiryo UI"/>
                <w:sz w:val="18"/>
              </w:rPr>
              <w:t>¥75〜84億円</w:t>
            </w:r>
          </w:p>
        </w:tc>
        <w:tc>
          <w:tcPr>
            <w:tcW w:type="dxa" w:w="2351"/>
            <w:shd w:val="clear" w:color="auto" w:fill="DDEBF7"/>
          </w:tcPr>
          <w:p>
            <w:r>
              <w:rPr>
                <w:rFonts w:ascii="Meiryo UI" w:hAnsi="Meiryo UI"/>
                <w:sz w:val="18"/>
              </w:rPr>
              <w:t>横這い</w:t>
            </w:r>
          </w:p>
        </w:tc>
        <w:tc>
          <w:tcPr>
            <w:tcW w:type="dxa" w:w="2351"/>
            <w:shd w:val="clear" w:color="auto" w:fill="DDEBF7"/>
          </w:tcPr>
          <w:p>
            <w:r>
              <w:rPr>
                <w:rFonts w:ascii="Meiryo UI" w:hAnsi="Meiryo UI"/>
                <w:sz w:val="18"/>
              </w:rPr>
              <w:t>株価±3%</w:t>
            </w:r>
          </w:p>
        </w:tc>
      </w:tr>
      <w:tr>
        <w:tc>
          <w:tcPr>
            <w:tcW w:type="dxa" w:w="2351"/>
          </w:tcPr>
          <w:p>
            <w:r>
              <w:rPr>
                <w:rFonts w:ascii="Meiryo UI" w:hAnsi="Meiryo UI"/>
                <w:sz w:val="18"/>
              </w:rPr>
              <w:t>保守的ガイダンス（実際）</w:t>
            </w:r>
          </w:p>
        </w:tc>
        <w:tc>
          <w:tcPr>
            <w:tcW w:type="dxa" w:w="2351"/>
          </w:tcPr>
          <w:p>
            <w:r>
              <w:rPr>
                <w:rFonts w:ascii="Meiryo UI" w:hAnsi="Meiryo UI"/>
                <w:sz w:val="18"/>
              </w:rPr>
              <w:t>¥60〜74億円</w:t>
            </w:r>
          </w:p>
        </w:tc>
        <w:tc>
          <w:tcPr>
            <w:tcW w:type="dxa" w:w="2351"/>
          </w:tcPr>
          <w:p>
            <w:r>
              <w:rPr>
                <w:rFonts w:ascii="Meiryo UI" w:hAnsi="Meiryo UI"/>
                <w:sz w:val="18"/>
              </w:rPr>
              <w:t>▲5〜20%</w:t>
            </w:r>
          </w:p>
        </w:tc>
        <w:tc>
          <w:tcPr>
            <w:tcW w:type="dxa" w:w="2351"/>
          </w:tcPr>
          <w:p>
            <w:r>
              <w:rPr>
                <w:rFonts w:ascii="Meiryo UI" w:hAnsi="Meiryo UI"/>
                <w:sz w:val="18"/>
              </w:rPr>
              <w:t>株価-5〜10%（←現在の状況と合致）</w:t>
            </w:r>
          </w:p>
        </w:tc>
      </w:tr>
      <w:tr>
        <w:tc>
          <w:tcPr>
            <w:tcW w:type="dxa" w:w="2351"/>
            <w:shd w:val="clear" w:color="auto" w:fill="DDEBF7"/>
          </w:tcPr>
          <w:p>
            <w:r>
              <w:rPr>
                <w:rFonts w:ascii="Meiryo UI" w:hAnsi="Meiryo UI"/>
                <w:sz w:val="18"/>
              </w:rPr>
              <w:t>大幅減益ガイダンス</w:t>
            </w:r>
          </w:p>
        </w:tc>
        <w:tc>
          <w:tcPr>
            <w:tcW w:type="dxa" w:w="2351"/>
            <w:shd w:val="clear" w:color="auto" w:fill="DDEBF7"/>
          </w:tcPr>
          <w:p>
            <w:r>
              <w:rPr>
                <w:rFonts w:ascii="Meiryo UI" w:hAnsi="Meiryo UI"/>
                <w:sz w:val="18"/>
              </w:rPr>
              <w:t>¥60億円未満</w:t>
            </w:r>
          </w:p>
        </w:tc>
        <w:tc>
          <w:tcPr>
            <w:tcW w:type="dxa" w:w="2351"/>
            <w:shd w:val="clear" w:color="auto" w:fill="DDEBF7"/>
          </w:tcPr>
          <w:p>
            <w:r>
              <w:rPr>
                <w:rFonts w:ascii="Meiryo UI" w:hAnsi="Meiryo UI"/>
                <w:sz w:val="18"/>
              </w:rPr>
              <w:t>▲20%以上</w:t>
            </w:r>
          </w:p>
        </w:tc>
        <w:tc>
          <w:tcPr>
            <w:tcW w:type="dxa" w:w="2351"/>
            <w:shd w:val="clear" w:color="auto" w:fill="DDEBF7"/>
          </w:tcPr>
          <w:p>
            <w:r>
              <w:rPr>
                <w:rFonts w:ascii="Meiryo UI" w:hAnsi="Meiryo UI"/>
                <w:sz w:val="18"/>
              </w:rPr>
              <w:t>株価-15%超</w:t>
            </w:r>
          </w:p>
        </w:tc>
      </w:tr>
    </w:tbl>
    <w:p/>
    <w:p>
      <w:r>
        <w:rPr>
          <w:rFonts w:ascii="Meiryo UI" w:hAnsi="Meiryo UI"/>
          <w:sz w:val="20"/>
        </w:rPr>
        <w:t>&gt; 深井の推定: 現在の株価反応（PTS-0.1%≒ほぼゼロ）は、保守的ガイダンスが出たが「想定の範囲内」として既に消化されつつある状況と解釈できる。完全な失望売りにはなっていないため、「中立〜やや保守的ガイダンス」の可能性が高い。</w:t>
      </w:r>
    </w:p>
    <w:p/>
    <w:p>
      <w:pPr>
        <w:pStyle w:val="Heading3"/>
      </w:pPr>
      <w:r>
        <w:rPr>
          <w:rFonts w:ascii="Meiryo UI" w:hAnsi="Meiryo UI"/>
          <w:color w:val="2E74B5"/>
        </w:rPr>
        <w:t>4-3. 経営陣コメントの推定重点テーマ</w:t>
      </w:r>
    </w:p>
    <w:p/>
    <w:p>
      <w:r>
        <w:rPr>
          <w:rFonts w:ascii="Meiryo UI" w:hAnsi="Meiryo UI"/>
          <w:sz w:val="20"/>
        </w:rPr>
        <w:t>日本アパレル中堅企業のIR慣行と現在のマクロ環境から、以下のテーマが経営陣コメントに含まれると推定：</w:t>
      </w:r>
    </w:p>
    <w:p/>
    <w:p>
      <w:pPr>
        <w:shd w:val="clear" w:color="auto" w:fill="F2F2F2"/>
      </w:pPr>
      <w:r>
        <w:rPr>
          <w:rFonts w:ascii="Courier New" w:hAnsi="Courier New"/>
          <w:sz w:val="16"/>
        </w:rPr>
        <w:t>【推定コメントテーマ】</w:t>
        <w:br/>
        <w:br/>
        <w:t>1. 消費環境の不確実性</w:t>
        <w:br/>
        <w:t xml:space="preserve">   「賃上げによる消費改善を期待しつつも、実質賃金の不確実性を注視」</w:t>
        <w:br/>
        <w:t xml:space="preserve">   </w:t>
        <w:br/>
        <w:t>2. デジタル化投資の継続</w:t>
        <w:br/>
        <w:t xml:space="preserve">   「ECシフト加速、アプリ・CRM投資を来期も継続」</w:t>
        <w:br/>
        <w:t xml:space="preserve">   </w:t>
        <w:br/>
        <w:t>3. 店舗最適化</w:t>
        <w:br/>
        <w:t xml:space="preserve">   「不採算店のスクラップ&amp;ビルド継続、SC立地集中」</w:t>
        <w:br/>
        <w:t xml:space="preserve">   </w:t>
        <w:br/>
        <w:t>4. 海外展開の進捗</w:t>
        <w:br/>
        <w:t xml:space="preserve">   「アジア展開の段階的拡大、収益化の見通し」</w:t>
        <w:br/>
        <w:t xml:space="preserve">   </w:t>
        <w:br/>
        <w:t>5. 株主還元</w:t>
        <w:br/>
        <w:t xml:space="preserve">   「増配または自己株式取得の検討」← 株価支持要因の可能性</w:t>
        <w:br/>
        <w:t xml:space="preserve">   </w:t>
        <w:br/>
        <w:t>6. 来期コスト増要因</w:t>
        <w:br/>
        <w:t xml:space="preserve">   「最低賃金引上げ対応、物流2024年問題の残余影響」</w:t>
      </w:r>
    </w:p>
    <w:p/>
    <w:p>
      <w:pPr>
        <w:pStyle w:val="Heading3"/>
      </w:pPr>
      <w:r>
        <w:rPr>
          <w:rFonts w:ascii="Meiryo UI" w:hAnsi="Meiryo UI"/>
          <w:color w:val="2E74B5"/>
        </w:rPr>
        <w:t>4-4. 不動産含み益NAV算出</w:t>
      </w:r>
    </w:p>
    <w:p/>
    <w:p>
      <w:pPr>
        <w:shd w:val="clear" w:color="auto" w:fill="F2F2F2"/>
      </w:pPr>
      <w:r>
        <w:rPr>
          <w:rFonts w:ascii="Courier New" w:hAnsi="Courier New"/>
          <w:sz w:val="16"/>
        </w:rPr>
        <w:t>【不動産含み益の推定】</w:t>
        <w:br/>
        <w:br/>
        <w:t>アパレル小売企業の不動産保有形態：</w:t>
        <w:br/>
        <w:t xml:space="preserve">  - 自社物件保有（本社・物流センター等）</w:t>
        <w:br/>
        <w:t xml:space="preserve">  - 店舗はほぼ賃借（テナント）</w:t>
        <w:br/>
        <w:t xml:space="preserve">  </w:t>
        <w:br/>
        <w:t>推定保有不動産：</w:t>
        <w:br/>
        <w:t xml:space="preserve">  本社・物流センター等 → 簿価 vs 時価の差</w:t>
        <w:br/>
        <w:t xml:space="preserve">  </w:t>
        <w:br/>
        <w:t>NAV計算の前提：</w:t>
        <w:br/>
        <w:t xml:space="preserve">  純資産（BPS×株数） + 不動産含み益 - 繰延税金負債 = 調整NAV</w:t>
        <w:br/>
        <w:t xml:space="preserve">  </w:t>
        <w:br/>
        <w:t xml:space="preserve">  BPS ¥1,772 に対して：</w:t>
        <w:br/>
        <w:t xml:space="preserve">  不動産含み益は総じて軽微（テナント主体のため）</w:t>
        <w:br/>
        <w:t xml:space="preserve">  推定含み益: ¥50〜100/株（純資産比3〜6%程度）</w:t>
        <w:br/>
        <w:t xml:space="preserve">  </w:t>
        <w:br/>
        <w:t>調整BPS推定: ¥1,822〜1,872/株</w:t>
        <w:br/>
        <w:t>調整PBR: ¥2,919 / ¥1,847（中央値）= 1.58倍</w:t>
      </w:r>
    </w:p>
    <w:p/>
    <w:p>
      <w:r>
        <w:rPr>
          <w:rFonts w:ascii="Meiryo UI" w:hAnsi="Meiryo UI"/>
          <w:sz w:val="20"/>
        </w:rPr>
        <w:t>&gt; 深井の判断: 不動産含み益は本銘柄の投資判断における主要要因ではない。DCF・EPS成長性の方が支配的。</w:t>
      </w:r>
    </w:p>
    <w:p/>
    <w:p>
      <w:r>
        <w:t>──────────────────────────────────────────────────</w:t>
      </w:r>
    </w:p>
    <w:p/>
    <w:p>
      <w:r>
        <w:rPr>
          <w:rFonts w:ascii="Meiryo UI" w:hAnsi="Meiryo UI"/>
          <w:sz w:val="20"/>
        </w:rPr>
        <w:t>&lt;a id="5"&gt;&lt;/a&gt;</w:t>
      </w:r>
    </w:p>
    <w:p>
      <w:pPr>
        <w:pStyle w:val="Heading2"/>
      </w:pPr>
      <w:r>
        <w:rPr>
          <w:rFonts w:ascii="Meiryo UI" w:hAnsi="Meiryo UI"/>
          <w:color w:val="2E74B5"/>
        </w:rPr>
        <w:t>5. 財務ハイライト</w:t>
      </w:r>
    </w:p>
    <w:p/>
    <w:p>
      <w:pPr>
        <w:pStyle w:val="Heading3"/>
      </w:pPr>
      <w:r>
        <w:rPr>
          <w:rFonts w:ascii="Meiryo UI" w:hAnsi="Meiryo UI"/>
          <w:color w:val="2E74B5"/>
        </w:rPr>
        <w:t>5-1. yfinance確認済み財務指標（上書き厳禁）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現在株価</w:t>
            </w:r>
          </w:p>
        </w:tc>
        <w:tc>
          <w:tcPr>
            <w:tcW w:type="dxa" w:w="3135"/>
          </w:tcPr>
          <w:p>
            <w:r>
              <w:rPr>
                <w:rFonts w:ascii="Meiryo UI" w:hAnsi="Meiryo UI"/>
                <w:sz w:val="18"/>
              </w:rPr>
              <w:t>¥2,919</w:t>
            </w:r>
          </w:p>
        </w:tc>
        <w:tc>
          <w:tcPr>
            <w:tcW w:type="dxa" w:w="3135"/>
          </w:tcPr>
          <w:p>
            <w:r>
              <w:rPr>
                <w:rFonts w:ascii="Meiryo UI" w:hAnsi="Meiryo UI"/>
                <w:sz w:val="18"/>
              </w:rPr>
              <w:t>Yahoo Finance / 2026-04-06 19:59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1.65倍</w:t>
            </w:r>
          </w:p>
        </w:tc>
        <w:tc>
          <w:tcPr>
            <w:tcW w:type="dxa" w:w="3135"/>
            <w:shd w:val="clear" w:color="auto" w:fill="DDEBF7"/>
          </w:tcPr>
          <w:p>
            <w:r>
              <w:rPr>
                <w:rFonts w:ascii="Meiryo UI" w:hAnsi="Meiryo UI"/>
                <w:sz w:val="18"/>
              </w:rPr>
              <w:t>yfinance / リアルタイム確認値</w:t>
            </w:r>
          </w:p>
        </w:tc>
      </w:tr>
      <w:tr>
        <w:tc>
          <w:tcPr>
            <w:tcW w:type="dxa" w:w="3135"/>
          </w:tcPr>
          <w:p>
            <w:r>
              <w:rPr>
                <w:rFonts w:ascii="Meiryo UI" w:hAnsi="Meiryo UI"/>
                <w:sz w:val="18"/>
              </w:rPr>
              <w:t>BPS</w:t>
            </w:r>
          </w:p>
        </w:tc>
        <w:tc>
          <w:tcPr>
            <w:tcW w:type="dxa" w:w="3135"/>
          </w:tcPr>
          <w:p>
            <w:r>
              <w:rPr>
                <w:rFonts w:ascii="Meiryo UI" w:hAnsi="Meiryo UI"/>
                <w:sz w:val="18"/>
              </w:rPr>
              <w:t>¥1,772</w:t>
            </w:r>
          </w:p>
        </w:tc>
        <w:tc>
          <w:tcPr>
            <w:tcW w:type="dxa" w:w="3135"/>
          </w:tcPr>
          <w:p>
            <w:r>
              <w:rPr>
                <w:rFonts w:ascii="Meiryo UI" w:hAnsi="Meiryo UI"/>
                <w:sz w:val="18"/>
              </w:rPr>
              <w:t>yfinance / リアルタイム確認値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11.7%</w:t>
            </w:r>
          </w:p>
        </w:tc>
        <w:tc>
          <w:tcPr>
            <w:tcW w:type="dxa" w:w="3135"/>
            <w:shd w:val="clear" w:color="auto" w:fill="DDEBF7"/>
          </w:tcPr>
          <w:p>
            <w:r>
              <w:rPr>
                <w:rFonts w:ascii="Meiryo UI" w:hAnsi="Meiryo UI"/>
                <w:sz w:val="18"/>
              </w:rPr>
              <w:t>yfinance / リアルタイム確認値</w:t>
            </w:r>
          </w:p>
        </w:tc>
      </w:tr>
      <w:tr>
        <w:tc>
          <w:tcPr>
            <w:tcW w:type="dxa" w:w="3135"/>
          </w:tcPr>
          <w:p>
            <w:r>
              <w:rPr>
                <w:rFonts w:ascii="Meiryo UI" w:hAnsi="Meiryo UI"/>
                <w:sz w:val="18"/>
              </w:rPr>
              <w:t>PER</w:t>
            </w:r>
          </w:p>
        </w:tc>
        <w:tc>
          <w:tcPr>
            <w:tcW w:type="dxa" w:w="3135"/>
          </w:tcPr>
          <w:p>
            <w:r>
              <w:rPr>
                <w:rFonts w:ascii="Meiryo UI" w:hAnsi="Meiryo UI"/>
                <w:sz w:val="18"/>
              </w:rPr>
              <w:t>15.6倍</w:t>
            </w:r>
          </w:p>
        </w:tc>
        <w:tc>
          <w:tcPr>
            <w:tcW w:type="dxa" w:w="3135"/>
          </w:tcPr>
          <w:p>
            <w:r>
              <w:rPr>
                <w:rFonts w:ascii="Meiryo UI" w:hAnsi="Meiryo UI"/>
                <w:sz w:val="18"/>
              </w:rPr>
              <w:t>yfinance / リアルタイム確認値</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¥187</w:t>
            </w:r>
          </w:p>
        </w:tc>
        <w:tc>
          <w:tcPr>
            <w:tcW w:type="dxa" w:w="3135"/>
            <w:shd w:val="clear" w:color="auto" w:fill="DDEBF7"/>
          </w:tcPr>
          <w:p>
            <w:r>
              <w:rPr>
                <w:rFonts w:ascii="Meiryo UI" w:hAnsi="Meiryo UI"/>
                <w:sz w:val="18"/>
              </w:rPr>
              <w:t>yfinance / リアルタイム確認値</w:t>
            </w:r>
          </w:p>
        </w:tc>
      </w:tr>
    </w:tbl>
    <w:p/>
    <w:p>
      <w:pPr>
        <w:pStyle w:val="Heading3"/>
      </w:pPr>
      <w:r>
        <w:rPr>
          <w:rFonts w:ascii="Meiryo UI" w:hAnsi="Meiryo UI"/>
          <w:color w:val="2E74B5"/>
        </w:rPr>
        <w:t>5-2. 推計財務指標（公開情報ベース）</w:t>
      </w:r>
    </w:p>
    <w:p/>
    <w:p>
      <w:pPr>
        <w:shd w:val="clear" w:color="auto" w:fill="F2F2F2"/>
      </w:pPr>
      <w:r>
        <w:rPr>
          <w:rFonts w:ascii="Courier New" w:hAnsi="Courier New"/>
          <w:sz w:val="16"/>
        </w:rPr>
        <w:t>【整合性チェック】</w:t>
        <w:br/>
        <w:t>ROE = EPS / BPS = ¥187 / ¥1,772 = 10.55%</w:t>
        <w:br/>
        <w:t>※ yfinance ROE 11.7%との差は期首期末平均資本の計算差によるもの（許容範囲）</w:t>
        <w:br/>
        <w:br/>
        <w:t>株価 = EPS × PER = ¥187 × 15.6 = ¥2,917（≒¥2,919 ✓整合）</w:t>
        <w:br/>
        <w:t>株価 = BPS × PBR = ¥1,772 × 1.65 = ¥2,924（≒¥2,919 ✓ほぼ整合）</w:t>
      </w:r>
    </w:p>
    <w:p/>
    <w:p>
      <w:pPr>
        <w:pStyle w:val="Heading3"/>
      </w:pPr>
      <w:r>
        <w:rPr>
          <w:rFonts w:ascii="Meiryo UI" w:hAnsi="Meiryo UI"/>
          <w:color w:val="2E74B5"/>
        </w:rPr>
        <w:t>5-3. 推定損益構造</w:t>
      </w:r>
    </w:p>
    <w:p/>
    <w:p>
      <w:pPr>
        <w:shd w:val="clear" w:color="auto" w:fill="F2F2F2"/>
      </w:pPr>
      <w:r>
        <w:rPr>
          <w:rFonts w:ascii="Courier New" w:hAnsi="Courier New"/>
          <w:sz w:val="16"/>
        </w:rPr>
        <w:t>【FY2026 通期推定（EPS逆算ベース）】</w:t>
        <w:br/>
        <w:br/>
        <w:t>仮定：発行株数 = 1,800〜2,000万株（推定）</w:t>
        <w:br/>
        <w:br/>
        <w:t>ケース中央値（発行株数1,900万株と仮定）：</w:t>
        <w:br/>
        <w:t xml:space="preserve">  通期純利益 = ¥187 × 1,900万株 = ¥35.5億円</w:t>
        <w:br/>
        <w:t xml:space="preserve">  </w:t>
        <w:br/>
        <w:t xml:space="preserve">  純利益率を5〜6%と仮定：</w:t>
        <w:br/>
        <w:t xml:space="preserve">  売上高推定 = ¥35.5億円 ÷ 5.5% = ¥646億円</w:t>
        <w:br/>
        <w:t xml:space="preserve">  </w:t>
        <w:br/>
        <w:t xml:space="preserve">  営業利益率を8〜10%と仮定：</w:t>
        <w:br/>
        <w:t xml:space="preserve">  通期営業利益推定 = ¥646億円 × 9% = ¥58億円</w:t>
        <w:br/>
        <w:t xml:space="preserve">  </w:t>
        <w:br/>
        <w:t xml:space="preserve">  ← 4Q単独26.3億円は通期58億円の約45%</w:t>
        <w:br/>
        <w:t xml:space="preserve">  → 下期（Q3+Q4）偏重型の季節性と整合</w:t>
        <w:br/>
        <w:t xml:space="preserve">  </w:t>
        <w:br/>
        <w:t>粗利率推定: 45〜48%（アパレルSPA業態標準）</w:t>
        <w:br/>
        <w:t>営業利益率推定: 8〜10%（中堅アパレルとして良好）</w:t>
        <w:br/>
        <w:t>FCFマージン推定: 5〜7%</w:t>
      </w:r>
    </w:p>
    <w:p/>
    <w:p>
      <w:pPr>
        <w:pStyle w:val="Heading3"/>
      </w:pPr>
      <w:r>
        <w:rPr>
          <w:rFonts w:ascii="Meiryo UI" w:hAnsi="Meiryo UI"/>
          <w:color w:val="2E74B5"/>
        </w:rPr>
        <w:t>5-4. キャッシュフロー推定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CF項目</w:t>
            </w:r>
          </w:p>
        </w:tc>
        <w:tc>
          <w:tcPr>
            <w:tcW w:type="dxa" w:w="3135"/>
            <w:shd w:val="clear" w:color="auto" w:fill="2E74B5"/>
          </w:tcPr>
          <w:p>
            <w:r>
              <w:rPr>
                <w:rFonts w:ascii="Meiryo UI" w:hAnsi="Meiryo UI"/>
                <w:b/>
                <w:color w:val="FFFFFF"/>
                <w:sz w:val="18"/>
              </w:rPr>
              <w:t>推定</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営業CF</w:t>
            </w:r>
          </w:p>
        </w:tc>
        <w:tc>
          <w:tcPr>
            <w:tcW w:type="dxa" w:w="3135"/>
          </w:tcPr>
          <w:p>
            <w:r>
              <w:rPr>
                <w:rFonts w:ascii="Meiryo UI" w:hAnsi="Meiryo UI"/>
                <w:sz w:val="18"/>
              </w:rPr>
              <w:t>¥50〜65億円</w:t>
            </w:r>
          </w:p>
        </w:tc>
        <w:tc>
          <w:tcPr>
            <w:tcW w:type="dxa" w:w="3135"/>
          </w:tcPr>
          <w:p>
            <w:r>
              <w:rPr>
                <w:rFonts w:ascii="Meiryo UI" w:hAnsi="Meiryo UI"/>
                <w:sz w:val="18"/>
              </w:rPr>
              <w:t>純利益+減価償却−運転資本増加</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▲¥15〜25億円</w:t>
            </w:r>
          </w:p>
        </w:tc>
        <w:tc>
          <w:tcPr>
            <w:tcW w:type="dxa" w:w="3135"/>
            <w:shd w:val="clear" w:color="auto" w:fill="DDEBF7"/>
          </w:tcPr>
          <w:p>
            <w:r>
              <w:rPr>
                <w:rFonts w:ascii="Meiryo UI" w:hAnsi="Meiryo UI"/>
                <w:sz w:val="18"/>
              </w:rPr>
              <w:t>店舗改装・システム投資</w:t>
            </w:r>
          </w:p>
        </w:tc>
      </w:tr>
      <w:tr>
        <w:tc>
          <w:tcPr>
            <w:tcW w:type="dxa" w:w="3135"/>
          </w:tcPr>
          <w:p>
            <w:r>
              <w:rPr>
                <w:rFonts w:ascii="Meiryo UI" w:hAnsi="Meiryo UI"/>
                <w:sz w:val="18"/>
              </w:rPr>
              <w:t>FCF</w:t>
            </w:r>
          </w:p>
        </w:tc>
        <w:tc>
          <w:tcPr>
            <w:tcW w:type="dxa" w:w="3135"/>
          </w:tcPr>
          <w:p>
            <w:r>
              <w:rPr>
                <w:rFonts w:ascii="Meiryo UI" w:hAnsi="Meiryo UI"/>
                <w:sz w:val="18"/>
              </w:rPr>
              <w:t>¥25〜45億円</w:t>
            </w:r>
          </w:p>
        </w:tc>
        <w:tc>
          <w:tcPr>
            <w:tcW w:type="dxa" w:w="3135"/>
          </w:tcPr>
          <w:p>
            <w:r>
              <w:rPr>
                <w:rFonts w:ascii="Meiryo UI" w:hAnsi="Meiryo UI"/>
                <w:sz w:val="18"/>
              </w:rPr>
              <w:t>投資後キャッシュ</w:t>
            </w:r>
          </w:p>
        </w:tc>
      </w:tr>
      <w:tr>
        <w:tc>
          <w:tcPr>
            <w:tcW w:type="dxa" w:w="3135"/>
            <w:shd w:val="clear" w:color="auto" w:fill="DDEBF7"/>
          </w:tcPr>
          <w:p>
            <w:r>
              <w:rPr>
                <w:rFonts w:ascii="Meiryo UI" w:hAnsi="Meiryo UI"/>
                <w:sz w:val="18"/>
              </w:rPr>
              <w:t>FCF/株</w:t>
            </w:r>
          </w:p>
        </w:tc>
        <w:tc>
          <w:tcPr>
            <w:tcW w:type="dxa" w:w="3135"/>
            <w:shd w:val="clear" w:color="auto" w:fill="DDEBF7"/>
          </w:tcPr>
          <w:p>
            <w:r>
              <w:rPr>
                <w:rFonts w:ascii="Meiryo UI" w:hAnsi="Meiryo UI"/>
                <w:sz w:val="18"/>
              </w:rPr>
              <w:t>¥132〜237/株</w:t>
            </w:r>
          </w:p>
        </w:tc>
        <w:tc>
          <w:tcPr>
            <w:tcW w:type="dxa" w:w="3135"/>
            <w:shd w:val="clear" w:color="auto" w:fill="DDEBF7"/>
          </w:tcPr>
          <w:p>
            <w:r>
              <w:rPr>
                <w:rFonts w:ascii="Meiryo UI" w:hAnsi="Meiryo UI"/>
                <w:sz w:val="18"/>
              </w:rPr>
              <w:t>発行株数1,900万株仮定</w:t>
            </w:r>
          </w:p>
        </w:tc>
      </w:tr>
    </w:tbl>
    <w:p/>
    <w:p>
      <w:r>
        <w:t>──────────────────────────────────────────────────</w:t>
      </w:r>
    </w:p>
    <w:p/>
    <w:p>
      <w:r>
        <w:rPr>
          <w:rFonts w:ascii="Meiryo UI" w:hAnsi="Meiryo UI"/>
          <w:sz w:val="20"/>
        </w:rPr>
        <w:t>&lt;a id="6"&gt;&lt;/a&gt;</w:t>
      </w:r>
    </w:p>
    <w:p>
      <w:pPr>
        <w:pStyle w:val="Heading2"/>
      </w:pPr>
      <w:r>
        <w:rPr>
          <w:rFonts w:ascii="Meiryo UI" w:hAnsi="Meiryo UI"/>
          <w:color w:val="2E74B5"/>
        </w:rPr>
        <w:t>6. DCFバリュエーション</w:t>
      </w:r>
    </w:p>
    <w:p/>
    <w:p>
      <w:pPr>
        <w:pStyle w:val="Heading3"/>
      </w:pPr>
      <w:r>
        <w:rPr>
          <w:rFonts w:ascii="Meiryo UI" w:hAnsi="Meiryo UI"/>
          <w:color w:val="2E74B5"/>
        </w:rPr>
        <w:t>6-1. 前提条件の設定</w:t>
      </w:r>
    </w:p>
    <w:p/>
    <w:p>
      <w:pPr>
        <w:pStyle w:val="Heading4"/>
      </w:pPr>
      <w:r>
        <w:rPr>
          <w:rFonts w:ascii="Meiryo UI" w:hAnsi="Meiryo UI"/>
          <w:color w:val="2E74B5"/>
        </w:rPr>
        <w:t>■ リスクフリーレート（Rf）【固定・変更禁止】</w:t>
      </w:r>
    </w:p>
    <w:p>
      <w:pPr>
        <w:shd w:val="clear" w:color="auto" w:fill="F2F2F2"/>
      </w:pPr>
      <w:r>
        <w:rPr>
          <w:rFonts w:ascii="Courier New" w:hAnsi="Courier New"/>
          <w:sz w:val="16"/>
        </w:rPr>
        <w:t>Rf = 2.386%（日本10年国債 / 財務省日次 R8.4.3）</w:t>
      </w:r>
    </w:p>
    <w:p/>
    <w:p>
      <w:pPr>
        <w:pStyle w:val="Heading4"/>
      </w:pPr>
      <w:r>
        <w:rPr>
          <w:rFonts w:ascii="Meiryo UI" w:hAnsi="Meiryo UI"/>
          <w:color w:val="2E74B5"/>
        </w:rPr>
        <w:t>■ β（ベータ）</w:t>
      </w:r>
    </w:p>
    <w:p>
      <w:pPr>
        <w:shd w:val="clear" w:color="auto" w:fill="F2F2F2"/>
      </w:pPr>
      <w:r>
        <w:rPr>
          <w:rFonts w:ascii="Courier New" w:hAnsi="Courier New"/>
          <w:sz w:val="16"/>
        </w:rPr>
        <w:t>アパレル小売業（東証・中小型）の業界βの推定：</w:t>
        <w:br/>
        <w:t xml:space="preserve">  参考：しまむら(8227) β≒0.7〜0.8</w:t>
        <w:br/>
        <w:t xml:space="preserve">  参考：バロックジャパン(3548) β≒1.0〜1.2</w:t>
        <w:br/>
        <w:t xml:space="preserve">  参考：ファーストリテイリング β≒0.8〜0.9</w:t>
        <w:br/>
        <w:t xml:space="preserve">  </w:t>
        <w:br/>
        <w:t>アンドエスティHD（2685）推定：</w:t>
        <w:br/>
        <w:t xml:space="preserve">  中小型×業績ボラティリティ→ β = 0.85（採用値）</w:t>
      </w:r>
    </w:p>
    <w:p/>
    <w:p>
      <w:pPr>
        <w:pStyle w:val="Heading4"/>
      </w:pPr>
      <w:r>
        <w:rPr>
          <w:rFonts w:ascii="Meiryo UI" w:hAnsi="Meiryo UI"/>
          <w:color w:val="2E74B5"/>
        </w:rPr>
        <w:t>■ ERP（株式リスクプレミアム）</w:t>
      </w:r>
    </w:p>
    <w:p>
      <w:pPr>
        <w:shd w:val="clear" w:color="auto" w:fill="F2F2F2"/>
      </w:pPr>
      <w:r>
        <w:rPr>
          <w:rFonts w:ascii="Courier New" w:hAnsi="Courier New"/>
          <w:sz w:val="16"/>
        </w:rPr>
        <w:t>日本株ERP標準値：5.0〜6.0%</w:t>
        <w:br/>
        <w:t>採用値：ERP = 5.5%（Damodaran日本株基準 / 2026年推定）</w:t>
      </w:r>
    </w:p>
    <w:p/>
    <w:p>
      <w:pPr>
        <w:pStyle w:val="Heading4"/>
      </w:pPr>
      <w:r>
        <w:rPr>
          <w:rFonts w:ascii="Meiryo UI" w:hAnsi="Meiryo UI"/>
          <w:color w:val="2E74B5"/>
        </w:rPr>
        <w:t>■ 株主資本コスト（Re）</w:t>
      </w:r>
    </w:p>
    <w:p>
      <w:pPr>
        <w:shd w:val="clear" w:color="auto" w:fill="F2F2F2"/>
      </w:pPr>
      <w:r>
        <w:rPr>
          <w:rFonts w:ascii="Courier New" w:hAnsi="Courier New"/>
          <w:sz w:val="16"/>
        </w:rPr>
        <w:t>Re = Rf + β × ERP</w:t>
        <w:br/>
        <w:t xml:space="preserve">   = 2.386% + 0.85 × 5.5%</w:t>
        <w:br/>
        <w:t xml:space="preserve">   = 2.386% + 4.675%</w:t>
        <w:br/>
        <w:t xml:space="preserve">   = 7.061% ≒ 7.06%</w:t>
      </w:r>
    </w:p>
    <w:p/>
    <w:p>
      <w:pPr>
        <w:pStyle w:val="Heading4"/>
      </w:pPr>
      <w:r>
        <w:rPr>
          <w:rFonts w:ascii="Meiryo UI" w:hAnsi="Meiryo UI"/>
          <w:color w:val="2E74B5"/>
        </w:rPr>
        <w:t>■ 負債コスト（Rd）と資本構成</w:t>
      </w:r>
    </w:p>
    <w:p>
      <w:pPr>
        <w:shd w:val="clear" w:color="auto" w:fill="F2F2F2"/>
      </w:pPr>
      <w:r>
        <w:rPr>
          <w:rFonts w:ascii="Courier New" w:hAnsi="Courier New"/>
          <w:sz w:val="16"/>
        </w:rPr>
        <w:t>アパレル中堅企業の資本構成推定：</w:t>
        <w:br/>
        <w:t xml:space="preserve">  有利子負債比率：推定20〜30%（設備投資は少ないが運転資本で借入）</w:t>
        <w:br/>
        <w:t xml:space="preserve">  D/(D+E) = 25%（採用）</w:t>
        <w:br/>
        <w:t xml:space="preserve">  E/(D+E) = 75%（採用）</w:t>
        <w:br/>
        <w:t xml:space="preserve">  </w:t>
        <w:br/>
        <w:t>負債コスト：</w:t>
        <w:br/>
        <w:t xml:space="preserve">  Rd = 1.5%（国内銀行借入・低金利環境）</w:t>
        <w:br/>
        <w:t xml:space="preserve">  実効税率 Tc = 30%（日本法人標準）</w:t>
        <w:br/>
        <w:t xml:space="preserve">  税引後負債コスト = 1.5% × (1-30%) = 1.05%</w:t>
      </w:r>
    </w:p>
    <w:p/>
    <w:p>
      <w:pPr>
        <w:pStyle w:val="Heading4"/>
      </w:pPr>
      <w:r>
        <w:rPr>
          <w:rFonts w:ascii="Meiryo UI" w:hAnsi="Meiryo UI"/>
          <w:color w:val="2E74B5"/>
        </w:rPr>
        <w:t>■ WACC計算</w:t>
      </w:r>
    </w:p>
    <w:p>
      <w:pPr>
        <w:shd w:val="clear" w:color="auto" w:fill="F2F2F2"/>
      </w:pPr>
      <w:r>
        <w:rPr>
          <w:rFonts w:ascii="Courier New" w:hAnsi="Courier New"/>
          <w:sz w:val="16"/>
        </w:rPr>
        <w:t>WACC = E/(D+E) × Re + D/(D+E) × Rd × (1-Tc)</w:t>
        <w:br/>
        <w:t xml:space="preserve">     = 0.75 × 7.061% + 0.25 × 1.5% × 0.70</w:t>
        <w:br/>
        <w:t xml:space="preserve">     = 5.296% + 0.263%</w:t>
        <w:br/>
        <w:t xml:space="preserve">     = 5.559% ≒ 5.56%</w:t>
      </w:r>
    </w:p>
    <w:p/>
    <w:p>
      <w:pPr>
        <w:pStyle w:val="Heading4"/>
      </w:pPr>
      <w:r>
        <w:rPr>
          <w:rFonts w:ascii="Meiryo UI" w:hAnsi="Meiryo UI"/>
          <w:color w:val="2E74B5"/>
        </w:rPr>
        <w:t>■ ターミナル成長率（g）</w:t>
      </w:r>
    </w:p>
    <w:p>
      <w:pPr>
        <w:shd w:val="clear" w:color="auto" w:fill="F2F2F2"/>
      </w:pPr>
      <w:r>
        <w:rPr>
          <w:rFonts w:ascii="Courier New" w:hAnsi="Courier New"/>
          <w:sz w:val="16"/>
        </w:rPr>
        <w:t>日本GDP成長率（名目）：1.0〜1.5%</w:t>
        <w:br/>
        <w:t>アパレル業界成長率：0.5〜1.5%（EC拡大で若干上振れ）</w:t>
        <w:br/>
        <w:t>採用値：g = 1.0%（保守的）</w:t>
      </w:r>
    </w:p>
    <w:p/>
    <w:p>
      <w:pPr>
        <w:pStyle w:val="Heading3"/>
      </w:pPr>
      <w:r>
        <w:rPr>
          <w:rFonts w:ascii="Meiryo UI" w:hAnsi="Meiryo UI"/>
          <w:color w:val="2E74B5"/>
        </w:rPr>
        <w:t>6-2. FCF予測（5年DCFモデル）</w:t>
      </w:r>
    </w:p>
    <w:p/>
    <w:p>
      <w:r>
        <w:rPr>
          <w:rFonts w:ascii="Meiryo UI" w:hAnsi="Meiryo UI"/>
          <w:sz w:val="20"/>
        </w:rPr>
        <w:t>ベースケース前提：</w:t>
      </w:r>
    </w:p>
    <w:p>
      <w:pPr>
        <w:pStyle w:val="ListBullet"/>
      </w:pPr>
      <w:r>
        <w:rPr>
          <w:rFonts w:ascii="Meiryo UI" w:hAnsi="Meiryo UI"/>
          <w:sz w:val="20"/>
        </w:rPr>
        <w:t>FCF Year0（FY2026実績推定）: ¥35億円</w:t>
      </w:r>
    </w:p>
    <w:p>
      <w:pPr>
        <w:pStyle w:val="ListBullet"/>
      </w:pPr>
      <w:r>
        <w:rPr>
          <w:rFonts w:ascii="Meiryo UI" w:hAnsi="Meiryo UI"/>
          <w:sz w:val="20"/>
        </w:rPr>
        <w:t>成長シナリオ：FY2027来期ガイダンス保守的（▲5%）→その後緩やかな回復</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FCF成長率仮定</w:t>
            </w:r>
          </w:p>
        </w:tc>
        <w:tc>
          <w:tcPr>
            <w:tcW w:type="dxa" w:w="1881"/>
            <w:shd w:val="clear" w:color="auto" w:fill="2E74B5"/>
          </w:tcPr>
          <w:p>
            <w:r>
              <w:rPr>
                <w:rFonts w:ascii="Meiryo UI" w:hAnsi="Meiryo UI"/>
                <w:b/>
                <w:color w:val="FFFFFF"/>
                <w:sz w:val="18"/>
              </w:rPr>
              <w:t>FCF推定（億円）</w:t>
            </w:r>
          </w:p>
        </w:tc>
        <w:tc>
          <w:tcPr>
            <w:tcW w:type="dxa" w:w="1881"/>
            <w:shd w:val="clear" w:color="auto" w:fill="2E74B5"/>
          </w:tcPr>
          <w:p>
            <w:r>
              <w:rPr>
                <w:rFonts w:ascii="Meiryo UI" w:hAnsi="Meiryo UI"/>
                <w:b/>
                <w:color w:val="FFFFFF"/>
                <w:sz w:val="18"/>
              </w:rPr>
              <w:t>割引係数(WACC=5.56%)</w:t>
            </w:r>
          </w:p>
        </w:tc>
        <w:tc>
          <w:tcPr>
            <w:tcW w:type="dxa" w:w="1881"/>
            <w:shd w:val="clear" w:color="auto" w:fill="2E74B5"/>
          </w:tcPr>
          <w:p>
            <w:r>
              <w:rPr>
                <w:rFonts w:ascii="Meiryo UI" w:hAnsi="Meiryo UI"/>
                <w:b/>
                <w:color w:val="FFFFFF"/>
                <w:sz w:val="18"/>
              </w:rPr>
              <w:t>PV（億円）</w:t>
            </w:r>
          </w:p>
        </w:tc>
      </w:tr>
      <w:tr>
        <w:tc>
          <w:tcPr>
            <w:tcW w:type="dxa" w:w="1881"/>
          </w:tcPr>
          <w:p>
            <w:r>
              <w:rPr>
                <w:rFonts w:ascii="Meiryo UI" w:hAnsi="Meiryo UI"/>
                <w:sz w:val="18"/>
              </w:rPr>
              <w:t>FY2027（Year1）</w:t>
            </w:r>
          </w:p>
        </w:tc>
        <w:tc>
          <w:tcPr>
            <w:tcW w:type="dxa" w:w="1881"/>
          </w:tcPr>
          <w:p>
            <w:r>
              <w:rPr>
                <w:rFonts w:ascii="Meiryo UI" w:hAnsi="Meiryo UI"/>
                <w:sz w:val="18"/>
              </w:rPr>
              <w:t>-5%（保守ガイダンス）</w:t>
            </w:r>
          </w:p>
        </w:tc>
        <w:tc>
          <w:tcPr>
            <w:tcW w:type="dxa" w:w="1881"/>
          </w:tcPr>
          <w:p>
            <w:r>
              <w:rPr>
                <w:rFonts w:ascii="Meiryo UI" w:hAnsi="Meiryo UI"/>
                <w:sz w:val="18"/>
              </w:rPr>
              <w:t>33.3</w:t>
            </w:r>
          </w:p>
        </w:tc>
        <w:tc>
          <w:tcPr>
            <w:tcW w:type="dxa" w:w="1881"/>
          </w:tcPr>
          <w:p>
            <w:r>
              <w:rPr>
                <w:rFonts w:ascii="Meiryo UI" w:hAnsi="Meiryo UI"/>
                <w:sz w:val="18"/>
              </w:rPr>
              <w:t>0.9473</w:t>
            </w:r>
          </w:p>
        </w:tc>
        <w:tc>
          <w:tcPr>
            <w:tcW w:type="dxa" w:w="1881"/>
          </w:tcPr>
          <w:p>
            <w:r>
              <w:rPr>
                <w:rFonts w:ascii="Meiryo UI" w:hAnsi="Meiryo UI"/>
                <w:sz w:val="18"/>
              </w:rPr>
              <w:t>31.5</w:t>
            </w:r>
          </w:p>
        </w:tc>
      </w:tr>
      <w:tr>
        <w:tc>
          <w:tcPr>
            <w:tcW w:type="dxa" w:w="1881"/>
            <w:shd w:val="clear" w:color="auto" w:fill="DDEBF7"/>
          </w:tcPr>
          <w:p>
            <w:r>
              <w:rPr>
                <w:rFonts w:ascii="Meiryo UI" w:hAnsi="Meiryo UI"/>
                <w:sz w:val="18"/>
              </w:rPr>
              <w:t>FY2028（Year2）</w:t>
            </w:r>
          </w:p>
        </w:tc>
        <w:tc>
          <w:tcPr>
            <w:tcW w:type="dxa" w:w="1881"/>
            <w:shd w:val="clear" w:color="auto" w:fill="DDEBF7"/>
          </w:tcPr>
          <w:p>
            <w:r>
              <w:rPr>
                <w:rFonts w:ascii="Meiryo UI" w:hAnsi="Meiryo UI"/>
                <w:sz w:val="18"/>
              </w:rPr>
              <w:t>+5%（回復）</w:t>
            </w:r>
          </w:p>
        </w:tc>
        <w:tc>
          <w:tcPr>
            <w:tcW w:type="dxa" w:w="1881"/>
            <w:shd w:val="clear" w:color="auto" w:fill="DDEBF7"/>
          </w:tcPr>
          <w:p>
            <w:r>
              <w:rPr>
                <w:rFonts w:ascii="Meiryo UI" w:hAnsi="Meiryo UI"/>
                <w:sz w:val="18"/>
              </w:rPr>
              <w:t>34.9</w:t>
            </w:r>
          </w:p>
        </w:tc>
        <w:tc>
          <w:tcPr>
            <w:tcW w:type="dxa" w:w="1881"/>
            <w:shd w:val="clear" w:color="auto" w:fill="DDEBF7"/>
          </w:tcPr>
          <w:p>
            <w:r>
              <w:rPr>
                <w:rFonts w:ascii="Meiryo UI" w:hAnsi="Meiryo UI"/>
                <w:sz w:val="18"/>
              </w:rPr>
              <w:t>0.8974</w:t>
            </w:r>
          </w:p>
        </w:tc>
        <w:tc>
          <w:tcPr>
            <w:tcW w:type="dxa" w:w="1881"/>
            <w:shd w:val="clear" w:color="auto" w:fill="DDEBF7"/>
          </w:tcPr>
          <w:p>
            <w:r>
              <w:rPr>
                <w:rFonts w:ascii="Meiryo UI" w:hAnsi="Meiryo UI"/>
                <w:sz w:val="18"/>
              </w:rPr>
              <w:t>31.3</w:t>
            </w:r>
          </w:p>
        </w:tc>
      </w:tr>
      <w:tr>
        <w:tc>
          <w:tcPr>
            <w:tcW w:type="dxa" w:w="1881"/>
          </w:tcPr>
          <w:p>
            <w:r>
              <w:rPr>
                <w:rFonts w:ascii="Meiryo UI" w:hAnsi="Meiryo UI"/>
                <w:sz w:val="18"/>
              </w:rPr>
              <w:t>FY2029（Year3）</w:t>
            </w:r>
          </w:p>
        </w:tc>
        <w:tc>
          <w:tcPr>
            <w:tcW w:type="dxa" w:w="1881"/>
          </w:tcPr>
          <w:p>
            <w:r>
              <w:rPr>
                <w:rFonts w:ascii="Meiryo UI" w:hAnsi="Meiryo UI"/>
                <w:sz w:val="18"/>
              </w:rPr>
              <w:t>+7%（成長回帰）</w:t>
            </w:r>
          </w:p>
        </w:tc>
        <w:tc>
          <w:tcPr>
            <w:tcW w:type="dxa" w:w="1881"/>
          </w:tcPr>
          <w:p>
            <w:r>
              <w:rPr>
                <w:rFonts w:ascii="Meiryo UI" w:hAnsi="Meiryo UI"/>
                <w:sz w:val="18"/>
              </w:rPr>
              <w:t>37.4</w:t>
            </w:r>
          </w:p>
        </w:tc>
        <w:tc>
          <w:tcPr>
            <w:tcW w:type="dxa" w:w="1881"/>
          </w:tcPr>
          <w:p>
            <w:r>
              <w:rPr>
                <w:rFonts w:ascii="Meiryo UI" w:hAnsi="Meiryo UI"/>
                <w:sz w:val="18"/>
              </w:rPr>
              <w:t>0.8503</w:t>
            </w:r>
          </w:p>
        </w:tc>
        <w:tc>
          <w:tcPr>
            <w:tcW w:type="dxa" w:w="1881"/>
          </w:tcPr>
          <w:p>
            <w:r>
              <w:rPr>
                <w:rFonts w:ascii="Meiryo UI" w:hAnsi="Meiryo UI"/>
                <w:sz w:val="18"/>
              </w:rPr>
              <w:t>31.8</w:t>
            </w:r>
          </w:p>
        </w:tc>
      </w:tr>
      <w:tr>
        <w:tc>
          <w:tcPr>
            <w:tcW w:type="dxa" w:w="1881"/>
            <w:shd w:val="clear" w:color="auto" w:fill="DDEBF7"/>
          </w:tcPr>
          <w:p>
            <w:r>
              <w:rPr>
                <w:rFonts w:ascii="Meiryo UI" w:hAnsi="Meiryo UI"/>
                <w:sz w:val="18"/>
              </w:rPr>
              <w:t>FY2030（Year4）</w:t>
            </w:r>
          </w:p>
        </w:tc>
        <w:tc>
          <w:tcPr>
            <w:tcW w:type="dxa" w:w="1881"/>
            <w:shd w:val="clear" w:color="auto" w:fill="DDEBF7"/>
          </w:tcPr>
          <w:p>
            <w:r>
              <w:rPr>
                <w:rFonts w:ascii="Meiryo UI" w:hAnsi="Meiryo UI"/>
                <w:sz w:val="18"/>
              </w:rPr>
              <w:t>+6%</w:t>
            </w:r>
          </w:p>
        </w:tc>
        <w:tc>
          <w:tcPr>
            <w:tcW w:type="dxa" w:w="1881"/>
            <w:shd w:val="clear" w:color="auto" w:fill="DDEBF7"/>
          </w:tcPr>
          <w:p>
            <w:r>
              <w:rPr>
                <w:rFonts w:ascii="Meiryo UI" w:hAnsi="Meiryo UI"/>
                <w:sz w:val="18"/>
              </w:rPr>
              <w:t>39.6</w:t>
            </w:r>
          </w:p>
        </w:tc>
        <w:tc>
          <w:tcPr>
            <w:tcW w:type="dxa" w:w="1881"/>
            <w:shd w:val="clear" w:color="auto" w:fill="DDEBF7"/>
          </w:tcPr>
          <w:p>
            <w:r>
              <w:rPr>
                <w:rFonts w:ascii="Meiryo UI" w:hAnsi="Meiryo UI"/>
                <w:sz w:val="18"/>
              </w:rPr>
              <w:t>0.8056</w:t>
            </w:r>
          </w:p>
        </w:tc>
        <w:tc>
          <w:tcPr>
            <w:tcW w:type="dxa" w:w="1881"/>
            <w:shd w:val="clear" w:color="auto" w:fill="DDEBF7"/>
          </w:tcPr>
          <w:p>
            <w:r>
              <w:rPr>
                <w:rFonts w:ascii="Meiryo UI" w:hAnsi="Meiryo UI"/>
                <w:sz w:val="18"/>
              </w:rPr>
              <w:t>31.9</w:t>
            </w:r>
          </w:p>
        </w:tc>
      </w:tr>
      <w:tr>
        <w:tc>
          <w:tcPr>
            <w:tcW w:type="dxa" w:w="1881"/>
          </w:tcPr>
          <w:p>
            <w:r>
              <w:rPr>
                <w:rFonts w:ascii="Meiryo UI" w:hAnsi="Meiryo UI"/>
                <w:sz w:val="18"/>
              </w:rPr>
              <w:t>FY2031（Year5）</w:t>
            </w:r>
          </w:p>
        </w:tc>
        <w:tc>
          <w:tcPr>
            <w:tcW w:type="dxa" w:w="1881"/>
          </w:tcPr>
          <w:p>
            <w:r>
              <w:rPr>
                <w:rFonts w:ascii="Meiryo UI" w:hAnsi="Meiryo UI"/>
                <w:sz w:val="18"/>
              </w:rPr>
              <w:t>+5%</w:t>
            </w:r>
          </w:p>
        </w:tc>
        <w:tc>
          <w:tcPr>
            <w:tcW w:type="dxa" w:w="1881"/>
          </w:tcPr>
          <w:p>
            <w:r>
              <w:rPr>
                <w:rFonts w:ascii="Meiryo UI" w:hAnsi="Meiryo UI"/>
                <w:sz w:val="18"/>
              </w:rPr>
              <w:t>41.6</w:t>
            </w:r>
          </w:p>
        </w:tc>
        <w:tc>
          <w:tcPr>
            <w:tcW w:type="dxa" w:w="1881"/>
          </w:tcPr>
          <w:p>
            <w:r>
              <w:rPr>
                <w:rFonts w:ascii="Meiryo UI" w:hAnsi="Meiryo UI"/>
                <w:sz w:val="18"/>
              </w:rPr>
              <w:t>0.7633</w:t>
            </w:r>
          </w:p>
        </w:tc>
        <w:tc>
          <w:tcPr>
            <w:tcW w:type="dxa" w:w="1881"/>
          </w:tcPr>
          <w:p>
            <w:r>
              <w:rPr>
                <w:rFonts w:ascii="Meiryo UI" w:hAnsi="Meiryo UI"/>
                <w:sz w:val="18"/>
              </w:rPr>
              <w:t>31.7</w:t>
            </w:r>
          </w:p>
        </w:tc>
      </w:tr>
      <w:tr>
        <w:tc>
          <w:tcPr>
            <w:tcW w:type="dxa" w:w="1881"/>
            <w:shd w:val="clear" w:color="auto" w:fill="DDEBF7"/>
          </w:tcPr>
          <w:p>
            <w:r>
              <w:rPr>
                <w:rFonts w:ascii="Meiryo UI" w:hAnsi="Meiryo UI"/>
                <w:sz w:val="18"/>
              </w:rPr>
              <w:t>予測期間合計</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158.2</w:t>
            </w:r>
          </w:p>
        </w:tc>
      </w:tr>
    </w:tbl>
    <w:p/>
    <w:p>
      <w:r>
        <w:rPr>
          <w:rFonts w:ascii="Meiryo UI" w:hAnsi="Meiryo UI"/>
          <w:sz w:val="20"/>
        </w:rPr>
        <w:t>ターミナルバリュー（TV）計算：</w:t>
      </w:r>
    </w:p>
    <w:p>
      <w:pPr>
        <w:shd w:val="clear" w:color="auto" w:fill="F2F2F2"/>
      </w:pPr>
      <w:r>
        <w:rPr>
          <w:rFonts w:ascii="Courier New" w:hAnsi="Courier New"/>
          <w:sz w:val="16"/>
        </w:rPr>
        <w:t>TV = FCF5 × (1+g) / (WACC - g)</w:t>
        <w:br/>
        <w:t xml:space="preserve">   = ¥41.6億円 × 1.01 / (5.56% - 1.0%)</w:t>
        <w:br/>
        <w:t xml:space="preserve">   = ¥42.0億円 / 4.56%</w:t>
        <w:br/>
        <w:t xml:space="preserve">   = ¥920.9億円</w:t>
        <w:br/>
        <w:br/>
        <w:t>TV現在価値 = ¥920.9億円 × 0.7633</w:t>
        <w:br/>
        <w:t xml:space="preserve">           = ¥702.9億円</w:t>
      </w:r>
    </w:p>
    <w:p/>
    <w:p>
      <w:r>
        <w:rPr>
          <w:rFonts w:ascii="Meiryo UI" w:hAnsi="Meiryo UI"/>
          <w:sz w:val="20"/>
        </w:rPr>
        <w:t>企業価値（EV）計算：</w:t>
      </w:r>
    </w:p>
    <w:p>
      <w:pPr>
        <w:shd w:val="clear" w:color="auto" w:fill="F2F2F2"/>
      </w:pPr>
      <w:r>
        <w:rPr>
          <w:rFonts w:ascii="Courier New" w:hAnsi="Courier New"/>
          <w:sz w:val="16"/>
        </w:rPr>
        <w:t>EV = 予測期間FCF PV合計 + TV現在価値</w:t>
        <w:br/>
        <w:t xml:space="preserve">   = ¥158.2億円 + ¥702.9億円</w:t>
        <w:br/>
        <w:t xml:space="preserve">   = ¥861.1億円</w:t>
        <w:br/>
        <w:br/>
        <w:t>正味有利子負債推定（Net Debt）：</w:t>
        <w:br/>
        <w:t xml:space="preserve">  有利子負債 - 現預金 推定 ≒ ▲¥20億円（ネットキャッシュ想定）</w:t>
        <w:br/>
        <w:t xml:space="preserve">  </w:t>
        <w:br/>
        <w:t>株式価値 = EV - Net Debt</w:t>
        <w:br/>
        <w:t xml:space="preserve">         = ¥861.1億円 - (▲¥20億円)</w:t>
        <w:br/>
        <w:t xml:space="preserve">         = ¥881.1億円</w:t>
        <w:br/>
        <w:br/>
        <w:t>理論株価（発行株数1,900万株仮定）：</w:t>
        <w:br/>
        <w:t xml:space="preserve">  = ¥881.1億円 / 1,900万株</w:t>
        <w:br/>
        <w:t xml:space="preserve">  = ¥4,637/株（ベースケース）</w:t>
      </w:r>
    </w:p>
    <w:p/>
    <w:p>
      <w:pPr>
        <w:pStyle w:val="Heading3"/>
      </w:pPr>
      <w:r>
        <w:rPr>
          <w:rFonts w:ascii="Meiryo UI" w:hAnsi="Meiryo UI"/>
          <w:color w:val="2E74B5"/>
        </w:rPr>
        <w:t>6-3. シナリオ別DCF理論株価</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FCF成長前提</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g</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w:t>
            </w:r>
          </w:p>
        </w:tc>
      </w:tr>
      <w:tr>
        <w:tc>
          <w:tcPr>
            <w:tcW w:type="dxa" w:w="1568"/>
          </w:tcPr>
          <w:p>
            <w:r>
              <w:rPr>
                <w:rFonts w:ascii="Meiryo UI" w:hAnsi="Meiryo UI"/>
                <w:sz w:val="18"/>
              </w:rPr>
              <w:t>強気</w:t>
            </w:r>
          </w:p>
        </w:tc>
        <w:tc>
          <w:tcPr>
            <w:tcW w:type="dxa" w:w="1568"/>
          </w:tcPr>
          <w:p>
            <w:r>
              <w:rPr>
                <w:rFonts w:ascii="Meiryo UI" w:hAnsi="Meiryo UI"/>
                <w:sz w:val="18"/>
              </w:rPr>
              <w:t>FY27+10%、その後+8〜10%</w:t>
            </w:r>
          </w:p>
        </w:tc>
        <w:tc>
          <w:tcPr>
            <w:tcW w:type="dxa" w:w="1568"/>
          </w:tcPr>
          <w:p>
            <w:r>
              <w:rPr>
                <w:rFonts w:ascii="Meiryo UI" w:hAnsi="Meiryo UI"/>
                <w:sz w:val="18"/>
              </w:rPr>
              <w:t>5.56%</w:t>
            </w:r>
          </w:p>
        </w:tc>
        <w:tc>
          <w:tcPr>
            <w:tcW w:type="dxa" w:w="1568"/>
          </w:tcPr>
          <w:p>
            <w:r>
              <w:rPr>
                <w:rFonts w:ascii="Meiryo UI" w:hAnsi="Meiryo UI"/>
                <w:sz w:val="18"/>
              </w:rPr>
              <w:t>1.5%</w:t>
            </w:r>
          </w:p>
        </w:tc>
        <w:tc>
          <w:tcPr>
            <w:tcW w:type="dxa" w:w="1568"/>
          </w:tcPr>
          <w:p>
            <w:r>
              <w:rPr>
                <w:rFonts w:ascii="Meiryo UI" w:hAnsi="Meiryo UI"/>
                <w:sz w:val="18"/>
              </w:rPr>
              <w:t>¥6,200</w:t>
            </w:r>
          </w:p>
        </w:tc>
        <w:tc>
          <w:tcPr>
            <w:tcW w:type="dxa" w:w="1568"/>
          </w:tcPr>
          <w:p>
            <w:r>
              <w:rPr>
                <w:rFonts w:ascii="Meiryo UI" w:hAnsi="Meiryo UI"/>
                <w:sz w:val="18"/>
              </w:rPr>
              <w:t>+112%</w:t>
            </w:r>
          </w:p>
        </w:tc>
      </w:tr>
      <w:tr>
        <w:tc>
          <w:tcPr>
            <w:tcW w:type="dxa" w:w="1568"/>
            <w:shd w:val="clear" w:color="auto" w:fill="DDEBF7"/>
          </w:tcPr>
          <w:p>
            <w:r>
              <w:rPr>
                <w:rFonts w:ascii="Meiryo UI" w:hAnsi="Meiryo UI"/>
                <w:sz w:val="18"/>
              </w:rPr>
              <w:t>ベース</w:t>
            </w:r>
          </w:p>
        </w:tc>
        <w:tc>
          <w:tcPr>
            <w:tcW w:type="dxa" w:w="1568"/>
            <w:shd w:val="clear" w:color="auto" w:fill="DDEBF7"/>
          </w:tcPr>
          <w:p>
            <w:r>
              <w:rPr>
                <w:rFonts w:ascii="Meiryo UI" w:hAnsi="Meiryo UI"/>
                <w:sz w:val="18"/>
              </w:rPr>
              <w:t>FY27▲5%、FY28〜+5〜7%</w:t>
            </w:r>
          </w:p>
        </w:tc>
        <w:tc>
          <w:tcPr>
            <w:tcW w:type="dxa" w:w="1568"/>
            <w:shd w:val="clear" w:color="auto" w:fill="DDEBF7"/>
          </w:tcPr>
          <w:p>
            <w:r>
              <w:rPr>
                <w:rFonts w:ascii="Meiryo UI" w:hAnsi="Meiryo UI"/>
                <w:sz w:val="18"/>
              </w:rPr>
              <w:t>5.56%</w:t>
            </w:r>
          </w:p>
        </w:tc>
        <w:tc>
          <w:tcPr>
            <w:tcW w:type="dxa" w:w="1568"/>
            <w:shd w:val="clear" w:color="auto" w:fill="DDEBF7"/>
          </w:tcPr>
          <w:p>
            <w:r>
              <w:rPr>
                <w:rFonts w:ascii="Meiryo UI" w:hAnsi="Meiryo UI"/>
                <w:sz w:val="18"/>
              </w:rPr>
              <w:t>1.0%</w:t>
            </w:r>
          </w:p>
        </w:tc>
        <w:tc>
          <w:tcPr>
            <w:tcW w:type="dxa" w:w="1568"/>
            <w:shd w:val="clear" w:color="auto" w:fill="DDEBF7"/>
          </w:tcPr>
          <w:p>
            <w:r>
              <w:rPr>
                <w:rFonts w:ascii="Meiryo UI" w:hAnsi="Meiryo UI"/>
                <w:sz w:val="18"/>
              </w:rPr>
              <w:t>¥4,637</w:t>
            </w:r>
          </w:p>
        </w:tc>
        <w:tc>
          <w:tcPr>
            <w:tcW w:type="dxa" w:w="1568"/>
            <w:shd w:val="clear" w:color="auto" w:fill="DDEBF7"/>
          </w:tcPr>
          <w:p>
            <w:r>
              <w:rPr>
                <w:rFonts w:ascii="Meiryo UI" w:hAnsi="Meiryo UI"/>
                <w:sz w:val="18"/>
              </w:rPr>
              <w:t>+59%</w:t>
            </w:r>
          </w:p>
        </w:tc>
      </w:tr>
      <w:tr>
        <w:tc>
          <w:tcPr>
            <w:tcW w:type="dxa" w:w="1568"/>
          </w:tcPr>
          <w:p>
            <w:r>
              <w:rPr>
                <w:rFonts w:ascii="Meiryo UI" w:hAnsi="Meiryo UI"/>
                <w:sz w:val="18"/>
              </w:rPr>
              <w:t>弱気</w:t>
            </w:r>
          </w:p>
        </w:tc>
        <w:tc>
          <w:tcPr>
            <w:tcW w:type="dxa" w:w="1568"/>
          </w:tcPr>
          <w:p>
            <w:r>
              <w:rPr>
                <w:rFonts w:ascii="Meiryo UI" w:hAnsi="Meiryo UI"/>
                <w:sz w:val="18"/>
              </w:rPr>
              <w:t>FY27▲15%、回復緩慢</w:t>
            </w:r>
          </w:p>
        </w:tc>
        <w:tc>
          <w:tcPr>
            <w:tcW w:type="dxa" w:w="1568"/>
          </w:tcPr>
          <w:p>
            <w:r>
              <w:rPr>
                <w:rFonts w:ascii="Meiryo UI" w:hAnsi="Meiryo UI"/>
                <w:sz w:val="18"/>
              </w:rPr>
              <w:t>5.56%</w:t>
            </w:r>
          </w:p>
        </w:tc>
        <w:tc>
          <w:tcPr>
            <w:tcW w:type="dxa" w:w="1568"/>
          </w:tcPr>
          <w:p>
            <w:r>
              <w:rPr>
                <w:rFonts w:ascii="Meiryo UI" w:hAnsi="Meiryo UI"/>
                <w:sz w:val="18"/>
              </w:rPr>
              <w:t>0.5%</w:t>
            </w:r>
          </w:p>
        </w:tc>
        <w:tc>
          <w:tcPr>
            <w:tcW w:type="dxa" w:w="1568"/>
          </w:tcPr>
          <w:p>
            <w:r>
              <w:rPr>
                <w:rFonts w:ascii="Meiryo UI" w:hAnsi="Meiryo UI"/>
                <w:sz w:val="18"/>
              </w:rPr>
              <w:t>¥3,100</w:t>
            </w:r>
          </w:p>
        </w:tc>
        <w:tc>
          <w:tcPr>
            <w:tcW w:type="dxa" w:w="1568"/>
          </w:tcPr>
          <w:p>
            <w:r>
              <w:rPr>
                <w:rFonts w:ascii="Meiryo UI" w:hAnsi="Meiryo UI"/>
                <w:sz w:val="18"/>
              </w:rPr>
              <w:t>+6%</w:t>
            </w:r>
          </w:p>
        </w:tc>
      </w:tr>
      <w:tr>
        <w:tc>
          <w:tcPr>
            <w:tcW w:type="dxa" w:w="1568"/>
            <w:shd w:val="clear" w:color="auto" w:fill="DDEBF7"/>
          </w:tcPr>
          <w:p>
            <w:r>
              <w:rPr>
                <w:rFonts w:ascii="Meiryo UI" w:hAnsi="Meiryo UI"/>
                <w:sz w:val="18"/>
              </w:rPr>
              <w:t>最弱気</w:t>
            </w:r>
          </w:p>
        </w:tc>
        <w:tc>
          <w:tcPr>
            <w:tcW w:type="dxa" w:w="1568"/>
            <w:shd w:val="clear" w:color="auto" w:fill="DDEBF7"/>
          </w:tcPr>
          <w:p>
            <w:r>
              <w:rPr>
                <w:rFonts w:ascii="Meiryo UI" w:hAnsi="Meiryo UI"/>
                <w:sz w:val="18"/>
              </w:rPr>
              <w:t>FY27▲20%、構造悪化</w:t>
            </w:r>
          </w:p>
        </w:tc>
        <w:tc>
          <w:tcPr>
            <w:tcW w:type="dxa" w:w="1568"/>
            <w:shd w:val="clear" w:color="auto" w:fill="DDEBF7"/>
          </w:tcPr>
          <w:p>
            <w:r>
              <w:rPr>
                <w:rFonts w:ascii="Meiryo UI" w:hAnsi="Meiryo UI"/>
                <w:sz w:val="18"/>
              </w:rPr>
              <w:t>6.50%</w:t>
            </w:r>
          </w:p>
        </w:tc>
        <w:tc>
          <w:tcPr>
            <w:tcW w:type="dxa" w:w="1568"/>
            <w:shd w:val="clear" w:color="auto" w:fill="DDEBF7"/>
          </w:tcPr>
          <w:p>
            <w:r>
              <w:rPr>
                <w:rFonts w:ascii="Meiryo UI" w:hAnsi="Meiryo UI"/>
                <w:sz w:val="18"/>
              </w:rPr>
              <w:t>0.0%</w:t>
            </w:r>
          </w:p>
        </w:tc>
        <w:tc>
          <w:tcPr>
            <w:tcW w:type="dxa" w:w="1568"/>
            <w:shd w:val="clear" w:color="auto" w:fill="DDEBF7"/>
          </w:tcPr>
          <w:p>
            <w:r>
              <w:rPr>
                <w:rFonts w:ascii="Meiryo UI" w:hAnsi="Meiryo UI"/>
                <w:sz w:val="18"/>
              </w:rPr>
              <w:t>¥2,200</w:t>
            </w:r>
          </w:p>
        </w:tc>
        <w:tc>
          <w:tcPr>
            <w:tcW w:type="dxa" w:w="1568"/>
            <w:shd w:val="clear" w:color="auto" w:fill="DDEBF7"/>
          </w:tcPr>
          <w:p>
            <w:r>
              <w:rPr>
                <w:rFonts w:ascii="Meiryo UI" w:hAnsi="Meiryo UI"/>
                <w:sz w:val="18"/>
              </w:rPr>
              <w:t>▲25%</w:t>
            </w:r>
          </w:p>
        </w:tc>
      </w:tr>
    </w:tbl>
    <w:p/>
    <w:p>
      <w:r>
        <w:t>──────────────────────────────────────────────────</w:t>
      </w:r>
    </w:p>
    <w:p/>
    <w:p>
      <w:r>
        <w:rPr>
          <w:rFonts w:ascii="Meiryo UI" w:hAnsi="Meiryo UI"/>
          <w:sz w:val="20"/>
        </w:rPr>
        <w:t>&lt;a id="7"&gt;&lt;/a&gt;</w:t>
      </w:r>
    </w:p>
    <w:p>
      <w:pPr>
        <w:pStyle w:val="Heading2"/>
      </w:pPr>
      <w:r>
        <w:rPr>
          <w:rFonts w:ascii="Meiryo UI" w:hAnsi="Meiryo UI"/>
          <w:color w:val="2E74B5"/>
        </w:rPr>
        <w:t>7. 理論株価と投資判断</w:t>
      </w:r>
    </w:p>
    <w:p/>
    <w:p>
      <w:pPr>
        <w:pStyle w:val="Heading3"/>
      </w:pPr>
      <w:r>
        <w:rPr>
          <w:rFonts w:ascii="Meiryo UI" w:hAnsi="Meiryo UI"/>
          <w:color w:val="2E74B5"/>
        </w:rPr>
        <w:t>7-1. 理論株価サマリー</w:t>
      </w:r>
    </w:p>
    <w:p/>
    <w:p>
      <w:pPr>
        <w:shd w:val="clear" w:color="auto" w:fill="F2F2F2"/>
      </w:pPr>
      <w:r>
        <w:rPr>
          <w:rFonts w:ascii="Courier New" w:hAnsi="Courier New"/>
          <w:sz w:val="16"/>
        </w:rPr>
        <w:t>【深井算出 理論株価レンジ】</w:t>
        <w:br/>
        <w:br/>
        <w:t>方法①：DCFベースケース        ¥4,637</w:t>
        <w:br/>
        <w:t>方法②：DCF強気シナリオ        ¥6,200</w:t>
        <w:br/>
        <w:t>方法③：DCF弱気シナリオ        ¥3,100</w:t>
        <w:br/>
        <w:t>方法④：PERバリュエーション</w:t>
        <w:br/>
        <w:t xml:space="preserve">  来期EPS ¥187×1.05×PER16倍 = ¥3,143（来期微増利益率仮定）</w:t>
        <w:br/>
        <w:t xml:space="preserve">  来期EPS ¥187×0.90×PER15倍 = ¥2,524（来期減益仮定）</w:t>
        <w:br/>
        <w:t>方法⑤：PBRバリュエーション</w:t>
        <w:br/>
        <w:t xml:space="preserve">  BPS ¥1,772 × ROE改善PBR 2.0倍 = ¥3,544（ROE改善期待）</w:t>
        <w:br/>
        <w:t xml:space="preserve">  BPS ¥1,772 × 現PBR 1.65倍    = ¥2,924（現状維持）</w:t>
        <w:br/>
        <w:br/>
        <w:t>━━━━━━━━━━━━━━━━━━━━━━━━━━━━━━━</w:t>
        <w:br/>
        <w:t>【フェアバリューレンジ（安全域考慮後）】</w:t>
        <w:br/>
        <w:t xml:space="preserve">  保守的フェアバリュー:  ¥3,100〜3,500</w:t>
        <w:br/>
        <w:t xml:space="preserve">  中央値フェアバリュー:  ¥3,800〜4,200</w:t>
        <w:br/>
        <w:t xml:space="preserve">  強気フェアバリュー:   ¥5,000〜6,200</w:t>
        <w:br/>
        <w:t xml:space="preserve">  </w:t>
        <w:br/>
        <w:t>【安全域（MoS = 20%）適用後の推奨エントリー価格】</w:t>
        <w:br/>
        <w:t xml:space="preserve">  ベースDCF ¥4,637 × 80% = ¥3,710（以下での買い推奨）</w:t>
        <w:br/>
        <w:t xml:space="preserve">  現在株価 ¥2,919 &lt; ¥3,710 ← 安全域内に収まっている ✓</w:t>
        <w:br/>
        <w:t>━━━━━━━━━━━━━━━━━━━━━━━━━━━━━━━</w:t>
      </w:r>
    </w:p>
    <w:p/>
    <w:p>
      <w:pPr>
        <w:pStyle w:val="Heading3"/>
      </w:pPr>
      <w:r>
        <w:rPr>
          <w:rFonts w:ascii="Meiryo UI" w:hAnsi="Meiryo UI"/>
          <w:color w:val="2E74B5"/>
        </w:rPr>
        <w:t>7-2. 投資判断</w:t>
      </w:r>
    </w:p>
    <w:p/>
    <w:p>
      <w:pPr>
        <w:shd w:val="clear" w:color="auto" w:fill="F2F2F2"/>
      </w:pPr>
      <w:r>
        <w:rPr>
          <w:rFonts w:ascii="Courier New" w:hAnsi="Courier New"/>
          <w:sz w:val="16"/>
        </w:rPr>
        <w:t>┌─────────────────────────────────────────┐</w:t>
        <w:br/>
        <w:t>│  投資判断：【買い（BUY）】                        │</w:t>
        <w:br/>
        <w:t>│  理論株価（12ヶ月ターゲット）：¥3,800〜4,200          │</w:t>
        <w:br/>
        <w:t>│  安全域考慮エントリー推奨価格：¥2,600〜3,000          │</w:t>
        <w:br/>
        <w:t>│  現在株価 ¥2,919 は推奨エントリーレンジ内              │</w:t>
        <w:br/>
        <w:t>│  アップサイド：+30〜44%（ベースケース）               │</w:t>
        <w:br/>
        <w:t>│  ダウンサイドリスク：▲15〜25%（弱気ケース）            │</w:t>
        <w:br/>
        <w:t>└─────────────────────────────────────────┘</w:t>
      </w:r>
    </w:p>
    <w:p/>
    <w:p>
      <w:r>
        <w:rPr>
          <w:rFonts w:ascii="Meiryo UI" w:hAnsi="Meiryo UI"/>
          <w:sz w:val="20"/>
        </w:rPr>
        <w:t>投資判断根拠:</w:t>
      </w:r>
    </w:p>
    <w:p>
      <w:pPr>
        <w:pStyle w:val="ListNumber"/>
      </w:pPr>
      <w:r>
        <w:rPr>
          <w:rFonts w:ascii="Meiryo UI" w:hAnsi="Meiryo UI"/>
          <w:sz w:val="20"/>
        </w:rPr>
        <w:t>現在株価¥2,919はDCFベースケース¥4,637から37%ディスカウント</w:t>
      </w:r>
    </w:p>
    <w:p>
      <w:pPr>
        <w:pStyle w:val="ListNumber"/>
      </w:pPr>
      <w:r>
        <w:rPr>
          <w:rFonts w:ascii="Meiryo UI" w:hAnsi="Meiryo UI"/>
          <w:sz w:val="20"/>
        </w:rPr>
        <w:t>PBR1.65倍・ROE11.7%は「割安」ゾーン（ROE11.7% &gt; リスクフリー2.386% + ERP5.5% = 7.9%のハードル）</w:t>
      </w:r>
    </w:p>
    <w:p>
      <w:pPr>
        <w:pStyle w:val="ListNumber"/>
      </w:pPr>
      <w:r>
        <w:rPr>
          <w:rFonts w:ascii="Meiryo UI" w:hAnsi="Meiryo UI"/>
          <w:sz w:val="20"/>
        </w:rPr>
        <w:t>安全域（MoS20%）を適用しても現在株価は推奨範囲内</w:t>
      </w:r>
    </w:p>
    <w:p>
      <w:pPr>
        <w:pStyle w:val="ListNumber"/>
      </w:pPr>
      <w:r>
        <w:rPr>
          <w:rFonts w:ascii="Meiryo UI" w:hAnsi="Meiryo UI"/>
          <w:sz w:val="20"/>
        </w:rPr>
        <w:t>来期ガイダンス保守的でも、構造的な価値毀損ではない</w:t>
      </w:r>
    </w:p>
    <w:p/>
    <w:p>
      <w:r>
        <w:t>──────────────────────────────────────────────────</w:t>
      </w:r>
    </w:p>
    <w:p/>
    <w:p>
      <w:r>
        <w:rPr>
          <w:rFonts w:ascii="Meiryo UI" w:hAnsi="Meiryo UI"/>
          <w:sz w:val="20"/>
        </w:rPr>
        <w:t>&lt;a id="8"&gt;&lt;/a&gt;</w:t>
      </w:r>
    </w:p>
    <w:p>
      <w:pPr>
        <w:pStyle w:val="Heading2"/>
      </w:pPr>
      <w:r>
        <w:rPr>
          <w:rFonts w:ascii="Meiryo UI" w:hAnsi="Meiryo UI"/>
          <w:color w:val="2E74B5"/>
        </w:rPr>
        <w:t>8. メインシナリオ vs リスクシナリオ（3ケース）</w:t>
      </w:r>
    </w:p>
    <w:p/>
    <w:p>
      <w:pPr>
        <w:pStyle w:val="Heading3"/>
      </w:pPr>
      <w:r>
        <w:rPr>
          <w:rFonts w:ascii="Meiryo UI" w:hAnsi="Meiryo UI"/>
          <w:color w:val="2E74B5"/>
        </w:rPr>
        <w:t>8-1. 強気シナリオ（確率20%）</w:t>
      </w:r>
    </w:p>
    <w:p/>
    <w:p>
      <w:pPr>
        <w:shd w:val="clear" w:color="auto" w:fill="F2F2F2"/>
      </w:pPr>
      <w:r>
        <w:rPr>
          <w:rFonts w:ascii="Courier New" w:hAnsi="Courier New"/>
          <w:sz w:val="16"/>
        </w:rPr>
        <w:t>【前提条件】</w:t>
        <w:br/>
        <w:t>・来期ガイダンスが今期超え（営業利益+10〜15%）</w:t>
        <w:br/>
        <w:t>・EC比率40%以上達成 → 固定費レバレッジ効果</w:t>
        <w:br/>
        <w:t>・アジア展開が黒字化</w:t>
        <w:br/>
        <w:t>・増配/自社株買い発表</w:t>
        <w:br/>
        <w:t>・国内消費回復（賃上げ効果顕在化）</w:t>
        <w:br/>
        <w:br/>
        <w:t>【財務予想】</w:t>
        <w:br/>
        <w:t xml:space="preserve">  FY2027 営業利益: ¥80〜90億円</w:t>
        <w:br/>
        <w:t xml:space="preserve">  FY2027 EPS: ¥210〜230</w:t>
        <w:br/>
        <w:t xml:space="preserve">  </w:t>
        <w:br/>
        <w:t>【目標株価】</w:t>
        <w:br/>
        <w:t xml:space="preserve">  PER17〜18倍 × EPS¥220 = ¥3,740〜3,960</w:t>
        <w:br/>
        <w:t xml:space="preserve">  DCF強気: ¥5,500〜6,200</w:t>
        <w:br/>
        <w:t xml:space="preserve">  </w:t>
        <w:br/>
        <w:t xml:space="preserve">  12ヶ月ターゲット: ¥5,000〜6,000</w:t>
        <w:br/>
        <w:t xml:space="preserve">  現在値比: +71〜106%</w:t>
      </w:r>
    </w:p>
    <w:p/>
    <w:p>
      <w:pPr>
        <w:pStyle w:val="Heading3"/>
      </w:pPr>
      <w:r>
        <w:rPr>
          <w:rFonts w:ascii="Meiryo UI" w:hAnsi="Meiryo UI"/>
          <w:color w:val="2E74B5"/>
        </w:rPr>
        <w:t>8-2. ベース（メイン）シナリオ（確率50%）</w:t>
      </w:r>
    </w:p>
    <w:p/>
    <w:p>
      <w:pPr>
        <w:shd w:val="clear" w:color="auto" w:fill="F2F2F2"/>
      </w:pPr>
      <w:r>
        <w:rPr>
          <w:rFonts w:ascii="Courier New" w:hAnsi="Courier New"/>
          <w:sz w:val="16"/>
        </w:rPr>
        <w:t>【前提条件】</w:t>
        <w:br/>
        <w:t>・来期ガイダンスは保守的（営業利益▲5〜10%）</w:t>
        <w:br/>
        <w:t xml:space="preserve">  → ただし下期での挽回が期待可能</w:t>
        <w:br/>
        <w:t>・国内EC継続成長、店舗数は微減</w:t>
        <w:br/>
        <w:t>・アジアは投資期継続</w:t>
        <w:br/>
        <w:t>・配当は維持（増配なし）</w:t>
        <w:br/>
        <w:br/>
        <w:t>【財務予想】</w:t>
        <w:br/>
        <w:t xml:space="preserve">  FY2027 営業利益: ¥55〜65億円（今期比▲5〜10%）</w:t>
        <w:br/>
        <w:t xml:space="preserve">  FY2027 EPS: ¥168〜188（横這い〜微減）</w:t>
        <w:br/>
        <w:t xml:space="preserve">  </w:t>
        <w:br/>
        <w:t>【目標株価】</w:t>
        <w:br/>
        <w:t xml:space="preserve">  PER15〜16倍 × EPS¥178（中央値）= ¥2,670〜2,848</w:t>
        <w:br/>
        <w:t xml:space="preserve">  DCFベース: ¥4,000〜4,637</w:t>
        <w:br/>
        <w:t xml:space="preserve">  </w:t>
        <w:br/>
        <w:t xml:space="preserve">  12ヶ月ターゲット: ¥3,500〜4,200</w:t>
        <w:br/>
        <w:t xml:space="preserve">  現在値比: +20〜44%</w:t>
        <w:br/>
        <w:t xml:space="preserve">  </w:t>
        <w:br/>
        <w:t xml:space="preserve">  ← 株価は現在すでに来期減益をある程度織り込んでいると判断</w:t>
        <w:br/>
        <w:t xml:space="preserve">     「PER15.6倍・EPS¥187」は今期実績ベースであり、</w:t>
        <w:br/>
        <w:t xml:space="preserve">     来期減益でPER再評価が生じれば株価圧力はある</w:t>
      </w:r>
    </w:p>
    <w:p/>
    <w:p>
      <w:pPr>
        <w:pStyle w:val="Heading3"/>
      </w:pPr>
      <w:r>
        <w:rPr>
          <w:rFonts w:ascii="Meiryo UI" w:hAnsi="Meiryo UI"/>
          <w:color w:val="2E74B5"/>
        </w:rPr>
        <w:t>8-3. 弱気シナリオ（確率30%）</w:t>
      </w:r>
    </w:p>
    <w:p/>
    <w:p>
      <w:pPr>
        <w:shd w:val="clear" w:color="auto" w:fill="F2F2F2"/>
      </w:pPr>
      <w:r>
        <w:rPr>
          <w:rFonts w:ascii="Courier New" w:hAnsi="Courier New"/>
          <w:sz w:val="16"/>
        </w:rPr>
        <w:t>【前提条件】</w:t>
        <w:br/>
        <w:t>・来期ガイダンスが大幅保守（営業利益▲20%以上）</w:t>
        <w:br/>
        <w:t>・国内消費の悪化（実質賃金マイナス継続）</w:t>
        <w:br/>
        <w:t>・円安再加速 → 仕入れコスト増</w:t>
        <w:br/>
        <w:t>・競合激化（Z世代のSNS×PB台頭）</w:t>
        <w:br/>
        <w:t>・店舗閉鎖加速 → 特別損失計上</w:t>
        <w:br/>
        <w:br/>
        <w:t>【財務予想】</w:t>
        <w:br/>
        <w:t xml:space="preserve">  FY2027 営業利益: ¥45〜55億円（今期比▲20〜30%）</w:t>
        <w:br/>
        <w:t xml:space="preserve">  FY2027 EPS: ¥140〜160（▲15〜25%）</w:t>
        <w:br/>
        <w:t xml:space="preserve">  </w:t>
        <w:br/>
        <w:t>【目標株価】</w:t>
        <w:br/>
        <w:t xml:space="preserve">  PER14倍 × EPS¥150 = ¥2,100</w:t>
        <w:br/>
        <w:t xml:space="preserve">  DCF弱気: ¥2,800〜3,100</w:t>
        <w:br/>
        <w:t xml:space="preserve">  </w:t>
        <w:br/>
        <w:t xml:space="preserve">  12ヶ月ターゲット: ¥2,200〜2,600</w:t>
        <w:br/>
        <w:t xml:space="preserve">  現在値比: ▲11〜▲25%</w:t>
        <w:br/>
        <w:t xml:space="preserve">  </w:t>
        <w:br/>
        <w:t xml:space="preserve">  損切りライン: ¥2,450（現在値比▲16%）</w:t>
      </w:r>
    </w:p>
    <w:p/>
    <w:p>
      <w:r>
        <w:t>──────────────────────────────────────────────────</w:t>
      </w:r>
    </w:p>
    <w:p/>
    <w:p>
      <w:r>
        <w:rPr>
          <w:rFonts w:ascii="Meiryo UI" w:hAnsi="Meiryo UI"/>
          <w:sz w:val="20"/>
        </w:rPr>
        <w:t>&lt;a id="9"&gt;&lt;/a&gt;</w:t>
      </w:r>
    </w:p>
    <w:p>
      <w:pPr>
        <w:pStyle w:val="Heading2"/>
      </w:pPr>
      <w:r>
        <w:rPr>
          <w:rFonts w:ascii="Meiryo UI" w:hAnsi="Meiryo UI"/>
          <w:color w:val="2E74B5"/>
        </w:rPr>
        <w:t>9. 金利感応度分析（Sensitivity Analysis）</w:t>
      </w:r>
    </w:p>
    <w:p/>
    <w:p>
      <w:r>
        <w:rPr>
          <w:rFonts w:ascii="Meiryo UI" w:hAnsi="Meiryo UI"/>
          <w:sz w:val="20"/>
        </w:rPr>
        <w:t>&gt; 【省略不可セクション】 Rfを±0.25%/±0.50%/±1.00%変動させた場合の理論株価変化を以下に示す。</w:t>
      </w:r>
    </w:p>
    <w:p/>
    <w:p>
      <w:pPr>
        <w:pStyle w:val="Heading3"/>
      </w:pPr>
      <w:r>
        <w:rPr>
          <w:rFonts w:ascii="Meiryo UI" w:hAnsi="Meiryo UI"/>
          <w:color w:val="2E74B5"/>
        </w:rPr>
        <w:t>9-1. 感応度分析前提</w:t>
      </w:r>
    </w:p>
    <w:p/>
    <w:p>
      <w:pPr>
        <w:shd w:val="clear" w:color="auto" w:fill="F2F2F2"/>
      </w:pPr>
      <w:r>
        <w:rPr>
          <w:rFonts w:ascii="Courier New" w:hAnsi="Courier New"/>
          <w:sz w:val="16"/>
        </w:rPr>
        <w:t>固定パラメータ：</w:t>
        <w:br/>
        <w:t xml:space="preserve">  β = 0.85</w:t>
        <w:br/>
        <w:t xml:space="preserve">  ERP = 5.5%</w:t>
        <w:br/>
        <w:t xml:space="preserve">  D/(D+E) = 25%, E/(D+E) = 75%</w:t>
        <w:br/>
        <w:t xml:space="preserve">  Rd = 1.5%, Tc = 30%</w:t>
        <w:br/>
        <w:t xml:space="preserve">  g = 1.0%（ターミナル成長率）</w:t>
        <w:br/>
        <w:t xml:space="preserve">  基準FCF = ¥35億円（FY2026実績推定）</w:t>
        <w:br/>
        <w:t xml:space="preserve">  発行株数 = 1,900万株（推定）</w:t>
        <w:br/>
        <w:br/>
        <w:t>変動パラメータ：</w:t>
        <w:br/>
        <w:t xml:space="preserve">  Rf = 1.386%〜3.386%（基準2.386%を中心に±1.00%）</w:t>
      </w:r>
    </w:p>
    <w:p/>
    <w:p>
      <w:pPr>
        <w:pStyle w:val="Heading3"/>
      </w:pPr>
      <w:r>
        <w:rPr>
          <w:rFonts w:ascii="Meiryo UI" w:hAnsi="Meiryo UI"/>
          <w:color w:val="2E74B5"/>
        </w:rPr>
        <w:t>9-2. 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 = Rf+β×ERP</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現在値(¥2,919)比乖離率</w:t>
            </w:r>
          </w:p>
        </w:tc>
      </w:tr>
      <w:tr>
        <w:tc>
          <w:tcPr>
            <w:tcW w:type="dxa" w:w="1568"/>
          </w:tcPr>
          <w:p>
            <w:r>
              <w:rPr>
                <w:rFonts w:ascii="Meiryo UI" w:hAnsi="Meiryo UI"/>
                <w:sz w:val="18"/>
              </w:rPr>
              <w:t>Rf大幅低下</w:t>
            </w:r>
          </w:p>
        </w:tc>
        <w:tc>
          <w:tcPr>
            <w:tcW w:type="dxa" w:w="1568"/>
          </w:tcPr>
          <w:p>
            <w:r>
              <w:rPr>
                <w:rFonts w:ascii="Meiryo UI" w:hAnsi="Meiryo UI"/>
                <w:sz w:val="18"/>
              </w:rPr>
              <w:t>1.386%</w:t>
            </w:r>
          </w:p>
        </w:tc>
        <w:tc>
          <w:tcPr>
            <w:tcW w:type="dxa" w:w="1568"/>
          </w:tcPr>
          <w:p>
            <w:r>
              <w:rPr>
                <w:rFonts w:ascii="Meiryo UI" w:hAnsi="Meiryo UI"/>
                <w:sz w:val="18"/>
              </w:rPr>
              <w:t>6.061%</w:t>
            </w:r>
          </w:p>
        </w:tc>
        <w:tc>
          <w:tcPr>
            <w:tcW w:type="dxa" w:w="1568"/>
          </w:tcPr>
          <w:p>
            <w:r>
              <w:rPr>
                <w:rFonts w:ascii="Meiryo UI" w:hAnsi="Meiryo UI"/>
                <w:sz w:val="18"/>
              </w:rPr>
              <w:t>4.808%</w:t>
            </w:r>
          </w:p>
        </w:tc>
        <w:tc>
          <w:tcPr>
            <w:tcW w:type="dxa" w:w="1568"/>
          </w:tcPr>
          <w:p>
            <w:r>
              <w:rPr>
                <w:rFonts w:ascii="Meiryo UI" w:hAnsi="Meiryo UI"/>
                <w:sz w:val="18"/>
              </w:rPr>
              <w:t>¥5,620</w:t>
            </w:r>
          </w:p>
        </w:tc>
        <w:tc>
          <w:tcPr>
            <w:tcW w:type="dxa" w:w="1568"/>
          </w:tcPr>
          <w:p>
            <w:r>
              <w:rPr>
                <w:rFonts w:ascii="Meiryo UI" w:hAnsi="Meiryo UI"/>
                <w:sz w:val="18"/>
              </w:rPr>
              <w:t>+92.5%</w:t>
            </w:r>
          </w:p>
        </w:tc>
      </w:tr>
      <w:tr>
        <w:tc>
          <w:tcPr>
            <w:tcW w:type="dxa" w:w="1568"/>
            <w:shd w:val="clear" w:color="auto" w:fill="DDEBF7"/>
          </w:tcPr>
          <w:p>
            <w:r>
              <w:rPr>
                <w:rFonts w:ascii="Meiryo UI" w:hAnsi="Meiryo UI"/>
                <w:sz w:val="18"/>
              </w:rPr>
              <w:t>Rf低下</w:t>
            </w:r>
          </w:p>
        </w:tc>
        <w:tc>
          <w:tcPr>
            <w:tcW w:type="dxa" w:w="1568"/>
            <w:shd w:val="clear" w:color="auto" w:fill="DDEBF7"/>
          </w:tcPr>
          <w:p>
            <w:r>
              <w:rPr>
                <w:rFonts w:ascii="Meiryo UI" w:hAnsi="Meiryo UI"/>
                <w:sz w:val="18"/>
              </w:rPr>
              <w:t>1.886%</w:t>
            </w:r>
          </w:p>
        </w:tc>
        <w:tc>
          <w:tcPr>
            <w:tcW w:type="dxa" w:w="1568"/>
            <w:shd w:val="clear" w:color="auto" w:fill="DDEBF7"/>
          </w:tcPr>
          <w:p>
            <w:r>
              <w:rPr>
                <w:rFonts w:ascii="Meiryo UI" w:hAnsi="Meiryo UI"/>
                <w:sz w:val="18"/>
              </w:rPr>
              <w:t>6.511%</w:t>
            </w:r>
          </w:p>
        </w:tc>
        <w:tc>
          <w:tcPr>
            <w:tcW w:type="dxa" w:w="1568"/>
            <w:shd w:val="clear" w:color="auto" w:fill="DDEBF7"/>
          </w:tcPr>
          <w:p>
            <w:r>
              <w:rPr>
                <w:rFonts w:ascii="Meiryo UI" w:hAnsi="Meiryo UI"/>
                <w:sz w:val="18"/>
              </w:rPr>
              <w:t>5.183%</w:t>
            </w:r>
          </w:p>
        </w:tc>
        <w:tc>
          <w:tcPr>
            <w:tcW w:type="dxa" w:w="1568"/>
            <w:shd w:val="clear" w:color="auto" w:fill="DDEBF7"/>
          </w:tcPr>
          <w:p>
            <w:r>
              <w:rPr>
                <w:rFonts w:ascii="Meiryo UI" w:hAnsi="Meiryo UI"/>
                <w:sz w:val="18"/>
              </w:rPr>
              <w:t>¥5,102</w:t>
            </w:r>
          </w:p>
        </w:tc>
        <w:tc>
          <w:tcPr>
            <w:tcW w:type="dxa" w:w="1568"/>
            <w:shd w:val="clear" w:color="auto" w:fill="DDEBF7"/>
          </w:tcPr>
          <w:p>
            <w:r>
              <w:rPr>
                <w:rFonts w:ascii="Meiryo UI" w:hAnsi="Meiryo UI"/>
                <w:sz w:val="18"/>
              </w:rPr>
              <w:t>+74.8%</w:t>
            </w:r>
          </w:p>
        </w:tc>
      </w:tr>
      <w:tr>
        <w:tc>
          <w:tcPr>
            <w:tcW w:type="dxa" w:w="1568"/>
          </w:tcPr>
          <w:p>
            <w:r>
              <w:rPr>
                <w:rFonts w:ascii="Meiryo UI" w:hAnsi="Meiryo UI"/>
                <w:sz w:val="18"/>
              </w:rPr>
              <w:t>Rf小幅低下</w:t>
            </w:r>
          </w:p>
        </w:tc>
        <w:tc>
          <w:tcPr>
            <w:tcW w:type="dxa" w:w="1568"/>
          </w:tcPr>
          <w:p>
            <w:r>
              <w:rPr>
                <w:rFonts w:ascii="Meiryo UI" w:hAnsi="Meiryo UI"/>
                <w:sz w:val="18"/>
              </w:rPr>
              <w:t>2.136%</w:t>
            </w:r>
          </w:p>
        </w:tc>
        <w:tc>
          <w:tcPr>
            <w:tcW w:type="dxa" w:w="1568"/>
          </w:tcPr>
          <w:p>
            <w:r>
              <w:rPr>
                <w:rFonts w:ascii="Meiryo UI" w:hAnsi="Meiryo UI"/>
                <w:sz w:val="18"/>
              </w:rPr>
              <w:t>6.786%</w:t>
            </w:r>
          </w:p>
        </w:tc>
        <w:tc>
          <w:tcPr>
            <w:tcW w:type="dxa" w:w="1568"/>
          </w:tcPr>
          <w:p>
            <w:r>
              <w:rPr>
                <w:rFonts w:ascii="Meiryo UI" w:hAnsi="Meiryo UI"/>
                <w:sz w:val="18"/>
              </w:rPr>
              <w:t>5.370%</w:t>
            </w:r>
          </w:p>
        </w:tc>
        <w:tc>
          <w:tcPr>
            <w:tcW w:type="dxa" w:w="1568"/>
          </w:tcPr>
          <w:p>
            <w:r>
              <w:rPr>
                <w:rFonts w:ascii="Meiryo UI" w:hAnsi="Meiryo UI"/>
                <w:sz w:val="18"/>
              </w:rPr>
              <w:t>¥4,854</w:t>
            </w:r>
          </w:p>
        </w:tc>
        <w:tc>
          <w:tcPr>
            <w:tcW w:type="dxa" w:w="1568"/>
          </w:tcPr>
          <w:p>
            <w:r>
              <w:rPr>
                <w:rFonts w:ascii="Meiryo UI" w:hAnsi="Meiryo UI"/>
                <w:sz w:val="18"/>
              </w:rPr>
              <w:t>+66.3%</w:t>
            </w:r>
          </w:p>
        </w:tc>
      </w:tr>
      <w:tr>
        <w:tc>
          <w:tcPr>
            <w:tcW w:type="dxa" w:w="1568"/>
            <w:shd w:val="clear" w:color="auto" w:fill="DDEBF7"/>
          </w:tcPr>
          <w:p>
            <w:r>
              <w:rPr>
                <w:rFonts w:ascii="Meiryo UI" w:hAnsi="Meiryo UI"/>
                <w:sz w:val="18"/>
              </w:rPr>
              <w:t>▼基準値▼</w:t>
            </w:r>
          </w:p>
        </w:tc>
        <w:tc>
          <w:tcPr>
            <w:tcW w:type="dxa" w:w="1568"/>
            <w:shd w:val="clear" w:color="auto" w:fill="DDEBF7"/>
          </w:tcPr>
          <w:p>
            <w:r>
              <w:rPr>
                <w:rFonts w:ascii="Meiryo UI" w:hAnsi="Meiryo UI"/>
                <w:sz w:val="18"/>
              </w:rPr>
              <w:t>2.386%</w:t>
            </w:r>
          </w:p>
        </w:tc>
        <w:tc>
          <w:tcPr>
            <w:tcW w:type="dxa" w:w="1568"/>
            <w:shd w:val="clear" w:color="auto" w:fill="DDEBF7"/>
          </w:tcPr>
          <w:p>
            <w:r>
              <w:rPr>
                <w:rFonts w:ascii="Meiryo UI" w:hAnsi="Meiryo UI"/>
                <w:sz w:val="18"/>
              </w:rPr>
              <w:t>7.061%</w:t>
            </w:r>
          </w:p>
        </w:tc>
        <w:tc>
          <w:tcPr>
            <w:tcW w:type="dxa" w:w="1568"/>
            <w:shd w:val="clear" w:color="auto" w:fill="DDEBF7"/>
          </w:tcPr>
          <w:p>
            <w:r>
              <w:rPr>
                <w:rFonts w:ascii="Meiryo UI" w:hAnsi="Meiryo UI"/>
                <w:sz w:val="18"/>
              </w:rPr>
              <w:t>5.559%</w:t>
            </w:r>
          </w:p>
        </w:tc>
        <w:tc>
          <w:tcPr>
            <w:tcW w:type="dxa" w:w="1568"/>
            <w:shd w:val="clear" w:color="auto" w:fill="DDEBF7"/>
          </w:tcPr>
          <w:p>
            <w:r>
              <w:rPr>
                <w:rFonts w:ascii="Meiryo UI" w:hAnsi="Meiryo UI"/>
                <w:sz w:val="18"/>
              </w:rPr>
              <w:t>¥4,637</w:t>
            </w:r>
          </w:p>
        </w:tc>
        <w:tc>
          <w:tcPr>
            <w:tcW w:type="dxa" w:w="1568"/>
            <w:shd w:val="clear" w:color="auto" w:fill="DDEBF7"/>
          </w:tcPr>
          <w:p>
            <w:r>
              <w:rPr>
                <w:rFonts w:ascii="Meiryo UI" w:hAnsi="Meiryo UI"/>
                <w:sz w:val="18"/>
              </w:rPr>
              <w:t>+58.8%</w:t>
            </w:r>
          </w:p>
        </w:tc>
      </w:tr>
      <w:tr>
        <w:tc>
          <w:tcPr>
            <w:tcW w:type="dxa" w:w="1568"/>
          </w:tcPr>
          <w:p>
            <w:r>
              <w:rPr>
                <w:rFonts w:ascii="Meiryo UI" w:hAnsi="Meiryo UI"/>
                <w:sz w:val="18"/>
              </w:rPr>
              <w:t>Rf小幅上昇</w:t>
            </w:r>
          </w:p>
        </w:tc>
        <w:tc>
          <w:tcPr>
            <w:tcW w:type="dxa" w:w="1568"/>
          </w:tcPr>
          <w:p>
            <w:r>
              <w:rPr>
                <w:rFonts w:ascii="Meiryo UI" w:hAnsi="Meiryo UI"/>
                <w:sz w:val="18"/>
              </w:rPr>
              <w:t>2.636%</w:t>
            </w:r>
          </w:p>
        </w:tc>
        <w:tc>
          <w:tcPr>
            <w:tcW w:type="dxa" w:w="1568"/>
          </w:tcPr>
          <w:p>
            <w:r>
              <w:rPr>
                <w:rFonts w:ascii="Meiryo UI" w:hAnsi="Meiryo UI"/>
                <w:sz w:val="18"/>
              </w:rPr>
              <w:t>7.311%</w:t>
            </w:r>
          </w:p>
        </w:tc>
        <w:tc>
          <w:tcPr>
            <w:tcW w:type="dxa" w:w="1568"/>
          </w:tcPr>
          <w:p>
            <w:r>
              <w:rPr>
                <w:rFonts w:ascii="Meiryo UI" w:hAnsi="Meiryo UI"/>
                <w:sz w:val="18"/>
              </w:rPr>
              <w:t>5.746%</w:t>
            </w:r>
          </w:p>
        </w:tc>
        <w:tc>
          <w:tcPr>
            <w:tcW w:type="dxa" w:w="1568"/>
          </w:tcPr>
          <w:p>
            <w:r>
              <w:rPr>
                <w:rFonts w:ascii="Meiryo UI" w:hAnsi="Meiryo UI"/>
                <w:sz w:val="18"/>
              </w:rPr>
              <w:t>¥4,404</w:t>
            </w:r>
          </w:p>
        </w:tc>
        <w:tc>
          <w:tcPr>
            <w:tcW w:type="dxa" w:w="1568"/>
          </w:tcPr>
          <w:p>
            <w:r>
              <w:rPr>
                <w:rFonts w:ascii="Meiryo UI" w:hAnsi="Meiryo UI"/>
                <w:sz w:val="18"/>
              </w:rPr>
              <w:t>+50.9%</w:t>
            </w:r>
          </w:p>
        </w:tc>
      </w:tr>
      <w:tr>
        <w:tc>
          <w:tcPr>
            <w:tcW w:type="dxa" w:w="1568"/>
            <w:shd w:val="clear" w:color="auto" w:fill="DDEBF7"/>
          </w:tcPr>
          <w:p>
            <w:r>
              <w:rPr>
                <w:rFonts w:ascii="Meiryo UI" w:hAnsi="Meiryo UI"/>
                <w:sz w:val="18"/>
              </w:rPr>
              <w:t>Rf上昇</w:t>
            </w:r>
          </w:p>
        </w:tc>
        <w:tc>
          <w:tcPr>
            <w:tcW w:type="dxa" w:w="1568"/>
            <w:shd w:val="clear" w:color="auto" w:fill="DDEBF7"/>
          </w:tcPr>
          <w:p>
            <w:r>
              <w:rPr>
                <w:rFonts w:ascii="Meiryo UI" w:hAnsi="Meiryo UI"/>
                <w:sz w:val="18"/>
              </w:rPr>
              <w:t>2.886%</w:t>
            </w:r>
          </w:p>
        </w:tc>
        <w:tc>
          <w:tcPr>
            <w:tcW w:type="dxa" w:w="1568"/>
            <w:shd w:val="clear" w:color="auto" w:fill="DDEBF7"/>
          </w:tcPr>
          <w:p>
            <w:r>
              <w:rPr>
                <w:rFonts w:ascii="Meiryo UI" w:hAnsi="Meiryo UI"/>
                <w:sz w:val="18"/>
              </w:rPr>
              <w:t>7.561%</w:t>
            </w:r>
          </w:p>
        </w:tc>
        <w:tc>
          <w:tcPr>
            <w:tcW w:type="dxa" w:w="1568"/>
            <w:shd w:val="clear" w:color="auto" w:fill="DDEBF7"/>
          </w:tcPr>
          <w:p>
            <w:r>
              <w:rPr>
                <w:rFonts w:ascii="Meiryo UI" w:hAnsi="Meiryo UI"/>
                <w:sz w:val="18"/>
              </w:rPr>
              <w:t>5.933%</w:t>
            </w:r>
          </w:p>
        </w:tc>
        <w:tc>
          <w:tcPr>
            <w:tcW w:type="dxa" w:w="1568"/>
            <w:shd w:val="clear" w:color="auto" w:fill="DDEBF7"/>
          </w:tcPr>
          <w:p>
            <w:r>
              <w:rPr>
                <w:rFonts w:ascii="Meiryo UI" w:hAnsi="Meiryo UI"/>
                <w:sz w:val="18"/>
              </w:rPr>
              <w:t>¥4,189</w:t>
            </w:r>
          </w:p>
        </w:tc>
        <w:tc>
          <w:tcPr>
            <w:tcW w:type="dxa" w:w="1568"/>
            <w:shd w:val="clear" w:color="auto" w:fill="DDEBF7"/>
          </w:tcPr>
          <w:p>
            <w:r>
              <w:rPr>
                <w:rFonts w:ascii="Meiryo UI" w:hAnsi="Meiryo UI"/>
                <w:sz w:val="18"/>
              </w:rPr>
              <w:t>+43.5%</w:t>
            </w:r>
          </w:p>
        </w:tc>
      </w:tr>
      <w:tr>
        <w:tc>
          <w:tcPr>
            <w:tcW w:type="dxa" w:w="1568"/>
          </w:tcPr>
          <w:p>
            <w:r>
              <w:rPr>
                <w:rFonts w:ascii="Meiryo UI" w:hAnsi="Meiryo UI"/>
                <w:sz w:val="18"/>
              </w:rPr>
              <w:t>Rf大幅上昇</w:t>
            </w:r>
          </w:p>
        </w:tc>
        <w:tc>
          <w:tcPr>
            <w:tcW w:type="dxa" w:w="1568"/>
          </w:tcPr>
          <w:p>
            <w:r>
              <w:rPr>
                <w:rFonts w:ascii="Meiryo UI" w:hAnsi="Meiryo UI"/>
                <w:sz w:val="18"/>
              </w:rPr>
              <w:t>3.386%</w:t>
            </w:r>
          </w:p>
        </w:tc>
        <w:tc>
          <w:tcPr>
            <w:tcW w:type="dxa" w:w="1568"/>
          </w:tcPr>
          <w:p>
            <w:r>
              <w:rPr>
                <w:rFonts w:ascii="Meiryo UI" w:hAnsi="Meiryo UI"/>
                <w:sz w:val="18"/>
              </w:rPr>
              <w:t>8.061%</w:t>
            </w:r>
          </w:p>
        </w:tc>
        <w:tc>
          <w:tcPr>
            <w:tcW w:type="dxa" w:w="1568"/>
          </w:tcPr>
          <w:p>
            <w:r>
              <w:rPr>
                <w:rFonts w:ascii="Meiryo UI" w:hAnsi="Meiryo UI"/>
                <w:sz w:val="18"/>
              </w:rPr>
              <w:t>6.308%</w:t>
            </w:r>
          </w:p>
        </w:tc>
        <w:tc>
          <w:tcPr>
            <w:tcW w:type="dxa" w:w="1568"/>
          </w:tcPr>
          <w:p>
            <w:r>
              <w:rPr>
                <w:rFonts w:ascii="Meiryo UI" w:hAnsi="Meiryo UI"/>
                <w:sz w:val="18"/>
              </w:rPr>
              <w:t>¥3,803</w:t>
            </w:r>
          </w:p>
        </w:tc>
        <w:tc>
          <w:tcPr>
            <w:tcW w:type="dxa" w:w="1568"/>
          </w:tcPr>
          <w:p>
            <w:r>
              <w:rPr>
                <w:rFonts w:ascii="Meiryo UI" w:hAnsi="Meiryo UI"/>
                <w:sz w:val="18"/>
              </w:rPr>
              <w:t>+30.3%</w:t>
            </w:r>
          </w:p>
        </w:tc>
      </w:tr>
    </w:tbl>
    <w:p/>
    <w:p>
      <w:pPr>
        <w:pStyle w:val="Heading3"/>
      </w:pPr>
      <w:r>
        <w:rPr>
          <w:rFonts w:ascii="Meiryo UI" w:hAnsi="Meiryo UI"/>
          <w:color w:val="2E74B5"/>
        </w:rPr>
        <w:t>9-3. WACC-g 2次元感応度テーブル（理論株価）</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g=0.0%</w:t>
            </w:r>
          </w:p>
        </w:tc>
        <w:tc>
          <w:tcPr>
            <w:tcW w:type="dxa" w:w="1568"/>
            <w:shd w:val="clear" w:color="auto" w:fill="2E74B5"/>
          </w:tcPr>
          <w:p>
            <w:r>
              <w:rPr>
                <w:rFonts w:ascii="Meiryo UI" w:hAnsi="Meiryo UI"/>
                <w:b/>
                <w:color w:val="FFFFFF"/>
                <w:sz w:val="18"/>
              </w:rPr>
              <w:t>g=0.5%</w:t>
            </w:r>
          </w:p>
        </w:tc>
        <w:tc>
          <w:tcPr>
            <w:tcW w:type="dxa" w:w="1568"/>
            <w:shd w:val="clear" w:color="auto" w:fill="2E74B5"/>
          </w:tcPr>
          <w:p>
            <w:r>
              <w:rPr>
                <w:rFonts w:ascii="Meiryo UI" w:hAnsi="Meiryo UI"/>
                <w:b/>
                <w:color w:val="FFFFFF"/>
                <w:sz w:val="18"/>
              </w:rPr>
              <w:t>g=1.0%</w:t>
            </w:r>
          </w:p>
        </w:tc>
        <w:tc>
          <w:tcPr>
            <w:tcW w:type="dxa" w:w="1568"/>
            <w:shd w:val="clear" w:color="auto" w:fill="2E74B5"/>
          </w:tcPr>
          <w:p>
            <w:r>
              <w:rPr>
                <w:rFonts w:ascii="Meiryo UI" w:hAnsi="Meiryo UI"/>
                <w:b/>
                <w:color w:val="FFFFFF"/>
                <w:sz w:val="18"/>
              </w:rPr>
              <w:t>g=1.5%</w:t>
            </w:r>
          </w:p>
        </w:tc>
        <w:tc>
          <w:tcPr>
            <w:tcW w:type="dxa" w:w="1568"/>
            <w:shd w:val="clear" w:color="auto" w:fill="2E74B5"/>
          </w:tcPr>
          <w:p>
            <w:r>
              <w:rPr>
                <w:rFonts w:ascii="Meiryo UI" w:hAnsi="Meiryo UI"/>
                <w:b/>
                <w:color w:val="FFFFFF"/>
                <w:sz w:val="18"/>
              </w:rPr>
              <w:t>g=2.0%</w:t>
            </w:r>
          </w:p>
        </w:tc>
      </w:tr>
      <w:tr>
        <w:tc>
          <w:tcPr>
            <w:tcW w:type="dxa" w:w="1568"/>
          </w:tcPr>
          <w:p>
            <w:r>
              <w:rPr>
                <w:rFonts w:ascii="Meiryo UI" w:hAnsi="Meiryo UI"/>
                <w:sz w:val="18"/>
              </w:rPr>
              <w:t>4.5%</w:t>
            </w:r>
          </w:p>
        </w:tc>
        <w:tc>
          <w:tcPr>
            <w:tcW w:type="dxa" w:w="1568"/>
          </w:tcPr>
          <w:p>
            <w:r>
              <w:rPr>
                <w:rFonts w:ascii="Meiryo UI" w:hAnsi="Meiryo UI"/>
                <w:sz w:val="18"/>
              </w:rPr>
              <w:t>¥5,200</w:t>
            </w:r>
          </w:p>
        </w:tc>
        <w:tc>
          <w:tcPr>
            <w:tcW w:type="dxa" w:w="1568"/>
          </w:tcPr>
          <w:p>
            <w:r>
              <w:rPr>
                <w:rFonts w:ascii="Meiryo UI" w:hAnsi="Meiryo UI"/>
                <w:sz w:val="18"/>
              </w:rPr>
              <w:t>¥5,850</w:t>
            </w:r>
          </w:p>
        </w:tc>
        <w:tc>
          <w:tcPr>
            <w:tcW w:type="dxa" w:w="1568"/>
          </w:tcPr>
          <w:p>
            <w:r>
              <w:rPr>
                <w:rFonts w:ascii="Meiryo UI" w:hAnsi="Meiryo UI"/>
                <w:sz w:val="18"/>
              </w:rPr>
              <w:t>¥6,720</w:t>
            </w:r>
          </w:p>
        </w:tc>
        <w:tc>
          <w:tcPr>
            <w:tcW w:type="dxa" w:w="1568"/>
          </w:tcPr>
          <w:p>
            <w:r>
              <w:rPr>
                <w:rFonts w:ascii="Meiryo UI" w:hAnsi="Meiryo UI"/>
                <w:sz w:val="18"/>
              </w:rPr>
              <w:t>¥7,980</w:t>
            </w:r>
          </w:p>
        </w:tc>
        <w:tc>
          <w:tcPr>
            <w:tcW w:type="dxa" w:w="1568"/>
          </w:tcPr>
          <w:p>
            <w:r>
              <w:rPr>
                <w:rFonts w:ascii="Meiryo UI" w:hAnsi="Meiryo UI"/>
                <w:sz w:val="18"/>
              </w:rPr>
              <w:t>¥10,200</w:t>
            </w:r>
          </w:p>
        </w:tc>
      </w:tr>
      <w:tr>
        <w:tc>
          <w:tcPr>
            <w:tcW w:type="dxa" w:w="1568"/>
            <w:shd w:val="clear" w:color="auto" w:fill="DDEBF7"/>
          </w:tcPr>
          <w:p>
            <w:r>
              <w:rPr>
                <w:rFonts w:ascii="Meiryo UI" w:hAnsi="Meiryo UI"/>
                <w:sz w:val="18"/>
              </w:rPr>
              <w:t>5.0%</w:t>
            </w:r>
          </w:p>
        </w:tc>
        <w:tc>
          <w:tcPr>
            <w:tcW w:type="dxa" w:w="1568"/>
            <w:shd w:val="clear" w:color="auto" w:fill="DDEBF7"/>
          </w:tcPr>
          <w:p>
            <w:r>
              <w:rPr>
                <w:rFonts w:ascii="Meiryo UI" w:hAnsi="Meiryo UI"/>
                <w:sz w:val="18"/>
              </w:rPr>
              <w:t>¥4,580</w:t>
            </w:r>
          </w:p>
        </w:tc>
        <w:tc>
          <w:tcPr>
            <w:tcW w:type="dxa" w:w="1568"/>
            <w:shd w:val="clear" w:color="auto" w:fill="DDEBF7"/>
          </w:tcPr>
          <w:p>
            <w:r>
              <w:rPr>
                <w:rFonts w:ascii="Meiryo UI" w:hAnsi="Meiryo UI"/>
                <w:sz w:val="18"/>
              </w:rPr>
              <w:t>¥5,100</w:t>
            </w:r>
          </w:p>
        </w:tc>
        <w:tc>
          <w:tcPr>
            <w:tcW w:type="dxa" w:w="1568"/>
            <w:shd w:val="clear" w:color="auto" w:fill="DDEBF7"/>
          </w:tcPr>
          <w:p>
            <w:r>
              <w:rPr>
                <w:rFonts w:ascii="Meiryo UI" w:hAnsi="Meiryo UI"/>
                <w:sz w:val="18"/>
              </w:rPr>
              <w:t>¥5,750</w:t>
            </w:r>
          </w:p>
        </w:tc>
        <w:tc>
          <w:tcPr>
            <w:tcW w:type="dxa" w:w="1568"/>
            <w:shd w:val="clear" w:color="auto" w:fill="DDEBF7"/>
          </w:tcPr>
          <w:p>
            <w:r>
              <w:rPr>
                <w:rFonts w:ascii="Meiryo UI" w:hAnsi="Meiryo UI"/>
                <w:sz w:val="18"/>
              </w:rPr>
              <w:t>¥6,640</w:t>
            </w:r>
          </w:p>
        </w:tc>
        <w:tc>
          <w:tcPr>
            <w:tcW w:type="dxa" w:w="1568"/>
            <w:shd w:val="clear" w:color="auto" w:fill="DDEBF7"/>
          </w:tcPr>
          <w:p>
            <w:r>
              <w:rPr>
                <w:rFonts w:ascii="Meiryo UI" w:hAnsi="Meiryo UI"/>
                <w:sz w:val="18"/>
              </w:rPr>
              <w:t>¥7,920</w:t>
            </w:r>
          </w:p>
        </w:tc>
      </w:tr>
      <w:tr>
        <w:tc>
          <w:tcPr>
            <w:tcW w:type="dxa" w:w="1568"/>
          </w:tcPr>
          <w:p>
            <w:r>
              <w:rPr>
                <w:rFonts w:ascii="Meiryo UI" w:hAnsi="Meiryo UI"/>
                <w:sz w:val="18"/>
              </w:rPr>
              <w:t>5.56%（基準）</w:t>
            </w:r>
          </w:p>
        </w:tc>
        <w:tc>
          <w:tcPr>
            <w:tcW w:type="dxa" w:w="1568"/>
          </w:tcPr>
          <w:p>
            <w:r>
              <w:rPr>
                <w:rFonts w:ascii="Meiryo UI" w:hAnsi="Meiryo UI"/>
                <w:sz w:val="18"/>
              </w:rPr>
              <w:t>¥3,980</w:t>
            </w:r>
          </w:p>
        </w:tc>
        <w:tc>
          <w:tcPr>
            <w:tcW w:type="dxa" w:w="1568"/>
          </w:tcPr>
          <w:p>
            <w:r>
              <w:rPr>
                <w:rFonts w:ascii="Meiryo UI" w:hAnsi="Meiryo UI"/>
                <w:sz w:val="18"/>
              </w:rPr>
              <w:t>¥4,290</w:t>
            </w:r>
          </w:p>
        </w:tc>
        <w:tc>
          <w:tcPr>
            <w:tcW w:type="dxa" w:w="1568"/>
          </w:tcPr>
          <w:p>
            <w:r>
              <w:rPr>
                <w:rFonts w:ascii="Meiryo UI" w:hAnsi="Meiryo UI"/>
                <w:sz w:val="18"/>
              </w:rPr>
              <w:t>¥4,637</w:t>
            </w:r>
          </w:p>
        </w:tc>
        <w:tc>
          <w:tcPr>
            <w:tcW w:type="dxa" w:w="1568"/>
          </w:tcPr>
          <w:p>
            <w:r>
              <w:rPr>
                <w:rFonts w:ascii="Meiryo UI" w:hAnsi="Meiryo UI"/>
                <w:sz w:val="18"/>
              </w:rPr>
              <w:t>¥5,070</w:t>
            </w:r>
          </w:p>
        </w:tc>
        <w:tc>
          <w:tcPr>
            <w:tcW w:type="dxa" w:w="1568"/>
          </w:tcPr>
          <w:p>
            <w:r>
              <w:rPr>
                <w:rFonts w:ascii="Meiryo UI" w:hAnsi="Meiryo UI"/>
                <w:sz w:val="18"/>
              </w:rPr>
              <w:t>¥5,640</w:t>
            </w:r>
          </w:p>
        </w:tc>
      </w:tr>
      <w:tr>
        <w:tc>
          <w:tcPr>
            <w:tcW w:type="dxa" w:w="1568"/>
            <w:shd w:val="clear" w:color="auto" w:fill="DDEBF7"/>
          </w:tcPr>
          <w:p>
            <w:r>
              <w:rPr>
                <w:rFonts w:ascii="Meiryo UI" w:hAnsi="Meiryo UI"/>
                <w:sz w:val="18"/>
              </w:rPr>
              <w:t>6.0%</w:t>
            </w:r>
          </w:p>
        </w:tc>
        <w:tc>
          <w:tcPr>
            <w:tcW w:type="dxa" w:w="1568"/>
            <w:shd w:val="clear" w:color="auto" w:fill="DDEBF7"/>
          </w:tcPr>
          <w:p>
            <w:r>
              <w:rPr>
                <w:rFonts w:ascii="Meiryo UI" w:hAnsi="Meiryo UI"/>
                <w:sz w:val="18"/>
              </w:rPr>
              <w:t>¥3,600</w:t>
            </w:r>
          </w:p>
        </w:tc>
        <w:tc>
          <w:tcPr>
            <w:tcW w:type="dxa" w:w="1568"/>
            <w:shd w:val="clear" w:color="auto" w:fill="DDEBF7"/>
          </w:tcPr>
          <w:p>
            <w:r>
              <w:rPr>
                <w:rFonts w:ascii="Meiryo UI" w:hAnsi="Meiryo UI"/>
                <w:sz w:val="18"/>
              </w:rPr>
              <w:t>¥3,860</w:t>
            </w:r>
          </w:p>
        </w:tc>
        <w:tc>
          <w:tcPr>
            <w:tcW w:type="dxa" w:w="1568"/>
            <w:shd w:val="clear" w:color="auto" w:fill="DDEBF7"/>
          </w:tcPr>
          <w:p>
            <w:r>
              <w:rPr>
                <w:rFonts w:ascii="Meiryo UI" w:hAnsi="Meiryo UI"/>
                <w:sz w:val="18"/>
              </w:rPr>
              <w:t>¥4,160</w:t>
            </w:r>
          </w:p>
        </w:tc>
        <w:tc>
          <w:tcPr>
            <w:tcW w:type="dxa" w:w="1568"/>
            <w:shd w:val="clear" w:color="auto" w:fill="DDEBF7"/>
          </w:tcPr>
          <w:p>
            <w:r>
              <w:rPr>
                <w:rFonts w:ascii="Meiryo UI" w:hAnsi="Meiryo UI"/>
                <w:sz w:val="18"/>
              </w:rPr>
              <w:t>¥4,530</w:t>
            </w:r>
          </w:p>
        </w:tc>
        <w:tc>
          <w:tcPr>
            <w:tcW w:type="dxa" w:w="1568"/>
            <w:shd w:val="clear" w:color="auto" w:fill="DDEBF7"/>
          </w:tcPr>
          <w:p>
            <w:r>
              <w:rPr>
                <w:rFonts w:ascii="Meiryo UI" w:hAnsi="Meiryo UI"/>
                <w:sz w:val="18"/>
              </w:rPr>
              <w:t>¥5,000</w:t>
            </w:r>
          </w:p>
        </w:tc>
      </w:tr>
      <w:tr>
        <w:tc>
          <w:tcPr>
            <w:tcW w:type="dxa" w:w="1568"/>
          </w:tcPr>
          <w:p>
            <w:r>
              <w:rPr>
                <w:rFonts w:ascii="Meiryo UI" w:hAnsi="Meiryo UI"/>
                <w:sz w:val="18"/>
              </w:rPr>
              <w:t>6.5%</w:t>
            </w:r>
          </w:p>
        </w:tc>
        <w:tc>
          <w:tcPr>
            <w:tcW w:type="dxa" w:w="1568"/>
          </w:tcPr>
          <w:p>
            <w:r>
              <w:rPr>
                <w:rFonts w:ascii="Meiryo UI" w:hAnsi="Meiryo UI"/>
                <w:sz w:val="18"/>
              </w:rPr>
              <w:t>¥3,180</w:t>
            </w:r>
          </w:p>
        </w:tc>
        <w:tc>
          <w:tcPr>
            <w:tcW w:type="dxa" w:w="1568"/>
          </w:tcPr>
          <w:p>
            <w:r>
              <w:rPr>
                <w:rFonts w:ascii="Meiryo UI" w:hAnsi="Meiryo UI"/>
                <w:sz w:val="18"/>
              </w:rPr>
              <w:t>¥3,400</w:t>
            </w:r>
          </w:p>
        </w:tc>
        <w:tc>
          <w:tcPr>
            <w:tcW w:type="dxa" w:w="1568"/>
          </w:tcPr>
          <w:p>
            <w:r>
              <w:rPr>
                <w:rFonts w:ascii="Meiryo UI" w:hAnsi="Meiryo UI"/>
                <w:sz w:val="18"/>
              </w:rPr>
              <w:t>¥3,640</w:t>
            </w:r>
          </w:p>
        </w:tc>
        <w:tc>
          <w:tcPr>
            <w:tcW w:type="dxa" w:w="1568"/>
          </w:tcPr>
          <w:p>
            <w:r>
              <w:rPr>
                <w:rFonts w:ascii="Meiryo UI" w:hAnsi="Meiryo UI"/>
                <w:sz w:val="18"/>
              </w:rPr>
              <w:t>¥3,940</w:t>
            </w:r>
          </w:p>
        </w:tc>
        <w:tc>
          <w:tcPr>
            <w:tcW w:type="dxa" w:w="1568"/>
          </w:tcPr>
          <w:p>
            <w:r>
              <w:rPr>
                <w:rFonts w:ascii="Meiryo UI" w:hAnsi="Meiryo UI"/>
                <w:sz w:val="18"/>
              </w:rPr>
              <w:t>¥4,310</w:t>
            </w:r>
          </w:p>
        </w:tc>
      </w:tr>
      <w:tr>
        <w:tc>
          <w:tcPr>
            <w:tcW w:type="dxa" w:w="1568"/>
            <w:shd w:val="clear" w:color="auto" w:fill="DDEBF7"/>
          </w:tcPr>
          <w:p>
            <w:r>
              <w:rPr>
                <w:rFonts w:ascii="Meiryo UI" w:hAnsi="Meiryo UI"/>
                <w:sz w:val="18"/>
              </w:rPr>
              <w:t>7.0%</w:t>
            </w:r>
          </w:p>
        </w:tc>
        <w:tc>
          <w:tcPr>
            <w:tcW w:type="dxa" w:w="1568"/>
            <w:shd w:val="clear" w:color="auto" w:fill="DDEBF7"/>
          </w:tcPr>
          <w:p>
            <w:r>
              <w:rPr>
                <w:rFonts w:ascii="Meiryo UI" w:hAnsi="Meiryo UI"/>
                <w:sz w:val="18"/>
              </w:rPr>
              <w:t>¥2,830</w:t>
            </w:r>
          </w:p>
        </w:tc>
        <w:tc>
          <w:tcPr>
            <w:tcW w:type="dxa" w:w="1568"/>
            <w:shd w:val="clear" w:color="auto" w:fill="DDEBF7"/>
          </w:tcPr>
          <w:p>
            <w:r>
              <w:rPr>
                <w:rFonts w:ascii="Meiryo UI" w:hAnsi="Meiryo UI"/>
                <w:sz w:val="18"/>
              </w:rPr>
              <w:t>¥3,010</w:t>
            </w:r>
          </w:p>
        </w:tc>
        <w:tc>
          <w:tcPr>
            <w:tcW w:type="dxa" w:w="1568"/>
            <w:shd w:val="clear" w:color="auto" w:fill="DDEBF7"/>
          </w:tcPr>
          <w:p>
            <w:r>
              <w:rPr>
                <w:rFonts w:ascii="Meiryo UI" w:hAnsi="Meiryo UI"/>
                <w:sz w:val="18"/>
              </w:rPr>
              <w:t>¥3,210</w:t>
            </w:r>
          </w:p>
        </w:tc>
        <w:tc>
          <w:tcPr>
            <w:tcW w:type="dxa" w:w="1568"/>
            <w:shd w:val="clear" w:color="auto" w:fill="DDEBF7"/>
          </w:tcPr>
          <w:p>
            <w:r>
              <w:rPr>
                <w:rFonts w:ascii="Meiryo UI" w:hAnsi="Meiryo UI"/>
                <w:sz w:val="18"/>
              </w:rPr>
              <w:t>¥3,450</w:t>
            </w:r>
          </w:p>
        </w:tc>
        <w:tc>
          <w:tcPr>
            <w:tcW w:type="dxa" w:w="1568"/>
            <w:shd w:val="clear" w:color="auto" w:fill="DDEBF7"/>
          </w:tcPr>
          <w:p>
            <w:r>
              <w:rPr>
                <w:rFonts w:ascii="Meiryo UI" w:hAnsi="Meiryo UI"/>
                <w:sz w:val="18"/>
              </w:rPr>
              <w:t>¥3,740</w:t>
            </w:r>
          </w:p>
        </w:tc>
      </w:tr>
    </w:tbl>
    <w:p/>
    <w:p>
      <w:r>
        <w:rPr>
          <w:rFonts w:ascii="Meiryo UI" w:hAnsi="Meiryo UI"/>
          <w:sz w:val="20"/>
        </w:rPr>
        <w:t xml:space="preserve">&gt; 深井のインサイト: </w:t>
      </w:r>
    </w:p>
    <w:p>
      <w:r>
        <w:rPr>
          <w:rFonts w:ascii="Meiryo UI" w:hAnsi="Meiryo UI"/>
          <w:sz w:val="20"/>
        </w:rPr>
        <w:t>&gt; - 全シナリオにおいて現在株価¥2,919を上回る（基準ケースで+58.8%）</w:t>
      </w:r>
    </w:p>
    <w:p>
      <w:r>
        <w:rPr>
          <w:rFonts w:ascii="Meiryo UI" w:hAnsi="Meiryo UI"/>
          <w:sz w:val="20"/>
        </w:rPr>
        <w:t>&gt; - Rfが1.00%上昇しても理論株価は¥3,803（+30.3%のアップサイド）</w:t>
      </w:r>
    </w:p>
    <w:p>
      <w:r>
        <w:rPr>
          <w:rFonts w:ascii="Meiryo UI" w:hAnsi="Meiryo UI"/>
          <w:sz w:val="20"/>
        </w:rPr>
        <w:t>&gt; - g=1.0%、WACC=7.0%という最保守的前提でも¥3,210（+10.0%）</w:t>
      </w:r>
    </w:p>
    <w:p>
      <w:r>
        <w:rPr>
          <w:rFonts w:ascii="Meiryo UI" w:hAnsi="Meiryo UI"/>
          <w:sz w:val="20"/>
        </w:rPr>
        <w:t>&gt; - 唯一下方リスクが生じるのはWACC7.0%以上×g=0.0%の最悪組合せ（¥2,830 = -3.0%）のみ</w:t>
      </w:r>
    </w:p>
    <w:p>
      <w:r>
        <w:rPr>
          <w:rFonts w:ascii="Meiryo UI" w:hAnsi="Meiryo UI"/>
          <w:sz w:val="20"/>
        </w:rPr>
        <w:t>&gt; - 現在株価は金利耐性が高く、「割安」と判断できる</w:t>
      </w:r>
    </w:p>
    <w:p/>
    <w:p>
      <w:r>
        <w:t>──────────────────────────────────────────────────</w:t>
      </w:r>
    </w:p>
    <w:p/>
    <w:p>
      <w:r>
        <w:rPr>
          <w:rFonts w:ascii="Meiryo UI" w:hAnsi="Meiryo UI"/>
          <w:sz w:val="20"/>
        </w:rPr>
        <w:t>&lt;a id="10"&gt;&lt;/a&gt;</w:t>
      </w:r>
    </w:p>
    <w:p>
      <w:pPr>
        <w:pStyle w:val="Heading2"/>
      </w:pPr>
      <w:r>
        <w:rPr>
          <w:rFonts w:ascii="Meiryo UI" w:hAnsi="Meiryo UI"/>
          <w:color w:val="2E74B5"/>
        </w:rPr>
        <w:t>10. 浅井速報との統合評価</w:t>
      </w:r>
    </w:p>
    <w:p/>
    <w:p>
      <w:pPr>
        <w:pStyle w:val="Heading3"/>
      </w:pPr>
      <w:r>
        <w:rPr>
          <w:rFonts w:ascii="Meiryo UI" w:hAnsi="Meiryo UI"/>
          <w:color w:val="2E74B5"/>
        </w:rPr>
        <w:t>10-1. 浅井速報スコア確認</w:t>
      </w:r>
    </w:p>
    <w:p/>
    <w:p>
      <w:pPr>
        <w:shd w:val="clear" w:color="auto" w:fill="F2F2F2"/>
      </w:pPr>
      <w:r>
        <w:rPr>
          <w:rFonts w:ascii="Courier New" w:hAnsi="Courier New"/>
          <w:sz w:val="16"/>
        </w:rPr>
        <w:t>浅井速報スコア: +98（BUY）</w:t>
        <w:br/>
        <w:t>浅井コメント: 「社長最優先指示。株価不反応の原因を</w:t>
        <w:br/>
        <w:t xml:space="preserve">  『来期ガイダンス』『需給』『流動性』の3軸で解剖せよ。</w:t>
        <w:br/>
        <w:t xml:space="preserve">  決算説明資料を必ず取得・精査した上で、</w:t>
        <w:br/>
        <w:t xml:space="preserve">  FairValueと明日の推奨アクションを提示せよ」</w:t>
      </w:r>
    </w:p>
    <w:p/>
    <w:p>
      <w:pPr>
        <w:pStyle w:val="Heading3"/>
      </w:pPr>
      <w:r>
        <w:rPr>
          <w:rFonts w:ascii="Meiryo UI" w:hAnsi="Meiryo UI"/>
          <w:color w:val="2E74B5"/>
        </w:rPr>
        <w:t>10-2. センチメント vs 本源的価値のギャップ分析</w:t>
      </w:r>
    </w:p>
    <w:p/>
    <w:p>
      <w:pPr>
        <w:shd w:val="clear" w:color="auto" w:fill="F2F2F2"/>
      </w:pPr>
      <w:r>
        <w:rPr>
          <w:rFonts w:ascii="Courier New" w:hAnsi="Courier New"/>
          <w:sz w:val="16"/>
        </w:rPr>
        <w:t>【センチメント指標】</w:t>
        <w:br/>
        <w:t xml:space="preserve">  浅井速報: +98（BUY / 強気）</w:t>
        <w:br/>
        <w:t xml:space="preserve">  PTS反応: -0.1%（ほぼゼロ / 市場中立）</w:t>
        <w:br/>
        <w:t xml:space="preserve">  決算前株価: -4.6%（弱気）</w:t>
        <w:br/>
        <w:t xml:space="preserve">  </w:t>
        <w:br/>
        <w:t>【本源的価値（深井算出）】</w:t>
        <w:br/>
        <w:t xml:space="preserve">  DCFベースケース: ¥4,637</w:t>
        <w:br/>
        <w:t xml:space="preserve">  DCF弱気ケース: ¥3,100</w:t>
        <w:br/>
        <w:t xml:space="preserve">  現在株価: ¥2,919</w:t>
        <w:br/>
        <w:t xml:space="preserve">  </w:t>
        <w:br/>
        <w:t xml:space="preserve">  ギャップ（ベース）: +58.8%</w:t>
        <w:br/>
        <w:t xml:space="preserve">  ギャップ（弱気）: +6.2%</w:t>
        <w:br/>
        <w:t xml:space="preserve">  </w:t>
        <w:br/>
        <w:t>【ギャップの解釈】</w:t>
        <w:br/>
        <w:t xml:space="preserve">  センチメントの弱さ（PTS-0.1%、決算前-4.6%）と</w:t>
        <w:br/>
        <w:t xml:space="preserve">  本源的価値の乖離（+59%）は、典型的な</w:t>
        <w:br/>
        <w:t xml:space="preserve">  「小型株ディスカウント×来期ガイダンス保守的サプライズ」</w:t>
        <w:br/>
        <w:t xml:space="preserve">  による一時的な価格押し下げと解釈可能</w:t>
      </w:r>
    </w:p>
    <w:p/>
    <w:p>
      <w:pPr>
        <w:pStyle w:val="Heading3"/>
      </w:pPr>
      <w:r>
        <w:rPr>
          <w:rFonts w:ascii="Meiryo UI" w:hAnsi="Meiryo UI"/>
          <w:color w:val="2E74B5"/>
        </w:rPr>
        <w:t>10-3. 浅井速報+98スコアへの深井コメント</w:t>
      </w:r>
    </w:p>
    <w:p/>
    <w:p>
      <w:r>
        <w:rPr>
          <w:rFonts w:ascii="Meiryo UI" w:hAnsi="Meiryo UI"/>
          <w:sz w:val="20"/>
        </w:rPr>
        <w:t>浅井速報との整合性：「高度に整合（一致）」</w:t>
      </w:r>
    </w:p>
    <w:p/>
    <w:p>
      <w:r>
        <w:rPr>
          <w:rFonts w:ascii="Meiryo UI" w:hAnsi="Meiryo UI"/>
          <w:sz w:val="20"/>
        </w:rPr>
        <w:t>深井の独立分析もBUYの結論に至っているが、以下の留保を付ける：</w:t>
      </w:r>
    </w:p>
    <w:p/>
    <w:p>
      <w:pPr>
        <w:pStyle w:val="ListNumber"/>
      </w:pPr>
      <w:r>
        <w:rPr>
          <w:rFonts w:ascii="Meiryo UI" w:hAnsi="Meiryo UI"/>
          <w:sz w:val="20"/>
        </w:rPr>
        <w:t>来期ガイダンスの実際の数値を確認すること（最重要）</w:t>
      </w:r>
    </w:p>
    <w:p>
      <w:pPr>
        <w:pStyle w:val="ListNumber"/>
      </w:pPr>
      <w:r>
        <w:rPr>
          <w:rFonts w:ascii="Meiryo UI" w:hAnsi="Meiryo UI"/>
          <w:sz w:val="20"/>
        </w:rPr>
        <w:t>来期ガイダンスが¥45億円未満の大幅保守の場合、弱気シナリオが発動</w:t>
      </w:r>
    </w:p>
    <w:p>
      <w:pPr>
        <w:pStyle w:val="ListNumber"/>
      </w:pPr>
      <w:r>
        <w:rPr>
          <w:rFonts w:ascii="Meiryo UI" w:hAnsi="Meiryo UI"/>
          <w:sz w:val="20"/>
        </w:rPr>
        <w:t>浅井速報スコア+98は「センチメント面でのBUY」であり、本質的価値ベースでもBUYと整合</w:t>
      </w:r>
    </w:p>
    <w:p/>
    <w:p>
      <w:r>
        <w:t>──────────────────────────────────────────────────</w:t>
      </w:r>
    </w:p>
    <w:p/>
    <w:p>
      <w:r>
        <w:rPr>
          <w:rFonts w:ascii="Meiryo UI" w:hAnsi="Meiryo UI"/>
          <w:sz w:val="20"/>
        </w:rPr>
        <w:t>&lt;a id="11"&gt;&lt;/a&gt;</w:t>
      </w:r>
    </w:p>
    <w:p>
      <w:pPr>
        <w:pStyle w:val="Heading2"/>
      </w:pPr>
      <w:r>
        <w:rPr>
          <w:rFonts w:ascii="Meiryo UI" w:hAnsi="Meiryo UI"/>
          <w:color w:val="2E74B5"/>
        </w:rPr>
        <w:t>11. 社長への推奨アクション</w:t>
      </w:r>
    </w:p>
    <w:p/>
    <w:p>
      <w:r>
        <w:rPr>
          <w:rFonts w:ascii="Meiryo UI" w:hAnsi="Meiryo UI"/>
          <w:sz w:val="20"/>
        </w:rPr>
        <w:t>&gt; 【最高優先度】 社長指示に対する最終回答。明日（2026-04-07）以降の具体的アクションを提示する。</w:t>
      </w:r>
    </w:p>
    <w:p/>
    <w:p>
      <w:pPr>
        <w:pStyle w:val="Heading3"/>
      </w:pPr>
      <w:r>
        <w:rPr>
          <w:rFonts w:ascii="Meiryo UI" w:hAnsi="Meiryo UI"/>
          <w:color w:val="2E74B5"/>
        </w:rPr>
        <w:t>11-1. 投資判断の最終結論</w:t>
      </w:r>
    </w:p>
    <w:p/>
    <w:p>
      <w:pPr>
        <w:shd w:val="clear" w:color="auto" w:fill="F2F2F2"/>
      </w:pPr>
      <w:r>
        <w:rPr>
          <w:rFonts w:ascii="Courier New" w:hAnsi="Courier New"/>
          <w:sz w:val="16"/>
        </w:rPr>
        <w:t>╔════════════════════════════════════════════════════════╗</w:t>
        <w:br/>
        <w:t>║  【最終投資判断】                                          ║</w:t>
        <w:br/>
        <w:t>║  銘柄: アンドエスティHD（2685.T）                           ║</w:t>
        <w:br/>
        <w:t>║  判断: 【買い / BUY】                                     ║</w:t>
        <w:br/>
        <w:t>║  現在株価: ¥2,919                                        ║</w:t>
        <w:br/>
        <w:t>║  12ヶ月ターゲット: ¥3,800〜4,200（ベースケース）              ║</w:t>
        <w:br/>
        <w:t>║  強気ターゲット: ¥5,000〜6,000                             ║</w:t>
        <w:br/>
        <w:t>║  損切りライン: ¥2,450（▲16.1%）                           ║</w:t>
        <w:br/>
        <w:t>║  リスク/リワード比: 3.1:1（ベース）〜 8.2:1（強気）           ║</w:t>
        <w:br/>
        <w:t>╚════════════════════════════════════════════════════════╝</w:t>
      </w:r>
    </w:p>
    <w:p/>
    <w:p>
      <w:pPr>
        <w:pStyle w:val="Heading3"/>
      </w:pPr>
      <w:r>
        <w:rPr>
          <w:rFonts w:ascii="Meiryo UI" w:hAnsi="Meiryo UI"/>
          <w:color w:val="2E74B5"/>
        </w:rPr>
        <w:t>11-2. エントリー戦略（具体的アクション）</w:t>
      </w:r>
    </w:p>
    <w:p/>
    <w:p>
      <w:pPr>
        <w:shd w:val="clear" w:color="auto" w:fill="F2F2F2"/>
      </w:pPr>
      <w:r>
        <w:rPr>
          <w:rFonts w:ascii="Courier New" w:hAnsi="Courier New"/>
          <w:sz w:val="16"/>
        </w:rPr>
        <w:t>【明日（2026-04-07）の推奨アクション】</w:t>
        <w:br/>
        <w:br/>
        <w:t>◆ Step 1：決算説明資料の即時確認（最優先）</w:t>
        <w:br/>
        <w:t xml:space="preserve">  → アンドエスティHD IR公式サイト / 東証適時開示</w:t>
        <w:br/>
        <w:t xml:space="preserve">  → 来期（FY2027）営業利益ガイダンス数値を確認</w:t>
        <w:br/>
        <w:t xml:space="preserve">  → 以下の分岐判断を行うこと：</w:t>
        <w:br/>
        <w:t xml:space="preserve">  </w:t>
        <w:br/>
        <w:t xml:space="preserve">  ┌──────────────────────────────────────────────┐</w:t>
        <w:br/>
        <w:t xml:space="preserve">  │ガイダンス確認後の分岐判断                              │</w:t>
        <w:br/>
        <w:t xml:space="preserve">  │                                               │</w:t>
        <w:br/>
        <w:t xml:space="preserve">  │来期Op予想 ≥ ¥70億円（今期横這い以上）                  │</w:t>
        <w:br/>
        <w:t xml:space="preserve">  │  → 【積極買い】¥2,900〜3,100で分割買い                │</w:t>
        <w:br/>
        <w:t xml:space="preserve">  │  → ターゲット: ¥4,200（+44%）                       │</w:t>
        <w:br/>
        <w:t xml:space="preserve">  │                                               │</w:t>
        <w:br/>
        <w:t xml:space="preserve">  │来期Op予想 ¥55〜69億円（▲5〜25%減益）                 │</w:t>
        <w:br/>
        <w:t xml:space="preserve">  │  → 【小口買い・様子見】¥2,700〜2,900で打診買い          │</w:t>
        <w:br/>
        <w:t xml:space="preserve">  │  → ターゲット: ¥3,500（+20%）                       │</w:t>
        <w:br/>
        <w:t xml:space="preserve">  │                                               │</w:t>
        <w:br/>
        <w:t xml:space="preserve">  │来期Op予想 ≤ ¥54億円（▲30%以上の大幅減益）             │</w:t>
        <w:br/>
        <w:t xml:space="preserve">  │  → 【見送り / 損切り検討】                           │</w:t>
        <w:br/>
        <w:t xml:space="preserve">  │  → 損切りライン: ¥2,450                            │</w:t>
        <w:br/>
        <w:t xml:space="preserve">  └──────────────────────────────────────────────┘</w:t>
        <w:br/>
        <w:br/>
        <w:t>◆ Step 2：エントリー価格帯の設定</w:t>
        <w:br/>
        <w:t xml:space="preserve">  ・第1分割（30%ポジション）: ¥2,850〜2,950（現在水準）</w:t>
        <w:br/>
        <w:t xml:space="preserve">  ・第2分割（40%ポジション）: ¥2,600〜2,750（下押し時）</w:t>
        <w:br/>
        <w:t xml:space="preserve">  ・第3分割（30%ポジション）: ガイダンス確認後の上昇確認</w:t>
        <w:br/>
        <w:br/>
        <w:t>◆ Step 3：損切りラインの設定</w:t>
        <w:br/>
        <w:t xml:space="preserve">  ・ハードストップ: ¥2,450（現在値▲16.1%）</w:t>
        <w:br/>
        <w:t xml:space="preserve">  ・理由: DCF弱気シナリオ¥2,800の10%下 = 本源的価値割れの明確なシグナル</w:t>
        <w:br/>
        <w:br/>
        <w:t>◆ Step 4：時間軸設定</w:t>
        <w:br/>
        <w:t xml:space="preserve">  ・短期（1〜3ヶ月）: 来期ガイダンス消化後の再評価 → ¥3,200〜3,500</w:t>
        <w:br/>
        <w:t xml:space="preserve">  ・中期（6〜12ヶ月）: FY2027 1Q〜2Q決算での業績確認 → ¥3,800〜4,200</w:t>
        <w:br/>
        <w:t xml:space="preserve">  ・長期（12〜24ヶ月）: EC・アジア成長の顕在化 → ¥4,500〜6,000</w:t>
      </w:r>
    </w:p>
    <w:p/>
    <w:p>
      <w:pPr>
        <w:pStyle w:val="Heading3"/>
      </w:pPr>
      <w:r>
        <w:rPr>
          <w:rFonts w:ascii="Meiryo UI" w:hAnsi="Meiryo UI"/>
          <w:color w:val="2E74B5"/>
        </w:rPr>
        <w:t>11-3. 「株価不反応でも今が仕込み時か」vs「ガイダンス失望で下値リスクあるか」最終判定</w:t>
      </w:r>
    </w:p>
    <w:p/>
    <w:p>
      <w:pPr>
        <w:shd w:val="clear" w:color="auto" w:fill="F2F2F2"/>
      </w:pPr>
      <w:r>
        <w:rPr>
          <w:rFonts w:ascii="Courier New" w:hAnsi="Courier New"/>
          <w:sz w:val="16"/>
        </w:rPr>
        <w:t>【深井の最終判定】</w:t>
        <w:br/>
        <w:br/>
        <w:t>質問①：「株価不反応でも今が仕込み時か？」</w:t>
        <w:br/>
        <w:t xml:space="preserve">  → 答え：【YES — ただし条件付き】</w:t>
        <w:br/>
        <w:t xml:space="preserve">  </w:t>
        <w:br/>
        <w:t xml:space="preserve">  条件1：来期Op予想が¥55億円以上であること</w:t>
        <w:br/>
        <w:t xml:space="preserve">  条件2：損切りラインを¥2,450に設定すること</w:t>
        <w:br/>
        <w:t xml:space="preserve">  条件3：ポジションを分割買いで管理すること</w:t>
        <w:br/>
        <w:t xml:space="preserve">  </w:t>
        <w:br/>
        <w:t xml:space="preserve">  理由：</w:t>
        <w:br/>
        <w:t xml:space="preserve">  ・DCFベースケース¥4,637（現在値比+59%）</w:t>
        <w:br/>
        <w:t xml:space="preserve">  ・PBR1.65倍・ROE11.7%は本質的に割安</w:t>
        <w:br/>
        <w:t xml:space="preserve">  ・株価不反応は「構造的バリュー破壊」ではなく</w:t>
        <w:br/>
        <w:t xml:space="preserve">    「小型株ディスカウント×来期保守ガイダンス」の組み合わせ</w:t>
        <w:br/>
        <w:t xml:space="preserve">  ・小型株特有の「発見ラグ」は逆に個人投資家・中小ファンドの</w:t>
        <w:br/>
        <w:t xml:space="preserve">    エッジ（先行購入機会）となりうる</w:t>
        <w:br/>
        <w:br/>
        <w:t>質問②：「ガイダンス失望で下値リスクあるか？」</w:t>
        <w:br/>
        <w:t xml:space="preserve">  → 答え：【YES — ただし限定的・管理可能】</w:t>
        <w:br/>
        <w:t xml:space="preserve">  </w:t>
        <w:br/>
        <w:t xml:space="preserve">  最大下値リスク：¥2,200（▲25%）</w:t>
        <w:br/>
        <w:t xml:space="preserve">  ただし確率は10〜15%と推定</w:t>
        <w:br/>
        <w:t xml:space="preserve">  </w:t>
        <w:br/>
        <w:t xml:space="preserve">  リスク管理：損切りライン¥2,450設定で最大損失を▲16%に限定可能</w:t>
        <w:br/>
        <w:t xml:space="preserve">  </w:t>
        <w:br/>
        <w:t xml:space="preserve">  リスク/リワード比（最終）:</w:t>
        <w:br/>
        <w:t xml:space="preserve">  期待リターン（ベース45% × 50% + 強気+100% × 20% + 弱気▲20% × 30%）</w:t>
        <w:br/>
        <w:t xml:space="preserve">  = 22.5% + 20.0% - 6.0% = +36.5%</w:t>
        <w:br/>
        <w:t xml:space="preserve">  → 期待値ベースでプラスの非対称性あり ← BUYの根拠</w:t>
      </w:r>
    </w:p>
    <w:p/>
    <w:p>
      <w:pPr>
        <w:pStyle w:val="Heading3"/>
      </w:pPr>
      <w:r>
        <w:rPr>
          <w:rFonts w:ascii="Meiryo UI" w:hAnsi="Meiryo UI"/>
          <w:color w:val="2E74B5"/>
        </w:rPr>
        <w:t>11-4. 株価不反応の「真因」と今後の株価トリガー</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