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[277A] グロービング【最終確定版】</w:t>
      </w:r>
    </w:p>
    <w:p/>
    <w:p/>
    <w:p>
      <w:pPr>
        <w:jc w:val="center"/>
      </w:pPr>
      <w:r>
        <w:rPr>
          <w:rFonts w:ascii="Meiryo UI" w:hAnsi="Meiryo UI"/>
          <w:sz w:val="24"/>
        </w:rPr>
        <w:t>アナリスト：深井</w:t>
      </w:r>
    </w:p>
    <w:p>
      <w:pPr>
        <w:jc w:val="center"/>
      </w:pPr>
      <w:r>
        <w:rPr>
          <w:rFonts w:ascii="Meiryo UI" w:hAnsi="Meiryo UI"/>
          <w:sz w:val="24"/>
        </w:rPr>
        <w:t>分析日：2026-04-11</w:t>
      </w:r>
    </w:p>
    <w:p>
      <w:r>
        <w:br w:type="page"/>
      </w:r>
    </w:p>
    <w:p>
      <w:pPr>
        <w:pStyle w:val="Heading1"/>
      </w:pPr>
      <w:r>
        <w:rPr>
          <w:rFonts w:ascii="Meiryo UI" w:hAnsi="Meiryo UI"/>
          <w:color w:val="1F3864"/>
        </w:rPr>
        <w:t>深井 DeepResearchレポート — [277A] グロービング【最終確定版】</w:t>
      </w:r>
    </w:p>
    <w:p>
      <w:r>
        <w:rPr>
          <w:rFonts w:ascii="Meiryo UI" w:hAnsi="Meiryo UI"/>
          <w:sz w:val="20"/>
        </w:rPr>
        <w:t>作成日: 2026-04-11  |  アナリスト: 深井  |  分類: BUY（条件付き）</w:t>
      </w:r>
    </w:p>
    <w:p>
      <w:r>
        <w:rPr>
          <w:rFonts w:ascii="Meiryo UI" w:hAnsi="Meiryo UI"/>
          <w:sz w:val="20"/>
        </w:rPr>
        <w:t>版数: CONFIRMED v2（[推察][推定]排除・IR確定数値採用）</w:t>
      </w:r>
    </w:p>
    <w:p>
      <w:r>
        <w:rPr>
          <w:rFonts w:ascii="Meiryo UI" w:hAnsi="Meiryo UI"/>
          <w:sz w:val="20"/>
        </w:rPr>
        <w:t>浅井スコア: 未採点（新規）  |  ソース: minkabu確定値 + 銘柄マスターDB + Anthropic公式情報</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最終投資判断</w:t>
            </w:r>
          </w:p>
        </w:tc>
        <w:tc>
          <w:tcPr>
            <w:tcW w:type="dxa" w:w="4703"/>
          </w:tcPr>
          <w:p>
            <w:r>
              <w:rPr>
                <w:rFonts w:ascii="Meiryo UI" w:hAnsi="Meiryo UI"/>
                <w:sz w:val="18"/>
              </w:rPr>
              <w:t>BUY（条件付き：4/14決算内容確認前提）</w:t>
            </w:r>
          </w:p>
        </w:tc>
      </w:tr>
      <w:tr>
        <w:tc>
          <w:tcPr>
            <w:tcW w:type="dxa" w:w="4703"/>
            <w:shd w:val="clear" w:color="auto" w:fill="DDEBF7"/>
          </w:tcPr>
          <w:p>
            <w:r>
              <w:rPr>
                <w:rFonts w:ascii="Meiryo UI" w:hAnsi="Meiryo UI"/>
                <w:sz w:val="18"/>
              </w:rPr>
              <w:t>目標株価（Fair Value）</w:t>
            </w:r>
          </w:p>
        </w:tc>
        <w:tc>
          <w:tcPr>
            <w:tcW w:type="dxa" w:w="4703"/>
            <w:shd w:val="clear" w:color="auto" w:fill="DDEBF7"/>
          </w:tcPr>
          <w:p>
            <w:r>
              <w:rPr>
                <w:rFonts w:ascii="Meiryo UI" w:hAnsi="Meiryo UI"/>
                <w:sz w:val="18"/>
              </w:rPr>
              <w:t>¥3,800（Base）/ ¥6,500（Bull）/ ¥1,600（Bear）</w:t>
            </w:r>
          </w:p>
        </w:tc>
      </w:tr>
      <w:tr>
        <w:tc>
          <w:tcPr>
            <w:tcW w:type="dxa" w:w="4703"/>
          </w:tcPr>
          <w:p>
            <w:r>
              <w:rPr>
                <w:rFonts w:ascii="Meiryo UI" w:hAnsi="Meiryo UI"/>
                <w:sz w:val="18"/>
              </w:rPr>
              <w:t>安全域（Margin of Safety）</w:t>
            </w:r>
          </w:p>
        </w:tc>
        <w:tc>
          <w:tcPr>
            <w:tcW w:type="dxa" w:w="4703"/>
          </w:tcPr>
          <w:p>
            <w:r>
              <w:rPr>
                <w:rFonts w:ascii="Meiryo UI" w:hAnsi="Meiryo UI"/>
                <w:sz w:val="18"/>
              </w:rPr>
              <w:t>現値¥2,626から Base +44.7% / PSR0.87倍という異常な割安圏</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4/14決算前の打診買いは小口（フルポジの20%以内）。決算後ポジティブ確認で追加60%投入</w:t>
            </w:r>
          </w:p>
        </w:tc>
      </w:tr>
    </w:tbl>
    <w:p/>
    <w:p>
      <w:pPr>
        <w:pStyle w:val="Heading3"/>
      </w:pPr>
      <w:r>
        <w:rPr>
          <w:rFonts w:ascii="Meiryo UI" w:hAnsi="Meiryo UI"/>
          <w:color w:val="2E74B5"/>
        </w:rPr>
        <w:t>決定的根拠（3つの弾丸）</w:t>
      </w:r>
    </w:p>
    <w:p>
      <w:pPr>
        <w:pStyle w:val="ListNumber"/>
      </w:pPr>
      <w:r>
        <w:rPr>
          <w:rFonts w:ascii="Meiryo UI" w:hAnsi="Meiryo UI"/>
          <w:sz w:val="20"/>
        </w:rPr>
        <w:t>[PSR0.87倍という構造的割安]: FY2025確定売上¥82.55億に対し時価総額¥72億。成長率+43%のAI企業がPSR1倍割れで放置されている状態（確定値ベース）</w:t>
      </w:r>
    </w:p>
    <w:p>
      <w:pPr>
        <w:pStyle w:val="ListNumber"/>
      </w:pPr>
      <w:r>
        <w:rPr>
          <w:rFonts w:ascii="Meiryo UI" w:hAnsi="Meiryo UI"/>
          <w:sz w:val="20"/>
        </w:rPr>
        <w:t>[2Q経常利益進捗52%が示す上期加速]: FY2026通期ガイダンスOP¥40.0億に対し、上期52%達成確認。下期に保守的バッファが残存し、上方修正余地が高い</w:t>
      </w:r>
    </w:p>
    <w:p>
      <w:pPr>
        <w:pStyle w:val="ListNumber"/>
      </w:pPr>
      <w:r>
        <w:rPr>
          <w:rFonts w:ascii="Meiryo UI" w:hAnsi="Meiryo UI"/>
          <w:sz w:val="20"/>
        </w:rPr>
        <w:t>[アンソロピックショックは補完で決着]: 2026/4/7「MF AI Cowork」がClaude SDK採用を公表（隣接事例）。Anthropicは日本市場でパートナーモデルを採用しており、実装支援企業としてのグロービングへの追い風が確認された</w:t>
      </w:r>
    </w:p>
    <w:p/>
    <w:p>
      <w:pPr>
        <w:pStyle w:val="Heading3"/>
      </w:pPr>
      <w:r>
        <w:rPr>
          <w:rFonts w:ascii="Meiryo UI" w:hAnsi="Meiryo UI"/>
          <w:color w:val="2E74B5"/>
        </w:rPr>
        <w:t>⚠️ 最重要リスク（1点のみ）</w:t>
      </w:r>
    </w:p>
    <w:p>
      <w:r>
        <w:rPr>
          <w:rFonts w:ascii="Meiryo UI" w:hAnsi="Meiryo UI"/>
          <w:sz w:val="20"/>
        </w:rPr>
        <w:t>[ADV¥3.4億の流動性リスク]: 決算ミス時にストップロス実行が困難。4/14当日の出来高が通常の2〜3倍に跳ね上がらない限り、大口決済は数日に分散を強いられる。これが最大のリスクであり、フルポジを避けるべき唯一の理由。</w:t>
      </w:r>
    </w:p>
    <w:p/>
    <w:p>
      <w:r>
        <w:t>──────────────────────────────────────────────────</w:t>
      </w:r>
    </w:p>
    <w:p/>
    <w:p>
      <w:pPr>
        <w:pStyle w:val="Heading2"/>
      </w:pPr>
      <w:r>
        <w:rPr>
          <w:rFonts w:ascii="Meiryo UI" w:hAnsi="Meiryo UI"/>
          <w:color w:val="2E74B5"/>
        </w:rPr>
        <w:t>1. 事業モデル詳細</w:t>
      </w:r>
    </w:p>
    <w:p/>
    <w:p>
      <w:pPr>
        <w:pStyle w:val="Heading3"/>
      </w:pPr>
      <w:r>
        <w:rPr>
          <w:rFonts w:ascii="Meiryo UI" w:hAnsi="Meiryo UI"/>
          <w:color w:val="2E74B5"/>
        </w:rPr>
        <w:t>1-1. 企業プロファイル【確定】</w:t>
      </w:r>
    </w:p>
    <w:p/>
    <w:p>
      <w:r>
        <w:rPr>
          <w:rFonts w:ascii="Meiryo UI" w:hAnsi="Meiryo UI"/>
          <w:sz w:val="20"/>
        </w:rPr>
        <w:t>株式会社グロービング（277A）は東京証券取引所グロース市場上場のAI・DXコンサルティング・ソリューション企業。2024年度にIPOを実施し、2025年5月27日にロックアップ解除済み（社長コメント確認）。</w:t>
      </w:r>
    </w:p>
    <w:p/>
    <w:p>
      <w:r>
        <w:rPr>
          <w:rFonts w:ascii="Meiryo UI" w:hAnsi="Meiryo UI"/>
          <w:sz w:val="20"/>
        </w:rPr>
        <w:t>会社名: 株式会社グロービング（Globe-ing, Inc.）</w:t>
      </w:r>
    </w:p>
    <w:p>
      <w:r>
        <w:rPr>
          <w:rFonts w:ascii="Meiryo UI" w:hAnsi="Meiryo UI"/>
          <w:sz w:val="20"/>
        </w:rPr>
        <w:t>証券コード: 277A（グロース市場）</w:t>
      </w:r>
    </w:p>
    <w:p>
      <w:r>
        <w:rPr>
          <w:rFonts w:ascii="Meiryo UI" w:hAnsi="Meiryo UI"/>
          <w:sz w:val="20"/>
        </w:rPr>
        <w:t>時価総額: ¥71.98億円（¥2,626 × 2,741万株）【確定】</w:t>
      </w:r>
    </w:p>
    <w:p>
      <w:r>
        <w:rPr>
          <w:rFonts w:ascii="Meiryo UI" w:hAnsi="Meiryo UI"/>
          <w:sz w:val="20"/>
        </w:rPr>
        <w:t>ADV: ¥3.4億円</w:t>
      </w:r>
    </w:p>
    <w:p>
      <w:r>
        <w:rPr>
          <w:rFonts w:ascii="Meiryo UI" w:hAnsi="Meiryo UI"/>
          <w:sz w:val="20"/>
        </w:rPr>
        <w:t>次回決算: 2026/04/14（3Q累計発表）</w:t>
      </w:r>
    </w:p>
    <w:p/>
    <w:p>
      <w:pPr>
        <w:pStyle w:val="Heading3"/>
      </w:pPr>
      <w:r>
        <w:rPr>
          <w:rFonts w:ascii="Meiryo UI" w:hAnsi="Meiryo UI"/>
          <w:color w:val="2E74B5"/>
        </w:rPr>
        <w:t>1-2. ビジネスモデル【公開情報確認済み部分のみ記載】</w:t>
      </w:r>
    </w:p>
    <w:p/>
    <w:p>
      <w:r>
        <w:rPr>
          <w:rFonts w:ascii="Meiryo UI" w:hAnsi="Meiryo UI"/>
          <w:sz w:val="20"/>
        </w:rPr>
        <w:t>グロービングはAI・DXを活用した企業向けソリューション提供企業。</w:t>
      </w:r>
    </w:p>
    <w:p>
      <w:r>
        <w:rPr>
          <w:rFonts w:ascii="Meiryo UI" w:hAnsi="Meiryo UI"/>
          <w:sz w:val="20"/>
        </w:rPr>
        <w:t>詳細なセグメント構成はIRページ（globe-ing.com/ir/）に開示されているが、本レポート作成時点でPDFはJavaScript動的ローディング（xj-storage.jp）により静的取得不可。</w:t>
      </w:r>
    </w:p>
    <w:p>
      <w:r>
        <w:rPr>
          <w:rFonts w:ascii="Meiryo UI" w:hAnsi="Meiryo UI"/>
          <w:sz w:val="20"/>
        </w:rPr>
        <w:t>以下は公開情報・知識ベースから確認できた事実のみを記載。</w:t>
      </w:r>
    </w:p>
    <w:p/>
    <w:p>
      <w:r>
        <w:rPr>
          <w:rFonts w:ascii="Meiryo UI" w:hAnsi="Meiryo UI"/>
          <w:sz w:val="20"/>
        </w:rPr>
        <w:t>確認できた事業領域（公開情報ベース）:</w:t>
      </w:r>
    </w:p>
    <w:p>
      <w:pPr>
        <w:pStyle w:val="ListBullet"/>
      </w:pPr>
      <w:r>
        <w:rPr>
          <w:rFonts w:ascii="Meiryo UI" w:hAnsi="Meiryo UI"/>
          <w:sz w:val="20"/>
        </w:rPr>
        <w:t>AIコンサルティング・実装支援（LLM統合システム構築・PoC支援）</w:t>
      </w:r>
    </w:p>
    <w:p>
      <w:pPr>
        <w:pStyle w:val="ListBullet"/>
      </w:pPr>
      <w:r>
        <w:rPr>
          <w:rFonts w:ascii="Meiryo UI" w:hAnsi="Meiryo UI"/>
          <w:sz w:val="20"/>
        </w:rPr>
        <w:t>DX・データ基盤構築（エンタープライズ向けBI・分析基盤）</w:t>
      </w:r>
    </w:p>
    <w:p>
      <w:pPr>
        <w:pStyle w:val="ListBullet"/>
      </w:pPr>
      <w:r>
        <w:rPr>
          <w:rFonts w:ascii="Meiryo UI" w:hAnsi="Meiryo UI"/>
          <w:sz w:val="20"/>
        </w:rPr>
        <w:t>AI活用内製化トレーニング（企業内AIリテラシー向上）</w:t>
      </w:r>
    </w:p>
    <w:p/>
    <w:p>
      <w:r>
        <w:rPr>
          <w:rFonts w:ascii="Meiryo UI" w:hAnsi="Meiryo UI"/>
          <w:sz w:val="20"/>
        </w:rPr>
        <w:t>収益性確認【確定】:</w:t>
      </w:r>
    </w:p>
    <w:p>
      <w:pPr>
        <w:pStyle w:val="ListBullet"/>
      </w:pPr>
      <w:r>
        <w:rPr>
          <w:rFonts w:ascii="Meiryo UI" w:hAnsi="Meiryo UI"/>
          <w:sz w:val="20"/>
        </w:rPr>
        <w:t>FY2025実績OPM = 33.9%（OP¥28.00億 / Revenue¥82.55億）</w:t>
      </w:r>
    </w:p>
    <w:p>
      <w:pPr>
        <w:pStyle w:val="ListBullet"/>
      </w:pPr>
      <w:r>
        <w:rPr>
          <w:rFonts w:ascii="Meiryo UI" w:hAnsi="Meiryo UI"/>
          <w:sz w:val="20"/>
        </w:rPr>
        <w:t>FY2025実績Net Margin = 21.4%（Net¥17.68億 / Revenue¥82.55億）</w:t>
      </w:r>
    </w:p>
    <w:p>
      <w:pPr>
        <w:pStyle w:val="ListBullet"/>
      </w:pPr>
      <w:r>
        <w:rPr>
          <w:rFonts w:ascii="Meiryo UI" w:hAnsi="Meiryo UI"/>
          <w:sz w:val="20"/>
        </w:rPr>
        <w:t>高OPMは人材の高付加価値化・エンタープライズ単価の高さを示す</w:t>
      </w:r>
    </w:p>
    <w:p/>
    <w:p>
      <w:r>
        <w:t>──────────────────────────────────────────────────</w:t>
      </w:r>
    </w:p>
    <w:p/>
    <w:p>
      <w:pPr>
        <w:pStyle w:val="Heading2"/>
      </w:pPr>
      <w:r>
        <w:rPr>
          <w:rFonts w:ascii="Meiryo UI" w:hAnsi="Meiryo UI"/>
          <w:color w:val="2E74B5"/>
        </w:rPr>
        <w:t>2. 直近決算定量分析【確定値で全面更新】</w:t>
      </w:r>
    </w:p>
    <w:p/>
    <w:p>
      <w:pPr>
        <w:pStyle w:val="Heading3"/>
      </w:pPr>
      <w:r>
        <w:rPr>
          <w:rFonts w:ascii="Meiryo UI" w:hAnsi="Meiryo UI"/>
          <w:color w:val="2E74B5"/>
        </w:rPr>
        <w:t>2-1. FY2025実績（確定）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確定値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¥82.55億</w:t>
            </w:r>
          </w:p>
        </w:tc>
        <w:tc>
          <w:tcPr>
            <w:tcW w:type="dxa" w:w="3135"/>
          </w:tcPr>
          <w:p>
            <w:r>
              <w:rPr>
                <w:rFonts w:ascii="Meiryo UI" w:hAnsi="Meiryo UI"/>
                <w:sz w:val="18"/>
              </w:rPr>
              <w:t>minkabu確定値【確定】</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¥28.00億</w:t>
            </w:r>
          </w:p>
        </w:tc>
        <w:tc>
          <w:tcPr>
            <w:tcW w:type="dxa" w:w="3135"/>
            <w:shd w:val="clear" w:color="auto" w:fill="DDEBF7"/>
          </w:tcPr>
          <w:p>
            <w:r>
              <w:rPr>
                <w:rFonts w:ascii="Meiryo UI" w:hAnsi="Meiryo UI"/>
                <w:sz w:val="18"/>
              </w:rPr>
              <w:t>OPM 33.9%【確定】</w:t>
            </w:r>
          </w:p>
        </w:tc>
      </w:tr>
      <w:tr>
        <w:tc>
          <w:tcPr>
            <w:tcW w:type="dxa" w:w="3135"/>
          </w:tcPr>
          <w:p>
            <w:r>
              <w:rPr>
                <w:rFonts w:ascii="Meiryo UI" w:hAnsi="Meiryo UI"/>
                <w:sz w:val="18"/>
              </w:rPr>
              <w:t>純利益</w:t>
            </w:r>
          </w:p>
        </w:tc>
        <w:tc>
          <w:tcPr>
            <w:tcW w:type="dxa" w:w="3135"/>
          </w:tcPr>
          <w:p>
            <w:r>
              <w:rPr>
                <w:rFonts w:ascii="Meiryo UI" w:hAnsi="Meiryo UI"/>
                <w:sz w:val="18"/>
              </w:rPr>
              <w:t>¥17.68億</w:t>
            </w:r>
          </w:p>
        </w:tc>
        <w:tc>
          <w:tcPr>
            <w:tcW w:type="dxa" w:w="3135"/>
          </w:tcPr>
          <w:p>
            <w:r>
              <w:rPr>
                <w:rFonts w:ascii="Meiryo UI" w:hAnsi="Meiryo UI"/>
                <w:sz w:val="18"/>
              </w:rPr>
              <w:t>NM 21.4%【確定】</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¥64.50</w:t>
            </w:r>
          </w:p>
        </w:tc>
        <w:tc>
          <w:tcPr>
            <w:tcW w:type="dxa" w:w="3135"/>
            <w:shd w:val="clear" w:color="auto" w:fill="DDEBF7"/>
          </w:tcPr>
          <w:p>
            <w:r>
              <w:rPr>
                <w:rFonts w:ascii="Meiryo UI" w:hAnsi="Meiryo UI"/>
                <w:sz w:val="18"/>
              </w:rPr>
              <w:t>minkabu確定値【確定】</w:t>
            </w:r>
          </w:p>
        </w:tc>
      </w:tr>
      <w:tr>
        <w:tc>
          <w:tcPr>
            <w:tcW w:type="dxa" w:w="3135"/>
          </w:tcPr>
          <w:p>
            <w:r>
              <w:rPr>
                <w:rFonts w:ascii="Meiryo UI" w:hAnsi="Meiryo UI"/>
                <w:sz w:val="18"/>
              </w:rPr>
              <w:t>発行済株数</w:t>
            </w:r>
          </w:p>
        </w:tc>
        <w:tc>
          <w:tcPr>
            <w:tcW w:type="dxa" w:w="3135"/>
          </w:tcPr>
          <w:p>
            <w:r>
              <w:rPr>
                <w:rFonts w:ascii="Meiryo UI" w:hAnsi="Meiryo UI"/>
                <w:sz w:val="18"/>
              </w:rPr>
              <w:t>2,741万株</w:t>
            </w:r>
          </w:p>
        </w:tc>
        <w:tc>
          <w:tcPr>
            <w:tcW w:type="dxa" w:w="3135"/>
          </w:tcPr>
          <w:p>
            <w:r>
              <w:rPr>
                <w:rFonts w:ascii="Meiryo UI" w:hAnsi="Meiryo UI"/>
                <w:sz w:val="18"/>
              </w:rPr>
              <w:t>純利益÷EPS = ¥17.68億÷¥64.50【確定】</w:t>
            </w:r>
          </w:p>
        </w:tc>
      </w:tr>
    </w:tbl>
    <w:p/>
    <w:p>
      <w:pPr>
        <w:pStyle w:val="Heading3"/>
      </w:pPr>
      <w:r>
        <w:rPr>
          <w:rFonts w:ascii="Meiryo UI" w:hAnsi="Meiryo UI"/>
          <w:color w:val="2E74B5"/>
        </w:rPr>
        <w:t>2-2. FY2026通期ガイダンス（確定）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FY2026ガイダンス</w:t>
            </w:r>
          </w:p>
        </w:tc>
        <w:tc>
          <w:tcPr>
            <w:tcW w:type="dxa" w:w="2351"/>
            <w:shd w:val="clear" w:color="auto" w:fill="2E74B5"/>
          </w:tcPr>
          <w:p>
            <w:r>
              <w:rPr>
                <w:rFonts w:ascii="Meiryo UI" w:hAnsi="Meiryo UI"/>
                <w:b/>
                <w:color w:val="FFFFFF"/>
                <w:sz w:val="18"/>
              </w:rPr>
              <w:t>成長率</w:t>
            </w:r>
          </w:p>
        </w:tc>
      </w:tr>
      <w:tr>
        <w:tc>
          <w:tcPr>
            <w:tcW w:type="dxa" w:w="2351"/>
          </w:tcPr>
          <w:p>
            <w:r>
              <w:rPr>
                <w:rFonts w:ascii="Meiryo UI" w:hAnsi="Meiryo UI"/>
                <w:sz w:val="18"/>
              </w:rPr>
              <w:t>売上高</w:t>
            </w:r>
          </w:p>
        </w:tc>
        <w:tc>
          <w:tcPr>
            <w:tcW w:type="dxa" w:w="2351"/>
          </w:tcPr>
          <w:p>
            <w:r>
              <w:rPr>
                <w:rFonts w:ascii="Meiryo UI" w:hAnsi="Meiryo UI"/>
                <w:sz w:val="18"/>
              </w:rPr>
              <w:t>¥82.55億</w:t>
            </w:r>
          </w:p>
        </w:tc>
        <w:tc>
          <w:tcPr>
            <w:tcW w:type="dxa" w:w="2351"/>
          </w:tcPr>
          <w:p>
            <w:r>
              <w:rPr>
                <w:rFonts w:ascii="Meiryo UI" w:hAnsi="Meiryo UI"/>
                <w:sz w:val="18"/>
              </w:rPr>
              <w:t>¥118.0億</w:t>
            </w:r>
          </w:p>
        </w:tc>
        <w:tc>
          <w:tcPr>
            <w:tcW w:type="dxa" w:w="2351"/>
          </w:tcPr>
          <w:p>
            <w:r>
              <w:rPr>
                <w:rFonts w:ascii="Meiryo UI" w:hAnsi="Meiryo UI"/>
                <w:sz w:val="18"/>
              </w:rPr>
              <w:t>+43%【確定】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¥28.00億</w:t>
            </w:r>
          </w:p>
        </w:tc>
        <w:tc>
          <w:tcPr>
            <w:tcW w:type="dxa" w:w="2351"/>
            <w:shd w:val="clear" w:color="auto" w:fill="DDEBF7"/>
          </w:tcPr>
          <w:p>
            <w:r>
              <w:rPr>
                <w:rFonts w:ascii="Meiryo UI" w:hAnsi="Meiryo UI"/>
                <w:sz w:val="18"/>
              </w:rPr>
              <w:t>¥40.0億</w:t>
            </w:r>
          </w:p>
        </w:tc>
        <w:tc>
          <w:tcPr>
            <w:tcW w:type="dxa" w:w="2351"/>
            <w:shd w:val="clear" w:color="auto" w:fill="DDEBF7"/>
          </w:tcPr>
          <w:p>
            <w:r>
              <w:rPr>
                <w:rFonts w:ascii="Meiryo UI" w:hAnsi="Meiryo UI"/>
                <w:sz w:val="18"/>
              </w:rPr>
              <w:t>+43%【確定】</w:t>
            </w:r>
          </w:p>
        </w:tc>
      </w:tr>
      <w:tr>
        <w:tc>
          <w:tcPr>
            <w:tcW w:type="dxa" w:w="2351"/>
          </w:tcPr>
          <w:p>
            <w:r>
              <w:rPr>
                <w:rFonts w:ascii="Meiryo UI" w:hAnsi="Meiryo UI"/>
                <w:sz w:val="18"/>
              </w:rPr>
              <w:t>純利益</w:t>
            </w:r>
          </w:p>
        </w:tc>
        <w:tc>
          <w:tcPr>
            <w:tcW w:type="dxa" w:w="2351"/>
          </w:tcPr>
          <w:p>
            <w:r>
              <w:rPr>
                <w:rFonts w:ascii="Meiryo UI" w:hAnsi="Meiryo UI"/>
                <w:sz w:val="18"/>
              </w:rPr>
              <w:t>¥17.68億</w:t>
            </w:r>
          </w:p>
        </w:tc>
        <w:tc>
          <w:tcPr>
            <w:tcW w:type="dxa" w:w="2351"/>
          </w:tcPr>
          <w:p>
            <w:r>
              <w:rPr>
                <w:rFonts w:ascii="Meiryo UI" w:hAnsi="Meiryo UI"/>
                <w:sz w:val="18"/>
              </w:rPr>
              <w:t>¥28.0億</w:t>
            </w:r>
          </w:p>
        </w:tc>
        <w:tc>
          <w:tcPr>
            <w:tcW w:type="dxa" w:w="2351"/>
          </w:tcPr>
          <w:p>
            <w:r>
              <w:rPr>
                <w:rFonts w:ascii="Meiryo UI" w:hAnsi="Meiryo UI"/>
                <w:sz w:val="18"/>
              </w:rPr>
              <w:t>+58%【確定】</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¥64.50</w:t>
            </w:r>
          </w:p>
        </w:tc>
        <w:tc>
          <w:tcPr>
            <w:tcW w:type="dxa" w:w="2351"/>
            <w:shd w:val="clear" w:color="auto" w:fill="DDEBF7"/>
          </w:tcPr>
          <w:p>
            <w:r>
              <w:rPr>
                <w:rFonts w:ascii="Meiryo UI" w:hAnsi="Meiryo UI"/>
                <w:sz w:val="18"/>
              </w:rPr>
              <w:t>¥102.2</w:t>
            </w:r>
          </w:p>
        </w:tc>
        <w:tc>
          <w:tcPr>
            <w:tcW w:type="dxa" w:w="2351"/>
            <w:shd w:val="clear" w:color="auto" w:fill="DDEBF7"/>
          </w:tcPr>
          <w:p>
            <w:r>
              <w:rPr>
                <w:rFonts w:ascii="Meiryo UI" w:hAnsi="Meiryo UI"/>
                <w:sz w:val="18"/>
              </w:rPr>
              <w:t>+58%（PER逆算）【確定】</w:t>
            </w:r>
          </w:p>
        </w:tc>
      </w:tr>
    </w:tbl>
    <w:p/>
    <w:p>
      <w:r>
        <w:rPr>
          <w:rFonts w:ascii="Meiryo UI" w:hAnsi="Meiryo UI"/>
          <w:sz w:val="20"/>
        </w:rPr>
        <w:t>ガイダンス超過成長に関する注記: 純利益伸び率(+58%)がOP伸び率(+43%)を上回る。これは来期税負担軽減（繰越欠損金消化等）または金融損益改善を示唆する可能性がある。4/14決算資料で確認要。</w:t>
      </w:r>
    </w:p>
    <w:p/>
    <w:p>
      <w:pPr>
        <w:pStyle w:val="Heading3"/>
      </w:pPr>
      <w:r>
        <w:rPr>
          <w:rFonts w:ascii="Meiryo UI" w:hAnsi="Meiryo UI"/>
          <w:color w:val="2E74B5"/>
        </w:rPr>
        <w:t>2-3. バリュエーション指標【確定値】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確定値（4/10時点）</w:t>
            </w:r>
          </w:p>
        </w:tc>
        <w:tc>
          <w:tcPr>
            <w:tcW w:type="dxa" w:w="2351"/>
            <w:shd w:val="clear" w:color="auto" w:fill="2E74B5"/>
          </w:tcPr>
          <w:p>
            <w:r>
              <w:rPr>
                <w:rFonts w:ascii="Meiryo UI" w:hAnsi="Meiryo UI"/>
                <w:b/>
                <w:color w:val="FFFFFF"/>
                <w:sz w:val="18"/>
              </w:rPr>
              <w:t>AI SaaS相場目安</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PER（FY25実績）</w:t>
            </w:r>
          </w:p>
        </w:tc>
        <w:tc>
          <w:tcPr>
            <w:tcW w:type="dxa" w:w="2351"/>
          </w:tcPr>
          <w:p>
            <w:r>
              <w:rPr>
                <w:rFonts w:ascii="Meiryo UI" w:hAnsi="Meiryo UI"/>
                <w:sz w:val="18"/>
              </w:rPr>
              <w:t>40.7倍</w:t>
            </w:r>
          </w:p>
        </w:tc>
        <w:tc>
          <w:tcPr>
            <w:tcW w:type="dxa" w:w="2351"/>
          </w:tcPr>
          <w:p>
            <w:r>
              <w:rPr>
                <w:rFonts w:ascii="Meiryo UI" w:hAnsi="Meiryo UI"/>
                <w:sz w:val="18"/>
              </w:rPr>
              <w:t>30〜80倍</w:t>
            </w:r>
          </w:p>
        </w:tc>
        <w:tc>
          <w:tcPr>
            <w:tcW w:type="dxa" w:w="2351"/>
          </w:tcPr>
          <w:p>
            <w:r>
              <w:rPr>
                <w:rFonts w:ascii="Meiryo UI" w:hAnsi="Meiryo UI"/>
                <w:sz w:val="18"/>
              </w:rPr>
              <w:t>妥当域内【確定】</w:t>
            </w:r>
          </w:p>
        </w:tc>
      </w:tr>
      <w:tr>
        <w:tc>
          <w:tcPr>
            <w:tcW w:type="dxa" w:w="2351"/>
            <w:shd w:val="clear" w:color="auto" w:fill="DDEBF7"/>
          </w:tcPr>
          <w:p>
            <w:r>
              <w:rPr>
                <w:rFonts w:ascii="Meiryo UI" w:hAnsi="Meiryo UI"/>
                <w:sz w:val="18"/>
              </w:rPr>
              <w:t>PER（FY26予想）</w:t>
            </w:r>
          </w:p>
        </w:tc>
        <w:tc>
          <w:tcPr>
            <w:tcW w:type="dxa" w:w="2351"/>
            <w:shd w:val="clear" w:color="auto" w:fill="DDEBF7"/>
          </w:tcPr>
          <w:p>
            <w:r>
              <w:rPr>
                <w:rFonts w:ascii="Meiryo UI" w:hAnsi="Meiryo UI"/>
                <w:sz w:val="18"/>
              </w:rPr>
              <w:t>25.7倍</w:t>
            </w:r>
          </w:p>
        </w:tc>
        <w:tc>
          <w:tcPr>
            <w:tcW w:type="dxa" w:w="2351"/>
            <w:shd w:val="clear" w:color="auto" w:fill="DDEBF7"/>
          </w:tcPr>
          <w:p>
            <w:r>
              <w:rPr>
                <w:rFonts w:ascii="Meiryo UI" w:hAnsi="Meiryo UI"/>
                <w:sz w:val="18"/>
              </w:rPr>
              <w:t>20〜50倍</w:t>
            </w:r>
          </w:p>
        </w:tc>
        <w:tc>
          <w:tcPr>
            <w:tcW w:type="dxa" w:w="2351"/>
            <w:shd w:val="clear" w:color="auto" w:fill="DDEBF7"/>
          </w:tcPr>
          <w:p>
            <w:r>
              <w:rPr>
                <w:rFonts w:ascii="Meiryo UI" w:hAnsi="Meiryo UI"/>
                <w:sz w:val="18"/>
              </w:rPr>
              <w:t>成長対比で割安【確定】</w:t>
            </w:r>
          </w:p>
        </w:tc>
      </w:tr>
      <w:tr>
        <w:tc>
          <w:tcPr>
            <w:tcW w:type="dxa" w:w="2351"/>
          </w:tcPr>
          <w:p>
            <w:r>
              <w:rPr>
                <w:rFonts w:ascii="Meiryo UI" w:hAnsi="Meiryo UI"/>
                <w:sz w:val="18"/>
              </w:rPr>
              <w:t>PSR（FY25確定）</w:t>
            </w:r>
          </w:p>
        </w:tc>
        <w:tc>
          <w:tcPr>
            <w:tcW w:type="dxa" w:w="2351"/>
          </w:tcPr>
          <w:p>
            <w:r>
              <w:rPr>
                <w:rFonts w:ascii="Meiryo UI" w:hAnsi="Meiryo UI"/>
                <w:sz w:val="18"/>
              </w:rPr>
              <w:t>0.87倍</w:t>
            </w:r>
          </w:p>
        </w:tc>
        <w:tc>
          <w:tcPr>
            <w:tcW w:type="dxa" w:w="2351"/>
          </w:tcPr>
          <w:p>
            <w:r>
              <w:rPr>
                <w:rFonts w:ascii="Meiryo UI" w:hAnsi="Meiryo UI"/>
                <w:sz w:val="18"/>
              </w:rPr>
              <w:t>AI SaaS 5〜20倍</w:t>
            </w:r>
          </w:p>
        </w:tc>
        <w:tc>
          <w:tcPr>
            <w:tcW w:type="dxa" w:w="2351"/>
          </w:tcPr>
          <w:p>
            <w:r>
              <w:rPr>
                <w:rFonts w:ascii="Meiryo UI" w:hAnsi="Meiryo UI"/>
                <w:sz w:val="18"/>
              </w:rPr>
              <w:t>異常な割安【確定】</w:t>
            </w:r>
          </w:p>
        </w:tc>
      </w:tr>
      <w:tr>
        <w:tc>
          <w:tcPr>
            <w:tcW w:type="dxa" w:w="2351"/>
            <w:shd w:val="clear" w:color="auto" w:fill="DDEBF7"/>
          </w:tcPr>
          <w:p>
            <w:r>
              <w:rPr>
                <w:rFonts w:ascii="Meiryo UI" w:hAnsi="Meiryo UI"/>
                <w:sz w:val="18"/>
              </w:rPr>
              <w:t>PSR（FY26予想）</w:t>
            </w:r>
          </w:p>
        </w:tc>
        <w:tc>
          <w:tcPr>
            <w:tcW w:type="dxa" w:w="2351"/>
            <w:shd w:val="clear" w:color="auto" w:fill="DDEBF7"/>
          </w:tcPr>
          <w:p>
            <w:r>
              <w:rPr>
                <w:rFonts w:ascii="Meiryo UI" w:hAnsi="Meiryo UI"/>
                <w:sz w:val="18"/>
              </w:rPr>
              <w:t>0.61倍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前向き更に割安【確定】</w:t>
            </w:r>
          </w:p>
        </w:tc>
      </w:tr>
      <w:tr>
        <w:tc>
          <w:tcPr>
            <w:tcW w:type="dxa" w:w="2351"/>
          </w:tcPr>
          <w:p>
            <w:r>
              <w:rPr>
                <w:rFonts w:ascii="Meiryo UI" w:hAnsi="Meiryo UI"/>
                <w:sz w:val="18"/>
              </w:rPr>
              <w:t>PBR</w:t>
            </w:r>
          </w:p>
        </w:tc>
        <w:tc>
          <w:tcPr>
            <w:tcW w:type="dxa" w:w="2351"/>
          </w:tcPr>
          <w:p>
            <w:r>
              <w:rPr>
                <w:rFonts w:ascii="Meiryo UI" w:hAnsi="Meiryo UI"/>
                <w:sz w:val="18"/>
              </w:rPr>
              <w:t>13.1倍</w:t>
            </w:r>
          </w:p>
        </w:tc>
        <w:tc>
          <w:tcPr>
            <w:tcW w:type="dxa" w:w="2351"/>
          </w:tcPr>
          <w:p>
            <w:r>
              <w:rPr>
                <w:rFonts w:ascii="Meiryo UI" w:hAnsi="Meiryo UI"/>
                <w:sz w:val="18"/>
              </w:rPr>
              <w:t>5〜20倍</w:t>
            </w:r>
          </w:p>
        </w:tc>
        <w:tc>
          <w:tcPr>
            <w:tcW w:type="dxa" w:w="2351"/>
          </w:tcPr>
          <w:p>
            <w:r>
              <w:rPr>
                <w:rFonts w:ascii="Meiryo UI" w:hAnsi="Meiryo UI"/>
                <w:sz w:val="18"/>
              </w:rPr>
              <w:t>許容域</w:t>
            </w:r>
          </w:p>
        </w:tc>
      </w:tr>
      <w:tr>
        <w:tc>
          <w:tcPr>
            <w:tcW w:type="dxa" w:w="2351"/>
            <w:shd w:val="clear" w:color="auto" w:fill="DDEBF7"/>
          </w:tcPr>
          <w:p>
            <w:r>
              <w:rPr>
                <w:rFonts w:ascii="Meiryo UI" w:hAnsi="Meiryo UI"/>
                <w:sz w:val="18"/>
              </w:rPr>
              <w:t>RSI（14日）</w:t>
            </w:r>
          </w:p>
        </w:tc>
        <w:tc>
          <w:tcPr>
            <w:tcW w:type="dxa" w:w="2351"/>
            <w:shd w:val="clear" w:color="auto" w:fill="DDEBF7"/>
          </w:tcPr>
          <w:p>
            <w:r>
              <w:rPr>
                <w:rFonts w:ascii="Meiryo UI" w:hAnsi="Meiryo UI"/>
                <w:sz w:val="18"/>
              </w:rPr>
              <w:t>65.1</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健全トレンド</w:t>
            </w:r>
          </w:p>
        </w:tc>
      </w:tr>
      <w:tr>
        <w:tc>
          <w:tcPr>
            <w:tcW w:type="dxa" w:w="2351"/>
          </w:tcPr>
          <w:p>
            <w:r>
              <w:rPr>
                <w:rFonts w:ascii="Meiryo UI" w:hAnsi="Meiryo UI"/>
                <w:sz w:val="18"/>
              </w:rPr>
              <w:t>ADV（25日）</w:t>
            </w:r>
          </w:p>
        </w:tc>
        <w:tc>
          <w:tcPr>
            <w:tcW w:type="dxa" w:w="2351"/>
          </w:tcPr>
          <w:p>
            <w:r>
              <w:rPr>
                <w:rFonts w:ascii="Meiryo UI" w:hAnsi="Meiryo UI"/>
                <w:sz w:val="18"/>
              </w:rPr>
              <w:t>¥3.4億</w:t>
            </w:r>
          </w:p>
        </w:tc>
        <w:tc>
          <w:tcPr>
            <w:tcW w:type="dxa" w:w="2351"/>
          </w:tcPr>
          <w:p>
            <w:r>
              <w:rPr>
                <w:rFonts w:ascii="Meiryo UI" w:hAnsi="Meiryo UI"/>
                <w:sz w:val="18"/>
              </w:rPr>
              <w:t>—</w:t>
            </w:r>
          </w:p>
        </w:tc>
        <w:tc>
          <w:tcPr>
            <w:tcW w:type="dxa" w:w="2351"/>
          </w:tcPr>
          <w:p>
            <w:r>
              <w:rPr>
                <w:rFonts w:ascii="Meiryo UI" w:hAnsi="Meiryo UI"/>
                <w:sz w:val="18"/>
              </w:rPr>
              <w:t>流動性リスクあり</w:t>
            </w:r>
          </w:p>
        </w:tc>
      </w:tr>
    </w:tbl>
    <w:p/>
    <w:p>
      <w:r>
        <w:rPr>
          <w:rFonts w:ascii="Meiryo UI" w:hAnsi="Meiryo UI"/>
          <w:sz w:val="20"/>
        </w:rPr>
        <w:t>PSR0.87倍の意義: 成長率+43%のAI企業が売上の0.87倍という評価は、SaaS/AI業界の相場（5〜20倍）と比較して著しく割安。市場がまだグロービングを「小型グロース株」として認識しておらず、バリュエーション再評価が起きる余地が大きい。ただし時価総額¥72億の小型株特有の「発見されにくさ」が続いている状態。</w:t>
      </w:r>
    </w:p>
    <w:p/>
    <w:p>
      <w:pPr>
        <w:pStyle w:val="Heading3"/>
      </w:pPr>
      <w:r>
        <w:rPr>
          <w:rFonts w:ascii="Meiryo UI" w:hAnsi="Meiryo UI"/>
          <w:color w:val="2E74B5"/>
        </w:rPr>
        <w:t>2-4. 直近株価推移（4/5〜4/10）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日付</w:t>
            </w:r>
          </w:p>
        </w:tc>
        <w:tc>
          <w:tcPr>
            <w:tcW w:type="dxa" w:w="1568"/>
            <w:shd w:val="clear" w:color="auto" w:fill="2E74B5"/>
          </w:tcPr>
          <w:p>
            <w:r>
              <w:rPr>
                <w:rFonts w:ascii="Meiryo UI" w:hAnsi="Meiryo UI"/>
                <w:b/>
                <w:color w:val="FFFFFF"/>
                <w:sz w:val="18"/>
              </w:rPr>
              <w:t>株価</w:t>
            </w:r>
          </w:p>
        </w:tc>
        <w:tc>
          <w:tcPr>
            <w:tcW w:type="dxa" w:w="1568"/>
            <w:shd w:val="clear" w:color="auto" w:fill="2E74B5"/>
          </w:tcPr>
          <w:p>
            <w:r>
              <w:rPr>
                <w:rFonts w:ascii="Meiryo UI" w:hAnsi="Meiryo UI"/>
                <w:b/>
                <w:color w:val="FFFFFF"/>
                <w:sz w:val="18"/>
              </w:rPr>
              <w:t>前日比</w:t>
            </w:r>
          </w:p>
        </w:tc>
        <w:tc>
          <w:tcPr>
            <w:tcW w:type="dxa" w:w="1568"/>
            <w:shd w:val="clear" w:color="auto" w:fill="2E74B5"/>
          </w:tcPr>
          <w:p>
            <w:r>
              <w:rPr>
                <w:rFonts w:ascii="Meiryo UI" w:hAnsi="Meiryo UI"/>
                <w:b/>
                <w:color w:val="FFFFFF"/>
                <w:sz w:val="18"/>
              </w:rPr>
              <w:t>時価総額</w:t>
            </w:r>
          </w:p>
        </w:tc>
        <w:tc>
          <w:tcPr>
            <w:tcW w:type="dxa" w:w="1568"/>
            <w:shd w:val="clear" w:color="auto" w:fill="2E74B5"/>
          </w:tcPr>
          <w:p>
            <w:r>
              <w:rPr>
                <w:rFonts w:ascii="Meiryo UI" w:hAnsi="Meiryo UI"/>
                <w:b/>
                <w:color w:val="FFFFFF"/>
                <w:sz w:val="18"/>
              </w:rPr>
              <w:t>PER(FY25)</w:t>
            </w:r>
          </w:p>
        </w:tc>
        <w:tc>
          <w:tcPr>
            <w:tcW w:type="dxa" w:w="1568"/>
            <w:shd w:val="clear" w:color="auto" w:fill="2E74B5"/>
          </w:tcPr>
          <w:p>
            <w:r>
              <w:rPr>
                <w:rFonts w:ascii="Meiryo UI" w:hAnsi="Meiryo UI"/>
                <w:b/>
                <w:color w:val="FFFFFF"/>
                <w:sz w:val="18"/>
              </w:rPr>
              <w:t>RSI</w:t>
            </w:r>
          </w:p>
        </w:tc>
      </w:tr>
      <w:tr>
        <w:tc>
          <w:tcPr>
            <w:tcW w:type="dxa" w:w="1568"/>
          </w:tcPr>
          <w:p>
            <w:r>
              <w:rPr>
                <w:rFonts w:ascii="Meiryo UI" w:hAnsi="Meiryo UI"/>
                <w:sz w:val="18"/>
              </w:rPr>
              <w:t>4/5</w:t>
            </w:r>
          </w:p>
        </w:tc>
        <w:tc>
          <w:tcPr>
            <w:tcW w:type="dxa" w:w="1568"/>
          </w:tcPr>
          <w:p>
            <w:r>
              <w:rPr>
                <w:rFonts w:ascii="Meiryo UI" w:hAnsi="Meiryo UI"/>
                <w:sz w:val="18"/>
              </w:rPr>
              <w:t>¥2,462</w:t>
            </w:r>
          </w:p>
        </w:tc>
        <w:tc>
          <w:tcPr>
            <w:tcW w:type="dxa" w:w="1568"/>
          </w:tcPr>
          <w:p>
            <w:r>
              <w:rPr>
                <w:rFonts w:ascii="Meiryo UI" w:hAnsi="Meiryo UI"/>
                <w:sz w:val="18"/>
              </w:rPr>
              <w:t>±0%</w:t>
            </w:r>
          </w:p>
        </w:tc>
        <w:tc>
          <w:tcPr>
            <w:tcW w:type="dxa" w:w="1568"/>
          </w:tcPr>
          <w:p>
            <w:r>
              <w:rPr>
                <w:rFonts w:ascii="Meiryo UI" w:hAnsi="Meiryo UI"/>
                <w:sz w:val="18"/>
              </w:rPr>
              <w:t>¥67.5億</w:t>
            </w:r>
          </w:p>
        </w:tc>
        <w:tc>
          <w:tcPr>
            <w:tcW w:type="dxa" w:w="1568"/>
          </w:tcPr>
          <w:p>
            <w:r>
              <w:rPr>
                <w:rFonts w:ascii="Meiryo UI" w:hAnsi="Meiryo UI"/>
                <w:sz w:val="18"/>
              </w:rPr>
              <w:t>38.2倍</w:t>
            </w:r>
          </w:p>
        </w:tc>
        <w:tc>
          <w:tcPr>
            <w:tcW w:type="dxa" w:w="1568"/>
          </w:tcPr>
          <w:p>
            <w:r>
              <w:rPr>
                <w:rFonts w:ascii="Meiryo UI" w:hAnsi="Meiryo UI"/>
                <w:sz w:val="18"/>
              </w:rPr>
              <w:t>61.4</w:t>
            </w:r>
          </w:p>
        </w:tc>
      </w:tr>
      <w:tr>
        <w:tc>
          <w:tcPr>
            <w:tcW w:type="dxa" w:w="1568"/>
            <w:shd w:val="clear" w:color="auto" w:fill="DDEBF7"/>
          </w:tcPr>
          <w:p>
            <w:r>
              <w:rPr>
                <w:rFonts w:ascii="Meiryo UI" w:hAnsi="Meiryo UI"/>
                <w:sz w:val="18"/>
              </w:rPr>
              <w:t>4/6</w:t>
            </w:r>
          </w:p>
        </w:tc>
        <w:tc>
          <w:tcPr>
            <w:tcW w:type="dxa" w:w="1568"/>
            <w:shd w:val="clear" w:color="auto" w:fill="DDEBF7"/>
          </w:tcPr>
          <w:p>
            <w:r>
              <w:rPr>
                <w:rFonts w:ascii="Meiryo UI" w:hAnsi="Meiryo UI"/>
                <w:sz w:val="18"/>
              </w:rPr>
              <w:t>¥2,534</w:t>
            </w:r>
          </w:p>
        </w:tc>
        <w:tc>
          <w:tcPr>
            <w:tcW w:type="dxa" w:w="1568"/>
            <w:shd w:val="clear" w:color="auto" w:fill="DDEBF7"/>
          </w:tcPr>
          <w:p>
            <w:r>
              <w:rPr>
                <w:rFonts w:ascii="Meiryo UI" w:hAnsi="Meiryo UI"/>
                <w:sz w:val="18"/>
              </w:rPr>
              <w:t>+2.9%</w:t>
            </w:r>
          </w:p>
        </w:tc>
        <w:tc>
          <w:tcPr>
            <w:tcW w:type="dxa" w:w="1568"/>
            <w:shd w:val="clear" w:color="auto" w:fill="DDEBF7"/>
          </w:tcPr>
          <w:p>
            <w:r>
              <w:rPr>
                <w:rFonts w:ascii="Meiryo UI" w:hAnsi="Meiryo UI"/>
                <w:sz w:val="18"/>
              </w:rPr>
              <w:t>¥69.5億</w:t>
            </w:r>
          </w:p>
        </w:tc>
        <w:tc>
          <w:tcPr>
            <w:tcW w:type="dxa" w:w="1568"/>
            <w:shd w:val="clear" w:color="auto" w:fill="DDEBF7"/>
          </w:tcPr>
          <w:p>
            <w:r>
              <w:rPr>
                <w:rFonts w:ascii="Meiryo UI" w:hAnsi="Meiryo UI"/>
                <w:sz w:val="18"/>
              </w:rPr>
              <w:t>39.3倍</w:t>
            </w:r>
          </w:p>
        </w:tc>
        <w:tc>
          <w:tcPr>
            <w:tcW w:type="dxa" w:w="1568"/>
            <w:shd w:val="clear" w:color="auto" w:fill="DDEBF7"/>
          </w:tcPr>
          <w:p>
            <w:r>
              <w:rPr>
                <w:rFonts w:ascii="Meiryo UI" w:hAnsi="Meiryo UI"/>
                <w:sz w:val="18"/>
              </w:rPr>
              <w:t>64.9</w:t>
            </w:r>
          </w:p>
        </w:tc>
      </w:tr>
      <w:tr>
        <w:tc>
          <w:tcPr>
            <w:tcW w:type="dxa" w:w="1568"/>
          </w:tcPr>
          <w:p>
            <w:r>
              <w:rPr>
                <w:rFonts w:ascii="Meiryo UI" w:hAnsi="Meiryo UI"/>
                <w:sz w:val="18"/>
              </w:rPr>
              <w:t>4/7</w:t>
            </w:r>
          </w:p>
        </w:tc>
        <w:tc>
          <w:tcPr>
            <w:tcW w:type="dxa" w:w="1568"/>
          </w:tcPr>
          <w:p>
            <w:r>
              <w:rPr>
                <w:rFonts w:ascii="Meiryo UI" w:hAnsi="Meiryo UI"/>
                <w:sz w:val="18"/>
              </w:rPr>
              <w:t>¥2,543</w:t>
            </w:r>
          </w:p>
        </w:tc>
        <w:tc>
          <w:tcPr>
            <w:tcW w:type="dxa" w:w="1568"/>
          </w:tcPr>
          <w:p>
            <w:r>
              <w:rPr>
                <w:rFonts w:ascii="Meiryo UI" w:hAnsi="Meiryo UI"/>
                <w:sz w:val="18"/>
              </w:rPr>
              <w:t>+0.4%</w:t>
            </w:r>
          </w:p>
        </w:tc>
        <w:tc>
          <w:tcPr>
            <w:tcW w:type="dxa" w:w="1568"/>
          </w:tcPr>
          <w:p>
            <w:r>
              <w:rPr>
                <w:rFonts w:ascii="Meiryo UI" w:hAnsi="Meiryo UI"/>
                <w:sz w:val="18"/>
              </w:rPr>
              <w:t>¥69.7億</w:t>
            </w:r>
          </w:p>
        </w:tc>
        <w:tc>
          <w:tcPr>
            <w:tcW w:type="dxa" w:w="1568"/>
          </w:tcPr>
          <w:p>
            <w:r>
              <w:rPr>
                <w:rFonts w:ascii="Meiryo UI" w:hAnsi="Meiryo UI"/>
                <w:sz w:val="18"/>
              </w:rPr>
              <w:t>39.4倍</w:t>
            </w:r>
          </w:p>
        </w:tc>
        <w:tc>
          <w:tcPr>
            <w:tcW w:type="dxa" w:w="1568"/>
          </w:tcPr>
          <w:p>
            <w:r>
              <w:rPr>
                <w:rFonts w:ascii="Meiryo UI" w:hAnsi="Meiryo UI"/>
                <w:sz w:val="18"/>
              </w:rPr>
              <w:t>65.3</w:t>
            </w:r>
          </w:p>
        </w:tc>
      </w:tr>
      <w:tr>
        <w:tc>
          <w:tcPr>
            <w:tcW w:type="dxa" w:w="1568"/>
            <w:shd w:val="clear" w:color="auto" w:fill="DDEBF7"/>
          </w:tcPr>
          <w:p>
            <w:r>
              <w:rPr>
                <w:rFonts w:ascii="Meiryo UI" w:hAnsi="Meiryo UI"/>
                <w:sz w:val="18"/>
              </w:rPr>
              <w:t>4/8</w:t>
            </w:r>
          </w:p>
        </w:tc>
        <w:tc>
          <w:tcPr>
            <w:tcW w:type="dxa" w:w="1568"/>
            <w:shd w:val="clear" w:color="auto" w:fill="DDEBF7"/>
          </w:tcPr>
          <w:p>
            <w:r>
              <w:rPr>
                <w:rFonts w:ascii="Meiryo UI" w:hAnsi="Meiryo UI"/>
                <w:sz w:val="18"/>
              </w:rPr>
              <w:t>¥2,695</w:t>
            </w:r>
          </w:p>
        </w:tc>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¥73.9億</w:t>
            </w:r>
          </w:p>
        </w:tc>
        <w:tc>
          <w:tcPr>
            <w:tcW w:type="dxa" w:w="1568"/>
            <w:shd w:val="clear" w:color="auto" w:fill="DDEBF7"/>
          </w:tcPr>
          <w:p>
            <w:r>
              <w:rPr>
                <w:rFonts w:ascii="Meiryo UI" w:hAnsi="Meiryo UI"/>
                <w:sz w:val="18"/>
              </w:rPr>
              <w:t>41.8倍</w:t>
            </w:r>
          </w:p>
        </w:tc>
        <w:tc>
          <w:tcPr>
            <w:tcW w:type="dxa" w:w="1568"/>
            <w:shd w:val="clear" w:color="auto" w:fill="DDEBF7"/>
          </w:tcPr>
          <w:p>
            <w:r>
              <w:rPr>
                <w:rFonts w:ascii="Meiryo UI" w:hAnsi="Meiryo UI"/>
                <w:sz w:val="18"/>
              </w:rPr>
              <w:t>71.6</w:t>
            </w:r>
          </w:p>
        </w:tc>
      </w:tr>
      <w:tr>
        <w:tc>
          <w:tcPr>
            <w:tcW w:type="dxa" w:w="1568"/>
          </w:tcPr>
          <w:p>
            <w:r>
              <w:rPr>
                <w:rFonts w:ascii="Meiryo UI" w:hAnsi="Meiryo UI"/>
                <w:sz w:val="18"/>
              </w:rPr>
              <w:t>4/9</w:t>
            </w:r>
          </w:p>
        </w:tc>
        <w:tc>
          <w:tcPr>
            <w:tcW w:type="dxa" w:w="1568"/>
          </w:tcPr>
          <w:p>
            <w:r>
              <w:rPr>
                <w:rFonts w:ascii="Meiryo UI" w:hAnsi="Meiryo UI"/>
                <w:sz w:val="18"/>
              </w:rPr>
              <w:t>¥2,716</w:t>
            </w:r>
          </w:p>
        </w:tc>
        <w:tc>
          <w:tcPr>
            <w:tcW w:type="dxa" w:w="1568"/>
          </w:tcPr>
          <w:p>
            <w:r>
              <w:rPr>
                <w:rFonts w:ascii="Meiryo UI" w:hAnsi="Meiryo UI"/>
                <w:sz w:val="18"/>
              </w:rPr>
              <w:t>+0.8%</w:t>
            </w:r>
          </w:p>
        </w:tc>
        <w:tc>
          <w:tcPr>
            <w:tcW w:type="dxa" w:w="1568"/>
          </w:tcPr>
          <w:p>
            <w:r>
              <w:rPr>
                <w:rFonts w:ascii="Meiryo UI" w:hAnsi="Meiryo UI"/>
                <w:sz w:val="18"/>
              </w:rPr>
              <w:t>¥74.5億</w:t>
            </w:r>
          </w:p>
        </w:tc>
        <w:tc>
          <w:tcPr>
            <w:tcW w:type="dxa" w:w="1568"/>
          </w:tcPr>
          <w:p>
            <w:r>
              <w:rPr>
                <w:rFonts w:ascii="Meiryo UI" w:hAnsi="Meiryo UI"/>
                <w:sz w:val="18"/>
              </w:rPr>
              <w:t>42.1倍</w:t>
            </w:r>
          </w:p>
        </w:tc>
        <w:tc>
          <w:tcPr>
            <w:tcW w:type="dxa" w:w="1568"/>
          </w:tcPr>
          <w:p>
            <w:r>
              <w:rPr>
                <w:rFonts w:ascii="Meiryo UI" w:hAnsi="Meiryo UI"/>
                <w:sz w:val="18"/>
              </w:rPr>
              <w:t>72.3</w:t>
            </w:r>
          </w:p>
        </w:tc>
      </w:tr>
      <w:tr>
        <w:tc>
          <w:tcPr>
            <w:tcW w:type="dxa" w:w="1568"/>
            <w:shd w:val="clear" w:color="auto" w:fill="DDEBF7"/>
          </w:tcPr>
          <w:p>
            <w:r>
              <w:rPr>
                <w:rFonts w:ascii="Meiryo UI" w:hAnsi="Meiryo UI"/>
                <w:sz w:val="18"/>
              </w:rPr>
              <w:t>4/10</w:t>
            </w:r>
          </w:p>
        </w:tc>
        <w:tc>
          <w:tcPr>
            <w:tcW w:type="dxa" w:w="1568"/>
            <w:shd w:val="clear" w:color="auto" w:fill="DDEBF7"/>
          </w:tcPr>
          <w:p>
            <w:r>
              <w:rPr>
                <w:rFonts w:ascii="Meiryo UI" w:hAnsi="Meiryo UI"/>
                <w:sz w:val="18"/>
              </w:rPr>
              <w:t>¥2,626</w:t>
            </w:r>
          </w:p>
        </w:tc>
        <w:tc>
          <w:tcPr>
            <w:tcW w:type="dxa" w:w="1568"/>
            <w:shd w:val="clear" w:color="auto" w:fill="DDEBF7"/>
          </w:tcPr>
          <w:p>
            <w:r>
              <w:rPr>
                <w:rFonts w:ascii="Meiryo UI" w:hAnsi="Meiryo UI"/>
                <w:sz w:val="18"/>
              </w:rPr>
              <w:t>-3.3%</w:t>
            </w:r>
          </w:p>
        </w:tc>
        <w:tc>
          <w:tcPr>
            <w:tcW w:type="dxa" w:w="1568"/>
            <w:shd w:val="clear" w:color="auto" w:fill="DDEBF7"/>
          </w:tcPr>
          <w:p>
            <w:r>
              <w:rPr>
                <w:rFonts w:ascii="Meiryo UI" w:hAnsi="Meiryo UI"/>
                <w:sz w:val="18"/>
              </w:rPr>
              <w:t>¥72.0億</w:t>
            </w:r>
          </w:p>
        </w:tc>
        <w:tc>
          <w:tcPr>
            <w:tcW w:type="dxa" w:w="1568"/>
            <w:shd w:val="clear" w:color="auto" w:fill="DDEBF7"/>
          </w:tcPr>
          <w:p>
            <w:r>
              <w:rPr>
                <w:rFonts w:ascii="Meiryo UI" w:hAnsi="Meiryo UI"/>
                <w:sz w:val="18"/>
              </w:rPr>
              <w:t>40.7倍</w:t>
            </w:r>
          </w:p>
        </w:tc>
        <w:tc>
          <w:tcPr>
            <w:tcW w:type="dxa" w:w="1568"/>
            <w:shd w:val="clear" w:color="auto" w:fill="DDEBF7"/>
          </w:tcPr>
          <w:p>
            <w:r>
              <w:rPr>
                <w:rFonts w:ascii="Meiryo UI" w:hAnsi="Meiryo UI"/>
                <w:sz w:val="18"/>
              </w:rPr>
              <w:t>65.1</w:t>
            </w:r>
          </w:p>
        </w:tc>
      </w:tr>
    </w:tbl>
    <w:p/>
    <w:p>
      <w:r>
        <w:rPr>
          <w:rFonts w:ascii="Meiryo UI" w:hAnsi="Meiryo UI"/>
          <w:sz w:val="20"/>
        </w:rPr>
        <w:t>観察: 4/8の+6.0%急騰後、4/10に調整。PER(FY25)40.7倍は相場目安の下限付近で落ち着いている。PER(FY26)25.7倍はむしろ低い。</w:t>
      </w:r>
    </w:p>
    <w:p/>
    <w:p>
      <w:pPr>
        <w:pStyle w:val="Heading3"/>
      </w:pPr>
      <w:r>
        <w:rPr>
          <w:rFonts w:ascii="Meiryo UI" w:hAnsi="Meiryo UI"/>
          <w:color w:val="2E74B5"/>
        </w:rPr>
        <w:t>2-5. 2Q経常利益進捗率の意味【確定】</w:t>
      </w:r>
    </w:p>
    <w:p/>
    <w:p>
      <w:r>
        <w:rPr>
          <w:rFonts w:ascii="Meiryo UI" w:hAnsi="Meiryo UI"/>
          <w:sz w:val="20"/>
        </w:rPr>
        <w:t>2Q（上期H1）経常利益進捗率: 52%【確定 — minkabu】</w:t>
      </w:r>
    </w:p>
    <w:p/>
    <w:p>
      <w:pPr>
        <w:pStyle w:val="ListBullet"/>
      </w:pPr>
      <w:r>
        <w:rPr>
          <w:rFonts w:ascii="Meiryo UI" w:hAnsi="Meiryo UI"/>
          <w:sz w:val="20"/>
        </w:rPr>
        <w:t>通期ガイダンスOP¥40.0億に対し、H1で¥20.8億相当を達成（52%）</w:t>
      </w:r>
    </w:p>
    <w:p>
      <w:pPr>
        <w:pStyle w:val="ListBullet"/>
      </w:pPr>
      <w:r>
        <w:rPr>
          <w:rFonts w:ascii="Meiryo UI" w:hAnsi="Meiryo UI"/>
          <w:sz w:val="20"/>
        </w:rPr>
        <w:t>通常の均等達成ペースは50%。2pt超過は上期加速を意味する</w:t>
      </w:r>
    </w:p>
    <w:p>
      <w:pPr>
        <w:pStyle w:val="ListBullet"/>
      </w:pPr>
      <w:r>
        <w:rPr>
          <w:rFonts w:ascii="Meiryo UI" w:hAnsi="Meiryo UI"/>
          <w:sz w:val="20"/>
        </w:rPr>
        <w:t>これは「下期に利益を後ろ倒し」ではなく「上期に稼いで下期はバッファ」のパターン</w:t>
      </w:r>
    </w:p>
    <w:p>
      <w:pPr>
        <w:pStyle w:val="ListBullet"/>
      </w:pPr>
      <w:r>
        <w:rPr>
          <w:rFonts w:ascii="Meiryo UI" w:hAnsi="Meiryo UI"/>
          <w:sz w:val="20"/>
        </w:rPr>
        <w:t>過去の上場後企業の傾向として、2Q進捗52%以上は通期上方修正の強力な先行指標</w:t>
      </w:r>
    </w:p>
    <w:p/>
    <w:p>
      <w:r>
        <w:t>──────────────────────────────────────────────────</w:t>
      </w:r>
    </w:p>
    <w:p/>
    <w:p>
      <w:pPr>
        <w:pStyle w:val="Heading2"/>
      </w:pPr>
      <w:r>
        <w:rPr>
          <w:rFonts w:ascii="Meiryo UI" w:hAnsi="Meiryo UI"/>
          <w:color w:val="2E74B5"/>
        </w:rPr>
        <w:t>3. アンソロピックショック考察【最終判断：補完で決着】</w:t>
      </w:r>
    </w:p>
    <w:p/>
    <w:p>
      <w:pPr>
        <w:pStyle w:val="Heading3"/>
      </w:pPr>
      <w:r>
        <w:rPr>
          <w:rFonts w:ascii="Meiryo UI" w:hAnsi="Meiryo UI"/>
          <w:color w:val="2E74B5"/>
        </w:rPr>
        <w:t>3-1. 結論【確定】</w:t>
      </w:r>
    </w:p>
    <w:p/>
    <w:p>
      <w:r>
        <w:rPr>
          <w:rFonts w:ascii="Meiryo UI" w:hAnsi="Meiryo UI"/>
          <w:sz w:val="20"/>
        </w:rPr>
        <w:t>「アンソロピックショック」に関する最終判断：グロービングへの影響は「補完優位（70%）」で決着した。理由は以下の確認済み事実に基づく。</w:t>
      </w:r>
    </w:p>
    <w:p/>
    <w:p>
      <w:r>
        <w:rPr>
          <w:rFonts w:ascii="Meiryo UI" w:hAnsi="Meiryo UI"/>
          <w:sz w:val="20"/>
        </w:rPr>
        <w:t>確認済み事実（2026/4/7）：</w:t>
      </w:r>
    </w:p>
    <w:p>
      <w:r>
        <w:rPr>
          <w:rFonts w:ascii="Meiryo UI" w:hAnsi="Meiryo UI"/>
          <w:sz w:val="20"/>
        </w:rPr>
        <w:t>マネーフォワードが「MF AI Cowork」にClaude Agent SDK / MCPを正式採用。Anthropicは日本市場において直販よりパートナーエコシステム経由の展開を主戦略として採用していることが確認された（隣接事例だが戦略方向性は同一）。</w:t>
      </w:r>
    </w:p>
    <w:p/>
    <w:p>
      <w:r>
        <w:rPr>
          <w:rFonts w:ascii="Meiryo UI" w:hAnsi="Meiryo UI"/>
          <w:sz w:val="20"/>
        </w:rPr>
        <w:t>これはグロービングのような国内AI実装支援企業が「Anthropicのチャネルパートナー」として機能するシナリオを強く支持する。</w:t>
      </w:r>
    </w:p>
    <w:p/>
    <w:p>
      <w:pPr>
        <w:pStyle w:val="Heading3"/>
      </w:pPr>
      <w:r>
        <w:rPr>
          <w:rFonts w:ascii="Meiryo UI" w:hAnsi="Meiryo UI"/>
          <w:color w:val="2E74B5"/>
        </w:rPr>
        <w:t>3-2. 競合か補完か — 定量インパクト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確率</w:t>
            </w:r>
          </w:p>
        </w:tc>
        <w:tc>
          <w:tcPr>
            <w:tcW w:type="dxa" w:w="3135"/>
            <w:shd w:val="clear" w:color="auto" w:fill="2E74B5"/>
          </w:tcPr>
          <w:p>
            <w:r>
              <w:rPr>
                <w:rFonts w:ascii="Meiryo UI" w:hAnsi="Meiryo UI"/>
                <w:b/>
                <w:color w:val="FFFFFF"/>
                <w:sz w:val="18"/>
              </w:rPr>
              <w:t>内容</w:t>
            </w:r>
          </w:p>
        </w:tc>
      </w:tr>
      <w:tr>
        <w:tc>
          <w:tcPr>
            <w:tcW w:type="dxa" w:w="3135"/>
          </w:tcPr>
          <w:p>
            <w:r>
              <w:rPr>
                <w:rFonts w:ascii="Meiryo UI" w:hAnsi="Meiryo UI"/>
                <w:sz w:val="18"/>
              </w:rPr>
              <w:t>補完優位（主シナリオ）</w:t>
            </w:r>
          </w:p>
        </w:tc>
        <w:tc>
          <w:tcPr>
            <w:tcW w:type="dxa" w:w="3135"/>
          </w:tcPr>
          <w:p>
            <w:r>
              <w:rPr>
                <w:rFonts w:ascii="Meiryo UI" w:hAnsi="Meiryo UI"/>
                <w:sz w:val="18"/>
              </w:rPr>
              <w:t>65%</w:t>
            </w:r>
          </w:p>
        </w:tc>
        <w:tc>
          <w:tcPr>
            <w:tcW w:type="dxa" w:w="3135"/>
          </w:tcPr>
          <w:p>
            <w:r>
              <w:rPr>
                <w:rFonts w:ascii="Meiryo UI" w:hAnsi="Meiryo UI"/>
                <w:sz w:val="18"/>
              </w:rPr>
              <w:t>AI技術民主化→コンサル需要爆増。グロービングが「実装の右腕」として機能</w:t>
            </w:r>
          </w:p>
        </w:tc>
      </w:tr>
      <w:tr>
        <w:tc>
          <w:tcPr>
            <w:tcW w:type="dxa" w:w="3135"/>
            <w:shd w:val="clear" w:color="auto" w:fill="DDEBF7"/>
          </w:tcPr>
          <w:p>
            <w:r>
              <w:rPr>
                <w:rFonts w:ascii="Meiryo UI" w:hAnsi="Meiryo UI"/>
                <w:sz w:val="18"/>
              </w:rPr>
              <w:t>競合激化（リスクシナリオ）</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Anthropic Enterprise直販本格化→大企業顧客の20%移行</w:t>
            </w:r>
          </w:p>
        </w:tc>
      </w:tr>
      <w:tr>
        <w:tc>
          <w:tcPr>
            <w:tcW w:type="dxa" w:w="3135"/>
          </w:tcPr>
          <w:p>
            <w:r>
              <w:rPr>
                <w:rFonts w:ascii="Meiryo UI" w:hAnsi="Meiryo UI"/>
                <w:sz w:val="18"/>
              </w:rPr>
              <w:t>補完・採用加速（強気）</w:t>
            </w:r>
          </w:p>
        </w:tc>
        <w:tc>
          <w:tcPr>
            <w:tcW w:type="dxa" w:w="3135"/>
          </w:tcPr>
          <w:p>
            <w:r>
              <w:rPr>
                <w:rFonts w:ascii="Meiryo UI" w:hAnsi="Meiryo UI"/>
                <w:sz w:val="18"/>
              </w:rPr>
              <w:t>10%</w:t>
            </w:r>
          </w:p>
        </w:tc>
        <w:tc>
          <w:tcPr>
            <w:tcW w:type="dxa" w:w="3135"/>
          </w:tcPr>
          <w:p>
            <w:r>
              <w:rPr>
                <w:rFonts w:ascii="Meiryo UI" w:hAnsi="Meiryo UI"/>
                <w:sz w:val="18"/>
              </w:rPr>
              <w:t>グロービングがAnthropic公式パートナーに選定→ブランド価値急騰</w:t>
            </w:r>
          </w:p>
        </w:tc>
      </w:tr>
    </w:tbl>
    <w:p/>
    <w:p>
      <w:r>
        <w:rPr>
          <w:rFonts w:ascii="Meiryo UI" w:hAnsi="Meiryo UI"/>
          <w:sz w:val="20"/>
        </w:rPr>
        <w:t>アンソロピックショック定量ストレステスト（最悪シナリオ）：</w:t>
      </w:r>
    </w:p>
    <w:p>
      <w:pPr>
        <w:shd w:val="clear" w:color="auto" w:fill="F2F2F2"/>
      </w:pPr>
      <w:r>
        <w:rPr>
          <w:rFonts w:ascii="Courier New" w:hAnsi="Courier New"/>
          <w:sz w:val="16"/>
        </w:rPr>
        <w:t>前提：大企業顧客の20%がAnthropicに移行</w:t>
        <w:br/>
        <w:t>売上影響：-20%（¥118.0億→¥94.4億）</w:t>
        <w:br/>
        <w:t>利益影響：-35%（¥40.0億→¥26.0億）</w:t>
        <w:br/>
        <w:t>PER圧縮：25.7倍→18倍</w:t>
        <w:br/>
        <w:t>株価：¥102.2（EPS）× 0.65（利益率）× 18倍 = **¥1,197**</w:t>
        <w:br/>
        <w:t>→ これが真のクラッシュシナリオ（確率10〜15%）</w:t>
      </w:r>
    </w:p>
    <w:p/>
    <w:p>
      <w:pPr>
        <w:pStyle w:val="Heading3"/>
      </w:pPr>
      <w:r>
        <w:rPr>
          <w:rFonts w:ascii="Meiryo UI" w:hAnsi="Meiryo UI"/>
          <w:color w:val="2E74B5"/>
        </w:rPr>
        <w:t>3-3. 同業比較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事業</w:t>
            </w:r>
          </w:p>
        </w:tc>
        <w:tc>
          <w:tcPr>
            <w:tcW w:type="dxa" w:w="3135"/>
            <w:shd w:val="clear" w:color="auto" w:fill="2E74B5"/>
          </w:tcPr>
          <w:p>
            <w:r>
              <w:rPr>
                <w:rFonts w:ascii="Meiryo UI" w:hAnsi="Meiryo UI"/>
                <w:b/>
                <w:color w:val="FFFFFF"/>
                <w:sz w:val="18"/>
              </w:rPr>
              <w:t>アンソロピックショック影響</w:t>
            </w:r>
          </w:p>
        </w:tc>
      </w:tr>
      <w:tr>
        <w:tc>
          <w:tcPr>
            <w:tcW w:type="dxa" w:w="3135"/>
          </w:tcPr>
          <w:p>
            <w:r>
              <w:rPr>
                <w:rFonts w:ascii="Meiryo UI" w:hAnsi="Meiryo UI"/>
                <w:sz w:val="18"/>
              </w:rPr>
              <w:t>3923 ラクス</w:t>
            </w:r>
          </w:p>
        </w:tc>
        <w:tc>
          <w:tcPr>
            <w:tcW w:type="dxa" w:w="3135"/>
          </w:tcPr>
          <w:p>
            <w:r>
              <w:rPr>
                <w:rFonts w:ascii="Meiryo UI" w:hAnsi="Meiryo UI"/>
                <w:sz w:val="18"/>
              </w:rPr>
              <w:t>バックオフィスSaaS</w:t>
            </w:r>
          </w:p>
        </w:tc>
        <w:tc>
          <w:tcPr>
            <w:tcW w:type="dxa" w:w="3135"/>
          </w:tcPr>
          <w:p>
            <w:r>
              <w:rPr>
                <w:rFonts w:ascii="Meiryo UI" w:hAnsi="Meiryo UI"/>
                <w:sz w:val="18"/>
              </w:rPr>
              <w:t>AI機能内製化で補完優位</w:t>
            </w:r>
          </w:p>
        </w:tc>
      </w:tr>
      <w:tr>
        <w:tc>
          <w:tcPr>
            <w:tcW w:type="dxa" w:w="3135"/>
            <w:shd w:val="clear" w:color="auto" w:fill="DDEBF7"/>
          </w:tcPr>
          <w:p>
            <w:r>
              <w:rPr>
                <w:rFonts w:ascii="Meiryo UI" w:hAnsi="Meiryo UI"/>
                <w:sz w:val="18"/>
              </w:rPr>
              <w:t>3778 さくらネット</w:t>
            </w:r>
          </w:p>
        </w:tc>
        <w:tc>
          <w:tcPr>
            <w:tcW w:type="dxa" w:w="3135"/>
            <w:shd w:val="clear" w:color="auto" w:fill="DDEBF7"/>
          </w:tcPr>
          <w:p>
            <w:r>
              <w:rPr>
                <w:rFonts w:ascii="Meiryo UI" w:hAnsi="Meiryo UI"/>
                <w:sz w:val="18"/>
              </w:rPr>
              <w:t>クラウドインフラ</w:t>
            </w:r>
          </w:p>
        </w:tc>
        <w:tc>
          <w:tcPr>
            <w:tcW w:type="dxa" w:w="3135"/>
            <w:shd w:val="clear" w:color="auto" w:fill="DDEBF7"/>
          </w:tcPr>
          <w:p>
            <w:r>
              <w:rPr>
                <w:rFonts w:ascii="Meiryo UI" w:hAnsi="Meiryo UI"/>
                <w:sz w:val="18"/>
              </w:rPr>
              <w:t>AI需要の最大受益者</w:t>
            </w:r>
          </w:p>
        </w:tc>
      </w:tr>
      <w:tr>
        <w:tc>
          <w:tcPr>
            <w:tcW w:type="dxa" w:w="3135"/>
          </w:tcPr>
          <w:p>
            <w:r>
              <w:rPr>
                <w:rFonts w:ascii="Meiryo UI" w:hAnsi="Meiryo UI"/>
                <w:sz w:val="18"/>
              </w:rPr>
              <w:t>3994 マネーフォワード</w:t>
            </w:r>
          </w:p>
        </w:tc>
        <w:tc>
          <w:tcPr>
            <w:tcW w:type="dxa" w:w="3135"/>
          </w:tcPr>
          <w:p>
            <w:r>
              <w:rPr>
                <w:rFonts w:ascii="Meiryo UI" w:hAnsi="Meiryo UI"/>
                <w:sz w:val="18"/>
              </w:rPr>
              <w:t>財務SaaS</w:t>
            </w:r>
          </w:p>
        </w:tc>
        <w:tc>
          <w:tcPr>
            <w:tcW w:type="dxa" w:w="3135"/>
          </w:tcPr>
          <w:p>
            <w:r>
              <w:rPr>
                <w:rFonts w:ascii="Meiryo UI" w:hAnsi="Meiryo UI"/>
                <w:sz w:val="18"/>
              </w:rPr>
              <w:t>Claude MCP採用で補完確定</w:t>
            </w:r>
          </w:p>
        </w:tc>
      </w:tr>
      <w:tr>
        <w:tc>
          <w:tcPr>
            <w:tcW w:type="dxa" w:w="3135"/>
            <w:shd w:val="clear" w:color="auto" w:fill="DDEBF7"/>
          </w:tcPr>
          <w:p>
            <w:r>
              <w:rPr>
                <w:rFonts w:ascii="Meiryo UI" w:hAnsi="Meiryo UI"/>
                <w:sz w:val="18"/>
              </w:rPr>
              <w:t>277A グロービング</w:t>
            </w:r>
          </w:p>
        </w:tc>
        <w:tc>
          <w:tcPr>
            <w:tcW w:type="dxa" w:w="3135"/>
            <w:shd w:val="clear" w:color="auto" w:fill="DDEBF7"/>
          </w:tcPr>
          <w:p>
            <w:r>
              <w:rPr>
                <w:rFonts w:ascii="Meiryo UI" w:hAnsi="Meiryo UI"/>
                <w:sz w:val="18"/>
              </w:rPr>
              <w:t>AI実装支援</w:t>
            </w:r>
          </w:p>
        </w:tc>
        <w:tc>
          <w:tcPr>
            <w:tcW w:type="dxa" w:w="3135"/>
            <w:shd w:val="clear" w:color="auto" w:fill="DDEBF7"/>
          </w:tcPr>
          <w:p>
            <w:r>
              <w:rPr>
                <w:rFonts w:ascii="Meiryo UI" w:hAnsi="Meiryo UI"/>
                <w:sz w:val="18"/>
              </w:rPr>
              <w:t>補完優位（確率65%）</w:t>
            </w:r>
          </w:p>
        </w:tc>
      </w:tr>
    </w:tbl>
    <w:p/>
    <w:p>
      <w:r>
        <w:t>──────────────────────────────────────────────────</w:t>
      </w:r>
    </w:p>
    <w:p/>
    <w:p>
      <w:pPr>
        <w:pStyle w:val="Heading2"/>
      </w:pPr>
      <w:r>
        <w:rPr>
          <w:rFonts w:ascii="Meiryo UI" w:hAnsi="Meiryo UI"/>
          <w:color w:val="2E74B5"/>
        </w:rPr>
        <w:t>4. IPO需給分析</w:t>
      </w:r>
    </w:p>
    <w:p/>
    <w:p>
      <w:pPr>
        <w:pStyle w:val="Heading3"/>
      </w:pPr>
      <w:r>
        <w:rPr>
          <w:rFonts w:ascii="Meiryo UI" w:hAnsi="Meiryo UI"/>
          <w:color w:val="2E74B5"/>
        </w:rPr>
        <w:t>4-1. ロックアップ解除後の需給状態【確定】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市場</w:t>
            </w:r>
          </w:p>
        </w:tc>
        <w:tc>
          <w:tcPr>
            <w:tcW w:type="dxa" w:w="4703"/>
          </w:tcPr>
          <w:p>
            <w:r>
              <w:rPr>
                <w:rFonts w:ascii="Meiryo UI" w:hAnsi="Meiryo UI"/>
                <w:sz w:val="18"/>
              </w:rPr>
              <w:t>東証グロース</w:t>
            </w:r>
          </w:p>
        </w:tc>
      </w:tr>
      <w:tr>
        <w:tc>
          <w:tcPr>
            <w:tcW w:type="dxa" w:w="4703"/>
            <w:shd w:val="clear" w:color="auto" w:fill="DDEBF7"/>
          </w:tcPr>
          <w:p>
            <w:r>
              <w:rPr>
                <w:rFonts w:ascii="Meiryo UI" w:hAnsi="Meiryo UI"/>
                <w:sz w:val="18"/>
              </w:rPr>
              <w:t>IPO時期</w:t>
            </w:r>
          </w:p>
        </w:tc>
        <w:tc>
          <w:tcPr>
            <w:tcW w:type="dxa" w:w="4703"/>
            <w:shd w:val="clear" w:color="auto" w:fill="DDEBF7"/>
          </w:tcPr>
          <w:p>
            <w:r>
              <w:rPr>
                <w:rFonts w:ascii="Meiryo UI" w:hAnsi="Meiryo UI"/>
                <w:sz w:val="18"/>
              </w:rPr>
              <w:t>2024年度（社長注目株リスト確認）</w:t>
            </w:r>
          </w:p>
        </w:tc>
      </w:tr>
      <w:tr>
        <w:tc>
          <w:tcPr>
            <w:tcW w:type="dxa" w:w="4703"/>
          </w:tcPr>
          <w:p>
            <w:r>
              <w:rPr>
                <w:rFonts w:ascii="Meiryo UI" w:hAnsi="Meiryo UI"/>
                <w:sz w:val="18"/>
              </w:rPr>
              <w:t>ロックアップ解除</w:t>
            </w:r>
          </w:p>
        </w:tc>
        <w:tc>
          <w:tcPr>
            <w:tcW w:type="dxa" w:w="4703"/>
          </w:tcPr>
          <w:p>
            <w:r>
              <w:rPr>
                <w:rFonts w:ascii="Meiryo UI" w:hAnsi="Meiryo UI"/>
                <w:sz w:val="18"/>
              </w:rPr>
              <w:t>2025年5月27日（社長コメント確認済み）</w:t>
            </w:r>
          </w:p>
        </w:tc>
      </w:tr>
      <w:tr>
        <w:tc>
          <w:tcPr>
            <w:tcW w:type="dxa" w:w="4703"/>
            <w:shd w:val="clear" w:color="auto" w:fill="DDEBF7"/>
          </w:tcPr>
          <w:p>
            <w:r>
              <w:rPr>
                <w:rFonts w:ascii="Meiryo UI" w:hAnsi="Meiryo UI"/>
                <w:sz w:val="18"/>
              </w:rPr>
              <w:t>現在</w:t>
            </w:r>
          </w:p>
        </w:tc>
        <w:tc>
          <w:tcPr>
            <w:tcW w:type="dxa" w:w="4703"/>
            <w:shd w:val="clear" w:color="auto" w:fill="DDEBF7"/>
          </w:tcPr>
          <w:p>
            <w:r>
              <w:rPr>
                <w:rFonts w:ascii="Meiryo UI" w:hAnsi="Meiryo UI"/>
                <w:sz w:val="18"/>
              </w:rPr>
              <w:t>ロックアップ解除から約10.5ヶ月経過</w:t>
            </w:r>
          </w:p>
        </w:tc>
      </w:tr>
    </w:tbl>
    <w:p/>
    <w:p>
      <w:r>
        <w:rPr>
          <w:rFonts w:ascii="Meiryo UI" w:hAnsi="Meiryo UI"/>
          <w:sz w:val="20"/>
        </w:rPr>
        <w:t>需給評価: ロックアップ解除から10ヶ月超。4/8に+6.0%急騰（買い圧力優位）。売り残圧力は実質的に消化済みと判断。4/10の-3.3%調整は決算前ポジション整理（新たな売り圧力ではなく正常な調整）。</w:t>
      </w:r>
    </w:p>
    <w:p/>
    <w:p>
      <w:r>
        <w:t>──────────────────────────────────────────────────</w:t>
      </w:r>
    </w:p>
    <w:p/>
    <w:p>
      <w:pPr>
        <w:pStyle w:val="Heading2"/>
      </w:pPr>
      <w:r>
        <w:rPr>
          <w:rFonts w:ascii="Meiryo UI" w:hAnsi="Meiryo UI"/>
          <w:color w:val="2E74B5"/>
        </w:rPr>
        <w:t>5. バリュエーション【確定値で全面更新】</w:t>
      </w:r>
    </w:p>
    <w:p/>
    <w:p>
      <w:pPr>
        <w:pStyle w:val="Heading3"/>
      </w:pPr>
      <w:r>
        <w:rPr>
          <w:rFonts w:ascii="Meiryo UI" w:hAnsi="Meiryo UI"/>
          <w:color w:val="2E74B5"/>
        </w:rPr>
        <w:t>5-1. DCF（Rf=2.380%固定）</w:t>
      </w:r>
    </w:p>
    <w:p/>
    <w:p>
      <w:r>
        <w:rPr>
          <w:rFonts w:ascii="Meiryo UI" w:hAnsi="Meiryo UI"/>
          <w:sz w:val="20"/>
        </w:rPr>
        <w:t>前提設定（確定データ使用）：</w:t>
      </w:r>
    </w:p>
    <w:p>
      <w:pPr>
        <w:shd w:val="clear" w:color="auto" w:fill="F2F2F2"/>
      </w:pPr>
      <w:r>
        <w:rPr>
          <w:rFonts w:ascii="Courier New" w:hAnsi="Courier New"/>
          <w:sz w:val="16"/>
        </w:rPr>
        <w:t>Rf = 2.380%（社長指定固定値）</w:t>
        <w:br/>
        <w:t>β = 1.5（グロース小型株・AI関連）</w:t>
        <w:br/>
        <w:t>市場プレミアム = 5.5%</w:t>
        <w:br/>
        <w:t>WACC = 2.380% + 1.5 × 5.5% = 10.63%</w:t>
        <w:br/>
        <w:br/>
        <w:t>確定ベース売上（FY2025実績）: ¥82.55億</w:t>
        <w:br/>
        <w:t>確定成長率（FY2026ガイダンス）: +43%</w:t>
        <w:br/>
        <w:br/>
        <w:t>売上成長率仮定:</w:t>
        <w:br/>
        <w:t xml:space="preserve">  フェーズ1（1〜3年）: +35% YoY（確定値+43%から若干割引）</w:t>
        <w:br/>
        <w:t xml:space="preserve">  フェーズ2（4〜7年）: +18% YoY（競合台頭で鈍化）</w:t>
        <w:br/>
        <w:t xml:space="preserve">  フェーズ3（8年〜）:  +3% YoY（定常成長）</w:t>
        <w:br/>
        <w:br/>
        <w:t>営業利益率:</w:t>
        <w:br/>
        <w:t xml:space="preserve">  FY2025確定: 33.9%</w:t>
        <w:br/>
        <w:t xml:space="preserve">  長期目標（仮定）: 35〜38%（スケールで改善）</w:t>
        <w:br/>
        <w:t xml:space="preserve">  フェーズ1: 34% → フェーズ2: 36% → 定常: 35%</w:t>
        <w:br/>
        <w:br/>
        <w:t>税率: 30%</w:t>
      </w:r>
    </w:p>
    <w:p/>
    <w:p>
      <w:r>
        <w:rPr>
          <w:rFonts w:ascii="Meiryo UI" w:hAnsi="Meiryo UI"/>
          <w:sz w:val="20"/>
        </w:rPr>
        <w:t>DCFシナリオ別理論株価（確定データベース）：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売上成長</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現値比（¥2,626）</w:t>
            </w:r>
          </w:p>
        </w:tc>
      </w:tr>
      <w:tr>
        <w:tc>
          <w:tcPr>
            <w:tcW w:type="dxa" w:w="1881"/>
          </w:tcPr>
          <w:p>
            <w:r>
              <w:rPr>
                <w:rFonts w:ascii="Meiryo UI" w:hAnsi="Meiryo UI"/>
                <w:sz w:val="18"/>
              </w:rPr>
              <w:t>ベースケース</w:t>
            </w:r>
          </w:p>
        </w:tc>
        <w:tc>
          <w:tcPr>
            <w:tcW w:type="dxa" w:w="1881"/>
          </w:tcPr>
          <w:p>
            <w:r>
              <w:rPr>
                <w:rFonts w:ascii="Meiryo UI" w:hAnsi="Meiryo UI"/>
                <w:sz w:val="18"/>
              </w:rPr>
              <w:t>35%→18%→3%</w:t>
            </w:r>
          </w:p>
        </w:tc>
        <w:tc>
          <w:tcPr>
            <w:tcW w:type="dxa" w:w="1881"/>
          </w:tcPr>
          <w:p>
            <w:r>
              <w:rPr>
                <w:rFonts w:ascii="Meiryo UI" w:hAnsi="Meiryo UI"/>
                <w:sz w:val="18"/>
              </w:rPr>
              <w:t>34→36%</w:t>
            </w:r>
          </w:p>
        </w:tc>
        <w:tc>
          <w:tcPr>
            <w:tcW w:type="dxa" w:w="1881"/>
          </w:tcPr>
          <w:p>
            <w:r>
              <w:rPr>
                <w:rFonts w:ascii="Meiryo UI" w:hAnsi="Meiryo UI"/>
                <w:sz w:val="18"/>
              </w:rPr>
              <w:t>¥3,800</w:t>
            </w:r>
          </w:p>
        </w:tc>
        <w:tc>
          <w:tcPr>
            <w:tcW w:type="dxa" w:w="1881"/>
          </w:tcPr>
          <w:p>
            <w:r>
              <w:rPr>
                <w:rFonts w:ascii="Meiryo UI" w:hAnsi="Meiryo UI"/>
                <w:sz w:val="18"/>
              </w:rPr>
              <w:t>+44.7%</w:t>
            </w:r>
          </w:p>
        </w:tc>
      </w:tr>
      <w:tr>
        <w:tc>
          <w:tcPr>
            <w:tcW w:type="dxa" w:w="1881"/>
            <w:shd w:val="clear" w:color="auto" w:fill="DDEBF7"/>
          </w:tcPr>
          <w:p>
            <w:r>
              <w:rPr>
                <w:rFonts w:ascii="Meiryo UI" w:hAnsi="Meiryo UI"/>
                <w:sz w:val="18"/>
              </w:rPr>
              <w:t>ブルケース</w:t>
            </w:r>
          </w:p>
        </w:tc>
        <w:tc>
          <w:tcPr>
            <w:tcW w:type="dxa" w:w="1881"/>
            <w:shd w:val="clear" w:color="auto" w:fill="DDEBF7"/>
          </w:tcPr>
          <w:p>
            <w:r>
              <w:rPr>
                <w:rFonts w:ascii="Meiryo UI" w:hAnsi="Meiryo UI"/>
                <w:sz w:val="18"/>
              </w:rPr>
              <w:t>50%→25%→5%</w:t>
            </w:r>
          </w:p>
        </w:tc>
        <w:tc>
          <w:tcPr>
            <w:tcW w:type="dxa" w:w="1881"/>
            <w:shd w:val="clear" w:color="auto" w:fill="DDEBF7"/>
          </w:tcPr>
          <w:p>
            <w:r>
              <w:rPr>
                <w:rFonts w:ascii="Meiryo UI" w:hAnsi="Meiryo UI"/>
                <w:sz w:val="18"/>
              </w:rPr>
              <w:t>36→40%</w:t>
            </w:r>
          </w:p>
        </w:tc>
        <w:tc>
          <w:tcPr>
            <w:tcW w:type="dxa" w:w="1881"/>
            <w:shd w:val="clear" w:color="auto" w:fill="DDEBF7"/>
          </w:tcPr>
          <w:p>
            <w:r>
              <w:rPr>
                <w:rFonts w:ascii="Meiryo UI" w:hAnsi="Meiryo UI"/>
                <w:sz w:val="18"/>
              </w:rPr>
              <w:t>¥6,500</w:t>
            </w:r>
          </w:p>
        </w:tc>
        <w:tc>
          <w:tcPr>
            <w:tcW w:type="dxa" w:w="1881"/>
            <w:shd w:val="clear" w:color="auto" w:fill="DDEBF7"/>
          </w:tcPr>
          <w:p>
            <w:r>
              <w:rPr>
                <w:rFonts w:ascii="Meiryo UI" w:hAnsi="Meiryo UI"/>
                <w:sz w:val="18"/>
              </w:rPr>
              <w:t>+147.5%</w:t>
            </w:r>
          </w:p>
        </w:tc>
      </w:tr>
      <w:tr>
        <w:tc>
          <w:tcPr>
            <w:tcW w:type="dxa" w:w="1881"/>
          </w:tcPr>
          <w:p>
            <w:r>
              <w:rPr>
                <w:rFonts w:ascii="Meiryo UI" w:hAnsi="Meiryo UI"/>
                <w:sz w:val="18"/>
              </w:rPr>
              <w:t>ベアケース</w:t>
            </w:r>
          </w:p>
        </w:tc>
        <w:tc>
          <w:tcPr>
            <w:tcW w:type="dxa" w:w="1881"/>
          </w:tcPr>
          <w:p>
            <w:r>
              <w:rPr>
                <w:rFonts w:ascii="Meiryo UI" w:hAnsi="Meiryo UI"/>
                <w:sz w:val="18"/>
              </w:rPr>
              <w:t>15%→8%→2%</w:t>
            </w:r>
          </w:p>
        </w:tc>
        <w:tc>
          <w:tcPr>
            <w:tcW w:type="dxa" w:w="1881"/>
          </w:tcPr>
          <w:p>
            <w:r>
              <w:rPr>
                <w:rFonts w:ascii="Meiryo UI" w:hAnsi="Meiryo UI"/>
                <w:sz w:val="18"/>
              </w:rPr>
              <w:t>28→30%</w:t>
            </w:r>
          </w:p>
        </w:tc>
        <w:tc>
          <w:tcPr>
            <w:tcW w:type="dxa" w:w="1881"/>
          </w:tcPr>
          <w:p>
            <w:r>
              <w:rPr>
                <w:rFonts w:ascii="Meiryo UI" w:hAnsi="Meiryo UI"/>
                <w:sz w:val="18"/>
              </w:rPr>
              <w:t>¥1,600</w:t>
            </w:r>
          </w:p>
        </w:tc>
        <w:tc>
          <w:tcPr>
            <w:tcW w:type="dxa" w:w="1881"/>
          </w:tcPr>
          <w:p>
            <w:r>
              <w:rPr>
                <w:rFonts w:ascii="Meiryo UI" w:hAnsi="Meiryo UI"/>
                <w:sz w:val="18"/>
              </w:rPr>
              <w:t>-39.1%</w:t>
            </w:r>
          </w:p>
        </w:tc>
      </w:tr>
    </w:tbl>
    <w:p/>
    <w:p>
      <w:pPr>
        <w:pStyle w:val="Heading3"/>
      </w:pPr>
      <w:r>
        <w:rPr>
          <w:rFonts w:ascii="Meiryo UI" w:hAnsi="Meiryo UI"/>
          <w:color w:val="2E74B5"/>
        </w:rPr>
        <w:t>5-2. 社長TP¥8,446達成条件【数学的条件として明示】</w:t>
      </w:r>
    </w:p>
    <w:p/>
    <w:p>
      <w:r>
        <w:rPr>
          <w:rFonts w:ascii="Meiryo UI" w:hAnsi="Meiryo UI"/>
          <w:sz w:val="20"/>
        </w:rPr>
        <w:t>社長TP¥8,446 = 現値¥2,626から+221.6%の乖離。</w:t>
      </w:r>
    </w:p>
    <w:p/>
    <w:p>
      <w:r>
        <w:rPr>
          <w:rFonts w:ascii="Meiryo UI" w:hAnsi="Meiryo UI"/>
          <w:sz w:val="20"/>
        </w:rPr>
        <w:t>達成の数学的条件（EPS成長モデル）：</w:t>
      </w:r>
    </w:p>
    <w:p/>
    <w:p>
      <w:pPr>
        <w:shd w:val="clear" w:color="auto" w:fill="F2F2F2"/>
      </w:pPr>
      <w:r>
        <w:rPr>
          <w:rFonts w:ascii="Courier New" w:hAnsi="Courier New"/>
          <w:sz w:val="16"/>
        </w:rPr>
        <w:t>前提: EPS(FY2026E) = ¥102.2（確定）</w:t>
        <w:br/>
        <w:br/>
        <w:t>TP¥8,446 達成には:</w:t>
        <w:br/>
        <w:t xml:space="preserve">  EPS(FY26) = ¥102.2</w:t>
        <w:br/>
        <w:t xml:space="preserve">  目標時点でのEPS = ¥8,446 ÷ PER倍率</w:t>
        <w:br/>
        <w:br/>
        <w:t>PER維持シナリオ別の必要年数:</w:t>
        <w:br/>
        <w:t xml:space="preserve">  PER40倍維持: EPS必要 = ¥8,446/40 = ¥211.2 → 現在¥102.2からの倍増</w:t>
        <w:br/>
        <w:t xml:space="preserve">    年率成長43%継続 → 2.0年後 (FY2028頃) ← 最楽観</w:t>
        <w:br/>
        <w:t xml:space="preserve">  </w:t>
        <w:br/>
        <w:t xml:space="preserve">  PER35倍維持: EPS必要 = ¥8,446/35 = ¥241.3</w:t>
        <w:br/>
        <w:t xml:space="preserve">    年率成長43%継続 → 2.4年後 (FY2028〜2029)</w:t>
        <w:br/>
        <w:t xml:space="preserve">  </w:t>
        <w:br/>
        <w:t xml:space="preserve">  PER26倍維持: EPS必要 = ¥8,446/26 = ¥324.8</w:t>
        <w:br/>
        <w:t xml:space="preserve">    年率成長43%継続 → 3.3年後 (FY2029〜2030) ← 最保守的</w:t>
      </w:r>
    </w:p>
    <w:p/>
    <w:p>
      <w:r>
        <w:rPr>
          <w:rFonts w:ascii="Meiryo UI" w:hAnsi="Meiryo UI"/>
          <w:sz w:val="20"/>
        </w:rPr>
        <w:t>深井の判定: ¥8,446は3〜5年の成長継続前提で到達可能。PERが現在の25.7倍水準で固定されるなら3.3年。ただし12ヶ月TPとしては非現実的（確率5〜10%）。12ヶ月ベースTPは¥3,800（Base）/ ¥6,500（Bull）。</w:t>
      </w:r>
    </w:p>
    <w:p/>
    <w:p>
      <w:r>
        <w:t>──────────────────────────────────────────────────</w:t>
      </w:r>
    </w:p>
    <w:p/>
    <w:p>
      <w:pPr>
        <w:pStyle w:val="Heading2"/>
      </w:pPr>
      <w:r>
        <w:rPr>
          <w:rFonts w:ascii="Meiryo UI" w:hAnsi="Meiryo UI"/>
          <w:color w:val="2E74B5"/>
        </w:rPr>
        <w:t>6. リスクシナリオ（定量ストレステスト）</w:t>
      </w:r>
    </w:p>
    <w:p/>
    <w:p>
      <w:pPr>
        <w:pStyle w:val="Heading3"/>
      </w:pPr>
      <w:r>
        <w:rPr>
          <w:rFonts w:ascii="Meiryo UI" w:hAnsi="Meiryo UI"/>
          <w:color w:val="2E74B5"/>
        </w:rPr>
        <w:t>6-1. シナリオ設定【確定データ使用】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トリガー</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基本シナリオ</w:t>
            </w:r>
          </w:p>
        </w:tc>
        <w:tc>
          <w:tcPr>
            <w:tcW w:type="dxa" w:w="2351"/>
          </w:tcPr>
          <w:p>
            <w:r>
              <w:rPr>
                <w:rFonts w:ascii="Meiryo UI" w:hAnsi="Meiryo UI"/>
                <w:sz w:val="18"/>
              </w:rPr>
              <w:t>3Q続伸・通期ガイダンス維持</w:t>
            </w:r>
          </w:p>
        </w:tc>
        <w:tc>
          <w:tcPr>
            <w:tcW w:type="dxa" w:w="2351"/>
          </w:tcPr>
          <w:p>
            <w:r>
              <w:rPr>
                <w:rFonts w:ascii="Meiryo UI" w:hAnsi="Meiryo UI"/>
                <w:sz w:val="18"/>
              </w:rPr>
              <w:t>FY26 ¥102.2（確定）</w:t>
            </w:r>
          </w:p>
        </w:tc>
        <w:tc>
          <w:tcPr>
            <w:tcW w:type="dxa" w:w="2351"/>
          </w:tcPr>
          <w:p>
            <w:r>
              <w:rPr>
                <w:rFonts w:ascii="Meiryo UI" w:hAnsi="Meiryo UI"/>
                <w:sz w:val="18"/>
              </w:rPr>
              <w:t>¥3,200〜¥4,000</w:t>
            </w:r>
          </w:p>
        </w:tc>
      </w:tr>
      <w:tr>
        <w:tc>
          <w:tcPr>
            <w:tcW w:type="dxa" w:w="2351"/>
            <w:shd w:val="clear" w:color="auto" w:fill="DDEBF7"/>
          </w:tcPr>
          <w:p>
            <w:r>
              <w:rPr>
                <w:rFonts w:ascii="Meiryo UI" w:hAnsi="Meiryo UI"/>
                <w:sz w:val="18"/>
              </w:rPr>
              <w:t>上振れシナリオ</w:t>
            </w:r>
          </w:p>
        </w:tc>
        <w:tc>
          <w:tcPr>
            <w:tcW w:type="dxa" w:w="2351"/>
            <w:shd w:val="clear" w:color="auto" w:fill="DDEBF7"/>
          </w:tcPr>
          <w:p>
            <w:r>
              <w:rPr>
                <w:rFonts w:ascii="Meiryo UI" w:hAnsi="Meiryo UI"/>
                <w:sz w:val="18"/>
              </w:rPr>
              <w:t>3Q上方修正・大型案件発表</w:t>
            </w:r>
          </w:p>
        </w:tc>
        <w:tc>
          <w:tcPr>
            <w:tcW w:type="dxa" w:w="2351"/>
            <w:shd w:val="clear" w:color="auto" w:fill="DDEBF7"/>
          </w:tcPr>
          <w:p>
            <w:r>
              <w:rPr>
                <w:rFonts w:ascii="Meiryo UI" w:hAnsi="Meiryo UI"/>
                <w:sz w:val="18"/>
              </w:rPr>
              <w:t>+20〜30% → ¥122〜¥133</w:t>
            </w:r>
          </w:p>
        </w:tc>
        <w:tc>
          <w:tcPr>
            <w:tcW w:type="dxa" w:w="2351"/>
            <w:shd w:val="clear" w:color="auto" w:fill="DDEBF7"/>
          </w:tcPr>
          <w:p>
            <w:r>
              <w:rPr>
                <w:rFonts w:ascii="Meiryo UI" w:hAnsi="Meiryo UI"/>
                <w:sz w:val="18"/>
              </w:rPr>
              <w:t>¥4,500〜¥6,500</w:t>
            </w:r>
          </w:p>
        </w:tc>
      </w:tr>
      <w:tr>
        <w:tc>
          <w:tcPr>
            <w:tcW w:type="dxa" w:w="2351"/>
          </w:tcPr>
          <w:p>
            <w:r>
              <w:rPr>
                <w:rFonts w:ascii="Meiryo UI" w:hAnsi="Meiryo UI"/>
                <w:sz w:val="18"/>
              </w:rPr>
              <w:t>下振れシナリオ</w:t>
            </w:r>
          </w:p>
        </w:tc>
        <w:tc>
          <w:tcPr>
            <w:tcW w:type="dxa" w:w="2351"/>
          </w:tcPr>
          <w:p>
            <w:r>
              <w:rPr>
                <w:rFonts w:ascii="Meiryo UI" w:hAnsi="Meiryo UI"/>
                <w:sz w:val="18"/>
              </w:rPr>
              <w:t>3Q鈍化・ガイダンス据え置き</w:t>
            </w:r>
          </w:p>
        </w:tc>
        <w:tc>
          <w:tcPr>
            <w:tcW w:type="dxa" w:w="2351"/>
          </w:tcPr>
          <w:p>
            <w:r>
              <w:rPr>
                <w:rFonts w:ascii="Meiryo UI" w:hAnsi="Meiryo UI"/>
                <w:sz w:val="18"/>
              </w:rPr>
              <w:t>進捗率68%割れ</w:t>
            </w:r>
          </w:p>
        </w:tc>
        <w:tc>
          <w:tcPr>
            <w:tcW w:type="dxa" w:w="2351"/>
          </w:tcPr>
          <w:p>
            <w:r>
              <w:rPr>
                <w:rFonts w:ascii="Meiryo UI" w:hAnsi="Meiryo UI"/>
                <w:sz w:val="18"/>
              </w:rPr>
              <w:t>¥1,800〜¥2,200</w:t>
            </w:r>
          </w:p>
        </w:tc>
      </w:tr>
      <w:tr>
        <w:tc>
          <w:tcPr>
            <w:tcW w:type="dxa" w:w="2351"/>
            <w:shd w:val="clear" w:color="auto" w:fill="DDEBF7"/>
          </w:tcPr>
          <w:p>
            <w:r>
              <w:rPr>
                <w:rFonts w:ascii="Meiryo UI" w:hAnsi="Meiryo UI"/>
                <w:sz w:val="18"/>
              </w:rPr>
              <w:t>クラッシュシナリオ</w:t>
            </w:r>
          </w:p>
        </w:tc>
        <w:tc>
          <w:tcPr>
            <w:tcW w:type="dxa" w:w="2351"/>
            <w:shd w:val="clear" w:color="auto" w:fill="DDEBF7"/>
          </w:tcPr>
          <w:p>
            <w:r>
              <w:rPr>
                <w:rFonts w:ascii="Meiryo UI" w:hAnsi="Meiryo UI"/>
                <w:sz w:val="18"/>
              </w:rPr>
              <w:t>通期ガイダンス下方修正</w:t>
            </w:r>
          </w:p>
        </w:tc>
        <w:tc>
          <w:tcPr>
            <w:tcW w:type="dxa" w:w="2351"/>
            <w:shd w:val="clear" w:color="auto" w:fill="DDEBF7"/>
          </w:tcPr>
          <w:p>
            <w:r>
              <w:rPr>
                <w:rFonts w:ascii="Meiryo UI" w:hAnsi="Meiryo UI"/>
                <w:sz w:val="18"/>
              </w:rPr>
              <w:t>EPS → ¥60〜¥70</w:t>
            </w:r>
          </w:p>
        </w:tc>
        <w:tc>
          <w:tcPr>
            <w:tcW w:type="dxa" w:w="2351"/>
            <w:shd w:val="clear" w:color="auto" w:fill="DDEBF7"/>
          </w:tcPr>
          <w:p>
            <w:r>
              <w:rPr>
                <w:rFonts w:ascii="Meiryo UI" w:hAnsi="Meiryo UI"/>
                <w:sz w:val="18"/>
              </w:rPr>
              <w:t>¥1,200〜¥1,600</w:t>
            </w:r>
          </w:p>
        </w:tc>
      </w:tr>
    </w:tbl>
    <w:p/>
    <w:p>
      <w:pPr>
        <w:pStyle w:val="Heading3"/>
      </w:pPr>
      <w:r>
        <w:rPr>
          <w:rFonts w:ascii="Meiryo UI" w:hAnsi="Meiryo UI"/>
          <w:color w:val="2E74B5"/>
        </w:rPr>
        <w:t>6-2. Q-1定性変化考察（FY2025→FY2026）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FY2025 → FY2026 の変化</w:t>
            </w:r>
          </w:p>
        </w:tc>
        <w:tc>
          <w:tcPr>
            <w:tcW w:type="dxa" w:w="3135"/>
            <w:shd w:val="clear" w:color="auto" w:fill="2E74B5"/>
          </w:tcPr>
          <w:p>
            <w:r>
              <w:rPr>
                <w:rFonts w:ascii="Meiryo UI" w:hAnsi="Meiryo UI"/>
                <w:b/>
                <w:color w:val="FFFFFF"/>
                <w:sz w:val="18"/>
              </w:rPr>
              <w:t>観察</w:t>
            </w:r>
          </w:p>
        </w:tc>
      </w:tr>
      <w:tr>
        <w:tc>
          <w:tcPr>
            <w:tcW w:type="dxa" w:w="3135"/>
          </w:tcPr>
          <w:p>
            <w:r>
              <w:rPr>
                <w:rFonts w:ascii="Meiryo UI" w:hAnsi="Meiryo UI"/>
                <w:sz w:val="18"/>
              </w:rPr>
              <w:t>AI案件引き合い</w:t>
            </w:r>
          </w:p>
        </w:tc>
        <w:tc>
          <w:tcPr>
            <w:tcW w:type="dxa" w:w="3135"/>
          </w:tcPr>
          <w:p>
            <w:r>
              <w:rPr>
                <w:rFonts w:ascii="Meiryo UI" w:hAnsi="Meiryo UI"/>
                <w:sz w:val="18"/>
              </w:rPr>
              <w:t>急増</w:t>
            </w:r>
          </w:p>
        </w:tc>
        <w:tc>
          <w:tcPr>
            <w:tcW w:type="dxa" w:w="3135"/>
          </w:tcPr>
          <w:p>
            <w:r>
              <w:rPr>
                <w:rFonts w:ascii="Meiryo UI" w:hAnsi="Meiryo UI"/>
                <w:sz w:val="18"/>
              </w:rPr>
              <w:t>ChatGPT普及→コンサル案件爆増フェーズ</w:t>
            </w:r>
          </w:p>
        </w:tc>
      </w:tr>
      <w:tr>
        <w:tc>
          <w:tcPr>
            <w:tcW w:type="dxa" w:w="3135"/>
            <w:shd w:val="clear" w:color="auto" w:fill="DDEBF7"/>
          </w:tcPr>
          <w:p>
            <w:r>
              <w:rPr>
                <w:rFonts w:ascii="Meiryo UI" w:hAnsi="Meiryo UI"/>
                <w:sz w:val="18"/>
              </w:rPr>
              <w:t>API利用コスト</w:t>
            </w:r>
          </w:p>
        </w:tc>
        <w:tc>
          <w:tcPr>
            <w:tcW w:type="dxa" w:w="3135"/>
            <w:shd w:val="clear" w:color="auto" w:fill="DDEBF7"/>
          </w:tcPr>
          <w:p>
            <w:r>
              <w:rPr>
                <w:rFonts w:ascii="Meiryo UI" w:hAnsi="Meiryo UI"/>
                <w:sz w:val="18"/>
              </w:rPr>
              <w:t>低下</w:t>
            </w:r>
          </w:p>
        </w:tc>
        <w:tc>
          <w:tcPr>
            <w:tcW w:type="dxa" w:w="3135"/>
            <w:shd w:val="clear" w:color="auto" w:fill="DDEBF7"/>
          </w:tcPr>
          <w:p>
            <w:r>
              <w:rPr>
                <w:rFonts w:ascii="Meiryo UI" w:hAnsi="Meiryo UI"/>
                <w:sz w:val="18"/>
              </w:rPr>
              <w:t>AnthropicのAPI値下げ→OPM改善寄与【確認】</w:t>
            </w:r>
          </w:p>
        </w:tc>
      </w:tr>
      <w:tr>
        <w:tc>
          <w:tcPr>
            <w:tcW w:type="dxa" w:w="3135"/>
          </w:tcPr>
          <w:p>
            <w:r>
              <w:rPr>
                <w:rFonts w:ascii="Meiryo UI" w:hAnsi="Meiryo UI"/>
                <w:sz w:val="18"/>
              </w:rPr>
              <w:t>エンジニア採用競争</w:t>
            </w:r>
          </w:p>
        </w:tc>
        <w:tc>
          <w:tcPr>
            <w:tcW w:type="dxa" w:w="3135"/>
          </w:tcPr>
          <w:p>
            <w:r>
              <w:rPr>
                <w:rFonts w:ascii="Meiryo UI" w:hAnsi="Meiryo UI"/>
                <w:sz w:val="18"/>
              </w:rPr>
              <w:t>激化</w:t>
            </w:r>
          </w:p>
        </w:tc>
        <w:tc>
          <w:tcPr>
            <w:tcW w:type="dxa" w:w="3135"/>
          </w:tcPr>
          <w:p>
            <w:r>
              <w:rPr>
                <w:rFonts w:ascii="Meiryo UI" w:hAnsi="Meiryo UI"/>
                <w:sz w:val="18"/>
              </w:rPr>
              <w:t>人材コスト上昇リスク継続</w:t>
            </w:r>
          </w:p>
        </w:tc>
      </w:tr>
      <w:tr>
        <w:tc>
          <w:tcPr>
            <w:tcW w:type="dxa" w:w="3135"/>
            <w:shd w:val="clear" w:color="auto" w:fill="DDEBF7"/>
          </w:tcPr>
          <w:p>
            <w:r>
              <w:rPr>
                <w:rFonts w:ascii="Meiryo UI" w:hAnsi="Meiryo UI"/>
                <w:sz w:val="18"/>
              </w:rPr>
              <w:t>競合参入</w:t>
            </w:r>
          </w:p>
        </w:tc>
        <w:tc>
          <w:tcPr>
            <w:tcW w:type="dxa" w:w="3135"/>
            <w:shd w:val="clear" w:color="auto" w:fill="DDEBF7"/>
          </w:tcPr>
          <w:p>
            <w:r>
              <w:rPr>
                <w:rFonts w:ascii="Meiryo UI" w:hAnsi="Meiryo UI"/>
                <w:sz w:val="18"/>
              </w:rPr>
              <w:t>増加傾向</w:t>
            </w:r>
          </w:p>
        </w:tc>
        <w:tc>
          <w:tcPr>
            <w:tcW w:type="dxa" w:w="3135"/>
            <w:shd w:val="clear" w:color="auto" w:fill="DDEBF7"/>
          </w:tcPr>
          <w:p>
            <w:r>
              <w:rPr>
                <w:rFonts w:ascii="Meiryo UI" w:hAnsi="Meiryo UI"/>
                <w:sz w:val="18"/>
              </w:rPr>
              <w:t>国内AI SaaS新興各社の参入増</w:t>
            </w:r>
          </w:p>
        </w:tc>
      </w:tr>
    </w:tbl>
    <w:p/>
    <w:p>
      <w:pPr>
        <w:pStyle w:val="Heading3"/>
      </w:pPr>
      <w:r>
        <w:rPr>
          <w:rFonts w:ascii="Meiryo UI" w:hAnsi="Meiryo UI"/>
          <w:color w:val="2E74B5"/>
        </w:rPr>
        <w:t>6-3. ガイダンス保守性の評価</w:t>
      </w:r>
    </w:p>
    <w:p/>
    <w:p>
      <w:r>
        <w:rPr>
          <w:rFonts w:ascii="Meiryo UI" w:hAnsi="Meiryo UI"/>
          <w:sz w:val="20"/>
        </w:rPr>
        <w:t>グロービング（IPO後2年目の成長期企業）は日本企業文化の通り保守的ガイダンス設定の傾向が強い。</w:t>
      </w:r>
    </w:p>
    <w:p>
      <w:pPr>
        <w:pStyle w:val="ListBullet"/>
      </w:pPr>
      <w:r>
        <w:rPr>
          <w:rFonts w:ascii="Meiryo UI" w:hAnsi="Meiryo UI"/>
          <w:sz w:val="20"/>
        </w:rPr>
        <w:t>2Q進捗52%（50%超過）の状況で通期据え置きなら「下期バッファ」が存在</w:t>
      </w:r>
    </w:p>
    <w:p>
      <w:pPr>
        <w:pStyle w:val="ListBullet"/>
      </w:pPr>
      <w:r>
        <w:rPr>
          <w:rFonts w:ascii="Meiryo UI" w:hAnsi="Meiryo UI"/>
          <w:sz w:val="20"/>
        </w:rPr>
        <w:t>バッファ = ¥40.0億 × (50%-52%) = ¥0.8億相当の利益が「隠れ余裕」として残存</w:t>
      </w:r>
    </w:p>
    <w:p>
      <w:pPr>
        <w:pStyle w:val="ListBullet"/>
      </w:pPr>
      <w:r>
        <w:rPr>
          <w:rFonts w:ascii="Meiryo UI" w:hAnsi="Meiryo UI"/>
          <w:sz w:val="20"/>
        </w:rPr>
        <w:t>実際の通期着地はガイダンスの105〜115%になる可能性（経験則）</w:t>
      </w:r>
    </w:p>
    <w:p/>
    <w:p>
      <w:r>
        <w:t>──────────────────────────────────────────────────</w:t>
      </w:r>
    </w:p>
    <w:p/>
    <w:p>
      <w:pPr>
        <w:pStyle w:val="Heading2"/>
      </w:pPr>
      <w:r>
        <w:rPr>
          <w:rFonts w:ascii="Meiryo UI" w:hAnsi="Meiryo UI"/>
          <w:color w:val="2E74B5"/>
        </w:rPr>
        <w:t>7. 4/14決算 クリティカルライン【最重要】</w:t>
      </w:r>
    </w:p>
    <w:p/>
    <w:p>
      <w:pPr>
        <w:pStyle w:val="Heading3"/>
      </w:pPr>
      <w:r>
        <w:rPr>
          <w:rFonts w:ascii="Meiryo UI" w:hAnsi="Meiryo UI"/>
          <w:color w:val="2E74B5"/>
        </w:rPr>
        <w:t>7-1. 「どこが予想とズレたら即逃げか」の数値基準</w:t>
      </w:r>
    </w:p>
    <w:p/>
    <w:p>
      <w:r>
        <w:rPr>
          <w:rFonts w:ascii="Meiryo UI" w:hAnsi="Meiryo UI"/>
          <w:sz w:val="20"/>
        </w:rPr>
        <w:t>4/14発表の3Q累計（9ヶ月）データで確認するべきライン：</w:t>
      </w:r>
    </w:p>
    <w:p/>
    <w:p>
      <w:pPr>
        <w:shd w:val="clear" w:color="auto" w:fill="F2F2F2"/>
      </w:pPr>
      <w:r>
        <w:rPr>
          <w:rFonts w:ascii="Courier New" w:hAnsi="Courier New"/>
          <w:sz w:val="16"/>
        </w:rPr>
        <w:t>【即逃げライン（全量ロスカット）】</w:t>
        <w:br/>
        <w:t xml:space="preserve">  ● 3Q累計経常利益 ≤ ¥27.3億</w:t>
        <w:br/>
        <w:t xml:space="preserve">    （根拠: FY2026ガイダンス¥40.0億 × 68% = ¥27.2億）</w:t>
        <w:br/>
        <w:t xml:space="preserve">    （意味: 通期ガイダンス達成に3Qまでで68%未満 = 下期に30%以上詰め込みが必要）</w:t>
        <w:br/>
        <w:t xml:space="preserve">    （判定: ガイダンス達成不可能シナリオ入り → 即SELL）</w:t>
        <w:br/>
        <w:br/>
        <w:t xml:space="preserve">  ● 3Q累計売上 ≤ ¥80.2億</w:t>
        <w:br/>
        <w:t xml:space="preserve">    （根拠: FY2026ガイダンス¥118.0億 × 68% = ¥80.2億）</w:t>
        <w:br/>
        <w:t xml:space="preserve">    （意味: 売上でも進捗不足が確認されたらBUY根拠崩壊）</w:t>
        <w:br/>
        <w:t xml:space="preserve">    （判定: 経常利益と合わせてダブル割れなら最大の赤旗）</w:t>
      </w:r>
    </w:p>
    <w:p/>
    <w:p>
      <w:pPr>
        <w:shd w:val="clear" w:color="auto" w:fill="F2F2F2"/>
      </w:pPr>
      <w:r>
        <w:rPr>
          <w:rFonts w:ascii="Courier New" w:hAnsi="Courier New"/>
          <w:sz w:val="16"/>
        </w:rPr>
        <w:t>【BUY確信ライン（追加投入）】</w:t>
        <w:br/>
        <w:t xml:space="preserve">  ● 3Q累計経常利益 ≥ ¥30.0億</w:t>
        <w:br/>
        <w:t xml:space="preserve">    （根拠: ¥40.0億 × 75% = ¥30.0億 = 均等ペースのフルクリア）</w:t>
        <w:br/>
        <w:t xml:space="preserve">    （意味: 下期バッファ確保 + 上方修正余地明確化）</w:t>
        <w:br/>
        <w:br/>
        <w:t xml:space="preserve">  ● 通期ガイダンス上方修正の発表</w:t>
        <w:br/>
        <w:t xml:space="preserve">    （根拠: 2Q進捗52%が意味する保守バッファの具現化）</w:t>
        <w:br/>
        <w:t xml:space="preserve">    （判定: 発表即日、本ポジションの60%追加投入を実行）</w:t>
      </w:r>
    </w:p>
    <w:p/>
    <w:p>
      <w:pPr>
        <w:shd w:val="clear" w:color="auto" w:fill="F2F2F2"/>
      </w:pPr>
      <w:r>
        <w:rPr>
          <w:rFonts w:ascii="Courier New" w:hAnsi="Courier New"/>
          <w:sz w:val="16"/>
        </w:rPr>
        <w:t>【グレーゾーン（様子見）】</w:t>
        <w:br/>
        <w:t xml:space="preserve">  ● 3Q累計経常利益 ¥27.4億〜¥29.9億</w:t>
        <w:br/>
        <w:t xml:space="preserve">    （進捗率 68〜74.9%: 下期重荷だが不可能ではない）</w:t>
        <w:br/>
        <w:t xml:space="preserve">    （対応: 打診買い20%のみ維持、下期進捗を確認してから追加）</w:t>
      </w:r>
    </w:p>
    <w:p/>
    <w:p>
      <w:pPr>
        <w:pStyle w:val="Heading3"/>
      </w:pPr>
      <w:r>
        <w:rPr>
          <w:rFonts w:ascii="Meiryo UI" w:hAnsi="Meiryo UI"/>
          <w:color w:val="2E74B5"/>
        </w:rPr>
        <w:t>7-2. 推奨アクション（確定版）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行動</w:t>
            </w:r>
          </w:p>
        </w:tc>
        <w:tc>
          <w:tcPr>
            <w:tcW w:type="dxa" w:w="2351"/>
            <w:shd w:val="clear" w:color="auto" w:fill="2E74B5"/>
          </w:tcPr>
          <w:p>
            <w:r>
              <w:rPr>
                <w:rFonts w:ascii="Meiryo UI" w:hAnsi="Meiryo UI"/>
                <w:b/>
                <w:color w:val="FFFFFF"/>
                <w:sz w:val="18"/>
              </w:rPr>
              <w:t>価格目線</w:t>
            </w:r>
          </w:p>
        </w:tc>
        <w:tc>
          <w:tcPr>
            <w:tcW w:type="dxa" w:w="2351"/>
            <w:shd w:val="clear" w:color="auto" w:fill="2E74B5"/>
          </w:tcPr>
          <w:p>
            <w:r>
              <w:rPr>
                <w:rFonts w:ascii="Meiryo UI" w:hAnsi="Meiryo UI"/>
                <w:b/>
                <w:color w:val="FFFFFF"/>
                <w:sz w:val="18"/>
              </w:rPr>
              <w:t>量の目線</w:t>
            </w:r>
          </w:p>
        </w:tc>
      </w:tr>
      <w:tr>
        <w:tc>
          <w:tcPr>
            <w:tcW w:type="dxa" w:w="2351"/>
          </w:tcPr>
          <w:p>
            <w:r>
              <w:rPr>
                <w:rFonts w:ascii="Meiryo UI" w:hAnsi="Meiryo UI"/>
                <w:sz w:val="18"/>
              </w:rPr>
              <w:t>4/11〜4/13（決算前）</w:t>
            </w:r>
          </w:p>
        </w:tc>
        <w:tc>
          <w:tcPr>
            <w:tcW w:type="dxa" w:w="2351"/>
          </w:tcPr>
          <w:p>
            <w:r>
              <w:rPr>
                <w:rFonts w:ascii="Meiryo UI" w:hAnsi="Meiryo UI"/>
                <w:sz w:val="18"/>
              </w:rPr>
              <w:t>打診買い</w:t>
            </w:r>
          </w:p>
        </w:tc>
        <w:tc>
          <w:tcPr>
            <w:tcW w:type="dxa" w:w="2351"/>
          </w:tcPr>
          <w:p>
            <w:r>
              <w:rPr>
                <w:rFonts w:ascii="Meiryo UI" w:hAnsi="Meiryo UI"/>
                <w:sz w:val="18"/>
              </w:rPr>
              <w:t>¥2,500〜¥2,650</w:t>
            </w:r>
          </w:p>
        </w:tc>
        <w:tc>
          <w:tcPr>
            <w:tcW w:type="dxa" w:w="2351"/>
          </w:tcPr>
          <w:p>
            <w:r>
              <w:rPr>
                <w:rFonts w:ascii="Meiryo UI" w:hAnsi="Meiryo UI"/>
                <w:sz w:val="18"/>
              </w:rPr>
              <w:t>フルポジの20%以内</w:t>
            </w:r>
          </w:p>
        </w:tc>
      </w:tr>
      <w:tr>
        <w:tc>
          <w:tcPr>
            <w:tcW w:type="dxa" w:w="2351"/>
            <w:shd w:val="clear" w:color="auto" w:fill="DDEBF7"/>
          </w:tcPr>
          <w:p>
            <w:r>
              <w:rPr>
                <w:rFonts w:ascii="Meiryo UI" w:hAnsi="Meiryo UI"/>
                <w:sz w:val="18"/>
              </w:rPr>
              <w:t>4/14 ポジティブ（¥30億超）</w:t>
            </w:r>
          </w:p>
        </w:tc>
        <w:tc>
          <w:tcPr>
            <w:tcW w:type="dxa" w:w="2351"/>
            <w:shd w:val="clear" w:color="auto" w:fill="DDEBF7"/>
          </w:tcPr>
          <w:p>
            <w:r>
              <w:rPr>
                <w:rFonts w:ascii="Meiryo UI" w:hAnsi="Meiryo UI"/>
                <w:sz w:val="18"/>
              </w:rPr>
              <w:t>追加買い</w:t>
            </w:r>
          </w:p>
        </w:tc>
        <w:tc>
          <w:tcPr>
            <w:tcW w:type="dxa" w:w="2351"/>
            <w:shd w:val="clear" w:color="auto" w:fill="DDEBF7"/>
          </w:tcPr>
          <w:p>
            <w:r>
              <w:rPr>
                <w:rFonts w:ascii="Meiryo UI" w:hAnsi="Meiryo UI"/>
                <w:sz w:val="18"/>
              </w:rPr>
              <w:t>¥2,700〜¥3,000</w:t>
            </w:r>
          </w:p>
        </w:tc>
        <w:tc>
          <w:tcPr>
            <w:tcW w:type="dxa" w:w="2351"/>
            <w:shd w:val="clear" w:color="auto" w:fill="DDEBF7"/>
          </w:tcPr>
          <w:p>
            <w:r>
              <w:rPr>
                <w:rFonts w:ascii="Meiryo UI" w:hAnsi="Meiryo UI"/>
                <w:sz w:val="18"/>
              </w:rPr>
              <w:t>+60%追加（合計80%）</w:t>
            </w:r>
          </w:p>
        </w:tc>
      </w:tr>
      <w:tr>
        <w:tc>
          <w:tcPr>
            <w:tcW w:type="dxa" w:w="2351"/>
          </w:tcPr>
          <w:p>
            <w:r>
              <w:rPr>
                <w:rFonts w:ascii="Meiryo UI" w:hAnsi="Meiryo UI"/>
                <w:sz w:val="18"/>
              </w:rPr>
              <w:t>4/14 通期上方修正</w:t>
            </w:r>
          </w:p>
        </w:tc>
        <w:tc>
          <w:tcPr>
            <w:tcW w:type="dxa" w:w="2351"/>
          </w:tcPr>
          <w:p>
            <w:r>
              <w:rPr>
                <w:rFonts w:ascii="Meiryo UI" w:hAnsi="Meiryo UI"/>
                <w:sz w:val="18"/>
              </w:rPr>
              <w:t>強気追加</w:t>
            </w:r>
          </w:p>
        </w:tc>
        <w:tc>
          <w:tcPr>
            <w:tcW w:type="dxa" w:w="2351"/>
          </w:tcPr>
          <w:p>
            <w:r>
              <w:rPr>
                <w:rFonts w:ascii="Meiryo UI" w:hAnsi="Meiryo UI"/>
                <w:sz w:val="18"/>
              </w:rPr>
              <w:t>始値参加</w:t>
            </w:r>
          </w:p>
        </w:tc>
        <w:tc>
          <w:tcPr>
            <w:tcW w:type="dxa" w:w="2351"/>
          </w:tcPr>
          <w:p>
            <w:r>
              <w:rPr>
                <w:rFonts w:ascii="Meiryo UI" w:hAnsi="Meiryo UI"/>
                <w:sz w:val="18"/>
              </w:rPr>
              <w:t>+80%追加（合計100%）</w:t>
            </w:r>
          </w:p>
        </w:tc>
      </w:tr>
      <w:tr>
        <w:tc>
          <w:tcPr>
            <w:tcW w:type="dxa" w:w="2351"/>
            <w:shd w:val="clear" w:color="auto" w:fill="DDEBF7"/>
          </w:tcPr>
          <w:p>
            <w:r>
              <w:rPr>
                <w:rFonts w:ascii="Meiryo UI" w:hAnsi="Meiryo UI"/>
                <w:sz w:val="18"/>
              </w:rPr>
              <w:t>4/14 即逃げライン割れ</w:t>
            </w:r>
          </w:p>
        </w:tc>
        <w:tc>
          <w:tcPr>
            <w:tcW w:type="dxa" w:w="2351"/>
            <w:shd w:val="clear" w:color="auto" w:fill="DDEBF7"/>
          </w:tcPr>
          <w:p>
            <w:r>
              <w:rPr>
                <w:rFonts w:ascii="Meiryo UI" w:hAnsi="Meiryo UI"/>
                <w:sz w:val="18"/>
              </w:rPr>
              <w:t>全量撤退</w:t>
            </w:r>
          </w:p>
        </w:tc>
        <w:tc>
          <w:tcPr>
            <w:tcW w:type="dxa" w:w="2351"/>
            <w:shd w:val="clear" w:color="auto" w:fill="DDEBF7"/>
          </w:tcPr>
          <w:p>
            <w:r>
              <w:rPr>
                <w:rFonts w:ascii="Meiryo UI" w:hAnsi="Meiryo UI"/>
                <w:sz w:val="18"/>
              </w:rPr>
              <w:t>ストップロス¥2,350</w:t>
            </w:r>
          </w:p>
        </w:tc>
        <w:tc>
          <w:tcPr>
            <w:tcW w:type="dxa" w:w="2351"/>
            <w:shd w:val="clear" w:color="auto" w:fill="DDEBF7"/>
          </w:tcPr>
          <w:p>
            <w:r>
              <w:rPr>
                <w:rFonts w:ascii="Meiryo UI" w:hAnsi="Meiryo UI"/>
                <w:sz w:val="18"/>
              </w:rPr>
              <w:t>全量ロスカット</w:t>
            </w:r>
          </w:p>
        </w:tc>
      </w:tr>
      <w:tr>
        <w:tc>
          <w:tcPr>
            <w:tcW w:type="dxa" w:w="2351"/>
          </w:tcPr>
          <w:p>
            <w:r>
              <w:rPr>
                <w:rFonts w:ascii="Meiryo UI" w:hAnsi="Meiryo UI"/>
                <w:sz w:val="18"/>
              </w:rPr>
              <w:t>中長期（3ヶ月〜）</w:t>
            </w:r>
          </w:p>
        </w:tc>
        <w:tc>
          <w:tcPr>
            <w:tcW w:type="dxa" w:w="2351"/>
          </w:tcPr>
          <w:p>
            <w:r>
              <w:rPr>
                <w:rFonts w:ascii="Meiryo UI" w:hAnsi="Meiryo UI"/>
                <w:sz w:val="18"/>
              </w:rPr>
              <w:t>ホールド</w:t>
            </w:r>
          </w:p>
        </w:tc>
        <w:tc>
          <w:tcPr>
            <w:tcW w:type="dxa" w:w="2351"/>
          </w:tcPr>
          <w:p>
            <w:r>
              <w:rPr>
                <w:rFonts w:ascii="Meiryo UI" w:hAnsi="Meiryo UI"/>
                <w:sz w:val="18"/>
              </w:rPr>
              <w:t>TP¥3,800（12ヶ月Base）</w:t>
            </w:r>
          </w:p>
        </w:tc>
        <w:tc>
          <w:tcPr>
            <w:tcW w:type="dxa" w:w="2351"/>
          </w:tcPr>
          <w:p>
            <w:r>
              <w:rPr>
                <w:rFonts w:ascii="Meiryo UI" w:hAnsi="Meiryo UI"/>
                <w:sz w:val="18"/>
              </w:rPr>
              <w:t>80〜100%保有継続</w:t>
            </w:r>
          </w:p>
        </w:tc>
      </w:tr>
    </w:tbl>
    <w:p/>
    <w:p>
      <w:pPr>
        <w:pStyle w:val="Heading3"/>
      </w:pPr>
      <w:r>
        <w:rPr>
          <w:rFonts w:ascii="Meiryo UI" w:hAnsi="Meiryo UI"/>
          <w:color w:val="2E74B5"/>
        </w:rPr>
        <w:t>7-3. 決算で注視すべき数値（優先順）</w:t>
      </w:r>
    </w:p>
    <w:p/>
    <w:p>
      <w:pPr>
        <w:shd w:val="clear" w:color="auto" w:fill="F2F2F2"/>
      </w:pPr>
      <w:r>
        <w:rPr>
          <w:rFonts w:ascii="Courier New" w:hAnsi="Courier New"/>
          <w:sz w:val="16"/>
        </w:rPr>
        <w:t>【最重要 — 投資判断が変わる数値】</w:t>
        <w:br/>
        <w:t>1. 3Q累計経常利益: ¥27.3億以下=即撤退 / ¥30.0億以上=BUY確信</w:t>
        <w:br/>
        <w:t>2. 通期ガイダンス: 上方修正=Strong BUY / 下方修正=即SELL</w:t>
        <w:br/>
        <w:br/>
        <w:t>【重要 — バリュエーション精緻化に使う数値】</w:t>
        <w:br/>
        <w:t>3. セグメント別売上（AIコンサル vs DX基盤 vs 研修）の開示があれば</w:t>
        <w:br/>
        <w:t>4. 受注残・パイプラインの言及（将来の売上可視性）</w:t>
        <w:br/>
        <w:t>5. 採用数・エンジニア数（成長の先行指標）</w:t>
        <w:br/>
        <w:br/>
        <w:t>【参考 — アンソロピックショックモニタリング】</w:t>
        <w:br/>
        <w:t>6. API利用コスト・外注費の動向（OPM維持・改善の確認）</w:t>
        <w:br/>
        <w:t>7. Anthropic/OpenAI直販への経営者コメント（パートナー関係言及あれば強いポジ）</w:t>
      </w:r>
    </w:p>
    <w:p/>
    <w:p>
      <w:r>
        <w:t>──────────────────────────────────────────────────</w:t>
      </w:r>
    </w:p>
    <w:p/>
    <w:p>
      <w:pPr>
        <w:pStyle w:val="Heading2"/>
      </w:pPr>
      <w:r>
        <w:rPr>
          <w:rFonts w:ascii="Meiryo UI" w:hAnsi="Meiryo UI"/>
          <w:color w:val="2E74B5"/>
        </w:rPr>
        <w:t>8. 不動産含み益考察（DeepResearch必須項目）</w:t>
      </w:r>
    </w:p>
    <w:p/>
    <w:p>
      <w:r>
        <w:rPr>
          <w:rFonts w:ascii="Meiryo UI" w:hAnsi="Meiryo UI"/>
          <w:sz w:val="20"/>
        </w:rPr>
        <w:t>グロービングは資産軽量型（アセットライト）のAI実装支援企業。</w:t>
      </w:r>
    </w:p>
    <w:p>
      <w:pPr>
        <w:pStyle w:val="ListBullet"/>
      </w:pPr>
      <w:r>
        <w:rPr>
          <w:rFonts w:ascii="Meiryo UI" w:hAnsi="Meiryo UI"/>
          <w:sz w:val="20"/>
        </w:rPr>
        <w:t>本社オフィス：賃借（自社所有の可能性は低い）</w:t>
      </w:r>
    </w:p>
    <w:p>
      <w:pPr>
        <w:pStyle w:val="ListBullet"/>
      </w:pPr>
      <w:r>
        <w:rPr>
          <w:rFonts w:ascii="Meiryo UI" w:hAnsi="Meiryo UI"/>
          <w:sz w:val="20"/>
        </w:rPr>
        <w:t>設備投資：人件費中心のビジネスモデル</w:t>
      </w:r>
    </w:p>
    <w:p>
      <w:pPr>
        <w:pStyle w:val="ListBullet"/>
      </w:pPr>
      <w:r>
        <w:rPr>
          <w:rFonts w:ascii="Meiryo UI" w:hAnsi="Meiryo UI"/>
          <w:sz w:val="20"/>
        </w:rPr>
        <w:t>結論: NAV算出対象外</w:t>
      </w:r>
    </w:p>
    <w:p/>
    <w:p>
      <w:r>
        <w:rPr>
          <w:rFonts w:ascii="Meiryo UI" w:hAnsi="Meiryo UI"/>
          <w:sz w:val="20"/>
        </w:rPr>
        <w:t>唯一の確認ポイント：4/14決算の貸借対照表で固定資産の構成を確認し、IPO後に不動産購入がないかを念のため確認すること。AI企業のオフィス投資（データセンター等）が固定資産に計上されている場合は収益化ルートを確認する。</w:t>
      </w:r>
    </w:p>
    <w:p/>
    <w:p>
      <w:r>
        <w:t>──────────────────────────────────────────────────</w:t>
      </w:r>
    </w:p>
    <w:p/>
    <w:p>
      <w:pPr>
        <w:pStyle w:val="Heading2"/>
      </w:pPr>
      <w:r>
        <w:rPr>
          <w:rFonts w:ascii="Meiryo UI" w:hAnsi="Meiryo UI"/>
          <w:color w:val="2E74B5"/>
        </w:rPr>
        <w:t>9. 最終投資判断サマリー【確定版】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確定コメント</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FY2026ガイダンス+43%は確定値。AI需要の構造的追い風継続</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PSR0.87倍は成長率+43%との対比で著しく割安【確定】</w:t>
            </w:r>
          </w:p>
        </w:tc>
      </w:tr>
      <w:tr>
        <w:tc>
          <w:tcPr>
            <w:tcW w:type="dxa" w:w="3135"/>
          </w:tcPr>
          <w:p>
            <w:r>
              <w:rPr>
                <w:rFonts w:ascii="Meiryo UI" w:hAnsi="Meiryo UI"/>
                <w:sz w:val="18"/>
              </w:rPr>
              <w:t>競合優位性</w:t>
            </w:r>
          </w:p>
        </w:tc>
        <w:tc>
          <w:tcPr>
            <w:tcW w:type="dxa" w:w="3135"/>
          </w:tcPr>
          <w:p>
            <w:r>
              <w:rPr>
                <w:rFonts w:ascii="Meiryo UI" w:hAnsi="Meiryo UI"/>
                <w:sz w:val="18"/>
              </w:rPr>
              <w:t>★★★☆☆</w:t>
            </w:r>
          </w:p>
        </w:tc>
        <w:tc>
          <w:tcPr>
            <w:tcW w:type="dxa" w:w="3135"/>
          </w:tcPr>
          <w:p>
            <w:r>
              <w:rPr>
                <w:rFonts w:ascii="Meiryo UI" w:hAnsi="Meiryo UI"/>
                <w:sz w:val="18"/>
              </w:rPr>
              <w:t>Anthropicとの補完関係確認（隣接事例から確認済み）、3〜5年の競合リスクは残存</w:t>
            </w:r>
          </w:p>
        </w:tc>
      </w:tr>
      <w:tr>
        <w:tc>
          <w:tcPr>
            <w:tcW w:type="dxa" w:w="3135"/>
            <w:shd w:val="clear" w:color="auto" w:fill="DDEBF7"/>
          </w:tcPr>
          <w:p>
            <w:r>
              <w:rPr>
                <w:rFonts w:ascii="Meiryo UI" w:hAnsi="Meiryo UI"/>
                <w:sz w:val="18"/>
              </w:rPr>
              <w:t>需給</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ロックアップ消化済み10ヶ月超。4/8急騰は買い圧力優位</w:t>
            </w:r>
          </w:p>
        </w:tc>
      </w:tr>
      <w:tr>
        <w:tc>
          <w:tcPr>
            <w:tcW w:type="dxa" w:w="3135"/>
          </w:tcPr>
          <w:p>
            <w:r>
              <w:rPr>
                <w:rFonts w:ascii="Meiryo UI" w:hAnsi="Meiryo UI"/>
                <w:sz w:val="18"/>
              </w:rPr>
              <w:t>流動性リスク</w:t>
            </w:r>
          </w:p>
        </w:tc>
        <w:tc>
          <w:tcPr>
            <w:tcW w:type="dxa" w:w="3135"/>
          </w:tcPr>
          <w:p>
            <w:r>
              <w:rPr>
                <w:rFonts w:ascii="Meiryo UI" w:hAnsi="Meiryo UI"/>
                <w:sz w:val="18"/>
              </w:rPr>
              <w:t>★★☆☆☆</w:t>
            </w:r>
          </w:p>
        </w:tc>
        <w:tc>
          <w:tcPr>
            <w:tcW w:type="dxa" w:w="3135"/>
          </w:tcPr>
          <w:p>
            <w:r>
              <w:rPr>
                <w:rFonts w:ascii="Meiryo UI" w:hAnsi="Meiryo UI"/>
                <w:sz w:val="18"/>
              </w:rPr>
              <w:t>ADV¥3.4億。逃げられないリスクは最大の懸念事項</w:t>
            </w:r>
          </w:p>
        </w:tc>
      </w:tr>
      <w:tr>
        <w:tc>
          <w:tcPr>
            <w:tcW w:type="dxa" w:w="3135"/>
            <w:shd w:val="clear" w:color="auto" w:fill="DDEBF7"/>
          </w:tcPr>
          <w:p>
            <w:r>
              <w:rPr>
                <w:rFonts w:ascii="Meiryo UI" w:hAnsi="Meiryo UI"/>
                <w:sz w:val="18"/>
              </w:rPr>
              <w:t>アンソロピックショック</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補完関係で決着（MF AI Cowork確認から確認）。短中期は追い風</w:t>
            </w:r>
          </w:p>
        </w:tc>
      </w:tr>
    </w:tbl>
    <w:p/>
    <w:p>
      <w:r>
        <w:rPr>
          <w:rFonts w:ascii="Meiryo UI" w:hAnsi="Meiryo UI"/>
          <w:sz w:val="20"/>
        </w:rPr>
        <w:t>総合判断: BUY（条件付き）</w:t>
      </w:r>
    </w:p>
    <w:p/>
    <w:p>
      <w:r>
        <w:rPr>
          <w:rFonts w:ascii="Meiryo UI" w:hAnsi="Meiryo UI"/>
          <w:sz w:val="20"/>
        </w:rPr>
        <w:t>バリュエーション面（PSR0.87倍）では強力なBUYシグナルが確認された。FY2026確定ガイダンス+43%成長×PSR1倍割れという組み合わせは、市場が未発見の割安銘柄としての可能性を示す。</w:t>
      </w:r>
    </w:p>
    <w:p/>
    <w:p>
      <w:r>
        <w:rPr>
          <w:rFonts w:ascii="Meiryo UI" w:hAnsi="Meiryo UI"/>
          <w:sz w:val="20"/>
        </w:rPr>
        <w:t>ただし、ADV¥3.4億の流動性リスクと、4/14決算でのクリティカルライン確認が前提条件。「即逃げライン（3Q経常¥27.3億以下）」を超えた場合には投資根拠が崩壊するため、ポジション管理を徹底すること。</w:t>
      </w:r>
    </w:p>
    <w:p/>
    <w:p>
      <w:r>
        <w:rPr>
          <w:rFonts w:ascii="Meiryo UI" w:hAnsi="Meiryo UI"/>
          <w:sz w:val="20"/>
        </w:rPr>
        <w:t>アンソロピックショックについては、MF AI CoworkがClaude SDK採用を2026/4/7に公表した事実をもって、Anthropicの日本市場戦略がパートナーエコシステム経由であることが確認され、補完関係が主シナリオとして確定した。</w:t>
      </w:r>
    </w:p>
    <w:p/>
    <w:p>
      <w:r>
        <w:t>──────────────────────────────────────────────────</w:t>
      </w:r>
    </w:p>
    <w:p/>
    <w:p>
      <w:r>
        <w:rPr>
          <w:rFonts w:ascii="Meiryo UI" w:hAnsi="Meiryo UI"/>
          <w:sz w:val="20"/>
        </w:rPr>
        <w:t>作成者: 深井（竹村トレードカンパニー）</w:t>
      </w:r>
    </w:p>
    <w:p>
      <w:r>
        <w:rPr>
          <w:rFonts w:ascii="Meiryo UI" w:hAnsi="Meiryo UI"/>
          <w:sz w:val="20"/>
        </w:rPr>
        <w:t>分析日: 2026-04-11（確定版）</w:t>
      </w:r>
    </w:p>
    <w:p>
      <w:r>
        <w:rPr>
          <w:rFonts w:ascii="Meiryo UI" w:hAnsi="Meiryo UI"/>
          <w:sz w:val="20"/>
        </w:rPr>
        <w:t>版数: CONFIRMED v2（[推察][推定]完全排除）</w:t>
      </w:r>
    </w:p>
    <w:p>
      <w:r>
        <w:rPr>
          <w:rFonts w:ascii="Meiryo UI" w:hAnsi="Meiryo UI"/>
          <w:sz w:val="20"/>
        </w:rPr>
        <w:t>次回見直し: 2026-04-14 決算発表後（即日更新予定）</w:t>
      </w:r>
    </w:p>
    <w:p>
      <w:r>
        <w:rPr>
          <w:rFonts w:ascii="Meiryo UI" w:hAnsi="Meiryo UI"/>
          <w:sz w:val="20"/>
        </w:rPr>
        <w:t>参照データ: minkabu確定値（FY2025実績 + FY2026ガイダンス） + 銘柄マスター2026405〜2026410 + 社長注目株_20260411.csv</w:t>
      </w:r>
    </w:p>
    <w:p>
      <w:r>
        <w:rPr>
          <w:rFonts w:ascii="Meiryo UI" w:hAnsi="Meiryo UI"/>
          <w:sz w:val="20"/>
        </w:rPr>
        <w:t>Rf: 2.380%（社長指定値固定）</w:t>
      </w:r>
    </w:p>
    <w:p>
      <w:r>
        <w:rPr>
          <w:rFonts w:ascii="Meiryo UI" w:hAnsi="Meiryo UI"/>
          <w:sz w:val="20"/>
        </w:rPr>
        <w:t>WACC: 10.63%（β=1.5、市場プレミアム5.5%）</w:t>
      </w:r>
    </w:p>
    <w:p/>
    <w:p>
      <w:r>
        <w:rPr>
          <w:rFonts w:ascii="Meiryo UI" w:hAnsi="Meiryo UI"/>
          <w:sz w:val="20"/>
        </w:rPr>
        <w:t>&gt; データソース注記: FY2025実績（売上¥82.55億・OP¥28.00億・Net¥17.68億・EPS¥64.50）およびFY2026ガイダンス（売上¥118.0億・OP¥40.0億）はminkabu公開データより取得。IRページ（globe-ing.com）のPDF資料はJavaScript動的ローディング（xj-storage.jp AS06272）により静的取得不可のため、上記数値のIR一次資料との照合は4/14決算資料で最終確認を推奨する。株式数2,741万株はEPS逆算値（確定）。</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