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Research：2875 東洋水産</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Deep Research：2875 東洋水産</w:t>
      </w:r>
    </w:p>
    <w:p>
      <w:r>
        <w:rPr>
          <w:rFonts w:ascii="Meiryo UI" w:hAnsi="Meiryo UI"/>
          <w:sz w:val="20"/>
        </w:rPr>
        <w:t>作成日：2026年4月20日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条件付きBUY（5/15本決算×次期中計BB発表を前に仕込む）</w:t>
            </w:r>
          </w:p>
        </w:tc>
      </w:tr>
      <w:tr>
        <w:tc>
          <w:tcPr>
            <w:tcW w:type="dxa" w:w="4703"/>
            <w:shd w:val="clear" w:color="auto" w:fill="DDEBF7"/>
          </w:tcPr>
          <w:p>
            <w:r>
              <w:rPr>
                <w:rFonts w:ascii="Meiryo UI" w:hAnsi="Meiryo UI"/>
                <w:sz w:val="18"/>
              </w:rPr>
              <w:t>FV（中央値）</w:t>
            </w:r>
          </w:p>
        </w:tc>
        <w:tc>
          <w:tcPr>
            <w:tcW w:type="dxa" w:w="4703"/>
            <w:shd w:val="clear" w:color="auto" w:fill="DDEBF7"/>
          </w:tcPr>
          <w:p>
            <w:r>
              <w:rPr>
                <w:rFonts w:ascii="Meiryo UI" w:hAnsi="Meiryo UI"/>
                <w:sz w:val="18"/>
              </w:rPr>
              <w:t>¥12,500（レンジ¥11,000〜¥14,500）</w:t>
            </w:r>
          </w:p>
        </w:tc>
      </w:tr>
      <w:tr>
        <w:tc>
          <w:tcPr>
            <w:tcW w:type="dxa" w:w="4703"/>
          </w:tcPr>
          <w:p>
            <w:r>
              <w:rPr>
                <w:rFonts w:ascii="Meiryo UI" w:hAnsi="Meiryo UI"/>
                <w:sz w:val="18"/>
              </w:rPr>
              <w:t>安全域</w:t>
            </w:r>
          </w:p>
        </w:tc>
        <w:tc>
          <w:tcPr>
            <w:tcW w:type="dxa" w:w="4703"/>
          </w:tcPr>
          <w:p>
            <w:r>
              <w:rPr>
                <w:rFonts w:ascii="Meiryo UI" w:hAnsi="Meiryo UI"/>
                <w:sz w:val="18"/>
              </w:rPr>
              <w:t>現値¥10,950 → FV中央比+14.2%。PBR2.11x vs Gordon Fair PBR2.65xで構造的割安</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NHGGPが発行済み17%BB＋配当性向40%を要求。会社は3月に資本コスト意識経営の新方針を発表済み。5/15本決算＋次期中計でBB大幅増加発表が最大カタリスト</w:t>
            </w:r>
          </w:p>
        </w:tc>
      </w:tr>
      <w:tr>
        <w:tc>
          <w:tcPr>
            <w:tcW w:type="dxa" w:w="4703"/>
          </w:tcPr>
          <w:p>
            <w:r>
              <w:rPr>
                <w:rFonts w:ascii="Meiryo UI" w:hAnsi="Meiryo UI"/>
                <w:sz w:val="18"/>
              </w:rPr>
              <w:t>弾丸②</w:t>
            </w:r>
          </w:p>
        </w:tc>
        <w:tc>
          <w:tcPr>
            <w:tcW w:type="dxa" w:w="4703"/>
          </w:tcPr>
          <w:p>
            <w:r>
              <w:rPr>
                <w:rFonts w:ascii="Meiryo UI" w:hAnsi="Meiryo UI"/>
                <w:sz w:val="18"/>
              </w:rPr>
              <w:t>北米マルチャン（インスタントラーメン首位）の高利益率構造。FY2026 Q3 9M OP+6.1% YoY・OPM約16%。食品セクター内で際立つ収益性</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ROE14.93%×BPS¥5,182×配当性向25.8%（→40%への拡張余地）。利益の質が高く還元余力が豊富</w:t>
            </w:r>
          </w:p>
        </w:tc>
      </w:tr>
      <w:tr>
        <w:tc>
          <w:tcPr>
            <w:tcW w:type="dxa" w:w="4703"/>
          </w:tcPr>
          <w:p>
            <w:r>
              <w:rPr>
                <w:rFonts w:ascii="Meiryo UI" w:hAnsi="Meiryo UI"/>
                <w:sz w:val="18"/>
              </w:rPr>
              <w:t>主要リスク</w:t>
            </w:r>
          </w:p>
        </w:tc>
        <w:tc>
          <w:tcPr>
            <w:tcW w:type="dxa" w:w="4703"/>
          </w:tcPr>
          <w:p>
            <w:r>
              <w:rPr>
                <w:rFonts w:ascii="Meiryo UI" w:hAnsi="Meiryo UI"/>
                <w:sz w:val="18"/>
              </w:rPr>
              <w:t>5/15次期中計でBB規模が市場期待（&gt;昨年3.01%）を下回った場合の失望売り。¥8〜15%急落リスク</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¥10,500〜¥10,800で打診30〜40%エントリー。5/15本決算+中計でBB昨年超確認後に本玉。SL¥9,800</w:t>
            </w:r>
          </w:p>
        </w:tc>
      </w:tr>
    </w:tbl>
    <w:p/>
    <w:p>
      <w:r>
        <w:rPr>
          <w:rFonts w:ascii="Meiryo UI" w:hAnsi="Meiryo UI"/>
          <w:sz w:val="20"/>
        </w:rPr>
        <w:t>現在株価：¥10,950（2026/4/17）　時価総額：¥1,094億（¥1.094兆）　PBR：2.11x　BPS：¥5,182　配当利回り：1.83%</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https://www.maruchan.co.jp/ir/</w:t>
      </w:r>
    </w:p>
    <w:p>
      <w:pPr>
        <w:pStyle w:val="ListBullet"/>
      </w:pPr>
      <w:r>
        <w:rPr>
          <w:rFonts w:ascii="Meiryo UI" w:hAnsi="Meiryo UI"/>
          <w:sz w:val="20"/>
        </w:rPr>
        <w:t>次回決算： 2026年5月15日（FY2026 3月期 本決算）← 約25日後・最大カタリスト</w:t>
      </w:r>
    </w:p>
    <w:p>
      <w:pPr>
        <w:pStyle w:val="ListBullet"/>
      </w:pPr>
      <w:r>
        <w:rPr>
          <w:rFonts w:ascii="Meiryo UI" w:hAnsi="Meiryo UI"/>
          <w:sz w:val="20"/>
        </w:rPr>
        <w:t>IR問い合わせ： 東洋水産株式会社 広報IR部</w:t>
      </w:r>
    </w:p>
    <w:p/>
    <w:p>
      <w:r>
        <w:t>──────────────────────────────────────────────────</w:t>
      </w:r>
    </w:p>
    <w:p/>
    <w:p>
      <w:pPr>
        <w:pStyle w:val="Heading2"/>
      </w:pPr>
      <w:r>
        <w:rPr>
          <w:rFonts w:ascii="Meiryo UI" w:hAnsi="Meiryo UI"/>
          <w:color w:val="2E74B5"/>
        </w:rPr>
        <w:t>【投資アイデアの核心：アクティビスト×中計×BB三重カタリスト】</w:t>
      </w:r>
    </w:p>
    <w:p/>
    <w:p>
      <w:pPr>
        <w:shd w:val="clear" w:color="auto" w:fill="F2F2F2"/>
      </w:pPr>
      <w:r>
        <w:rPr>
          <w:rFonts w:ascii="Courier New" w:hAnsi="Courier New"/>
          <w:sz w:val="16"/>
        </w:rPr>
        <w:t>2025年2月：NHGGP（約4%保有）が公開要求書を提出</w:t>
        <w:br/>
        <w:t xml:space="preserve">  ↓</w:t>
        <w:br/>
        <w:t xml:space="preserve">  ①一時的BB：発行済み17%（¥1,851億相当）</w:t>
        <w:br/>
        <w:t xml:space="preserve">  ②次期中計：配当性向40% + 純利益15%BB（毎年）</w:t>
        <w:br/>
        <w:t xml:space="preserve">  ③冷蔵倉庫事業撤退検討の戦略委員会設置</w:t>
        <w:br/>
        <w:t xml:space="preserve">     ↓</w:t>
        <w:br/>
        <w:t>2025年5月：会社がBB300万株（3.01%=¥328億）で初回回答</w:t>
        <w:br/>
        <w:t xml:space="preserve">     ↓</w:t>
        <w:br/>
        <w:t>2026年3月：資本コスト・株価を意識した経営の新方針発表（済み）</w:t>
        <w:br/>
        <w:t xml:space="preserve">     ↓</w:t>
        <w:br/>
        <w:t>2026年5月15日：本決算 + 次期中計発表</w:t>
        <w:br/>
        <w:t xml:space="preserve">  ←【ここが最大カタリスト】</w:t>
        <w:br/>
        <w:t xml:space="preserve">  アナリスト（佐治AN）：「昨年以上の規模のBBを予想」</w:t>
      </w:r>
    </w:p>
    <w:p/>
    <w:p>
      <w:r>
        <w:rPr>
          <w:rFonts w:ascii="Meiryo UI" w:hAnsi="Meiryo UI"/>
          <w:sz w:val="20"/>
        </w:rPr>
        <w:t>買い根拠のシンプルな構造：業績堅調（達成確実）× 還元強化（カタリスト明確）× 割安な本質価値（Gordon FV上回る余地）</w:t>
      </w:r>
    </w:p>
    <w:p/>
    <w:p>
      <w:r>
        <w:t>──────────────────────────────────────────────────</w:t>
      </w:r>
    </w:p>
    <w:p/>
    <w:p>
      <w:pPr>
        <w:pStyle w:val="Heading2"/>
      </w:pPr>
      <w:r>
        <w:rPr>
          <w:rFonts w:ascii="Meiryo UI" w:hAnsi="Meiryo UI"/>
          <w:color w:val="2E74B5"/>
        </w:rPr>
        <w:t>【事業モデル：北米マルチャンが利益の屋台骨】</w:t>
      </w:r>
    </w:p>
    <w:p/>
    <w:p>
      <w:pPr>
        <w:pStyle w:val="Heading3"/>
      </w:pPr>
      <w:r>
        <w:rPr>
          <w:rFonts w:ascii="Meiryo UI" w:hAnsi="Meiryo UI"/>
          <w:color w:val="2E74B5"/>
        </w:rPr>
        <w:t>セグメント構成（FY2026推計）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売上比率（推計）</w:t>
            </w:r>
          </w:p>
        </w:tc>
        <w:tc>
          <w:tcPr>
            <w:tcW w:type="dxa" w:w="2351"/>
            <w:shd w:val="clear" w:color="auto" w:fill="2E74B5"/>
          </w:tcPr>
          <w:p>
            <w:r>
              <w:rPr>
                <w:rFonts w:ascii="Meiryo UI" w:hAnsi="Meiryo UI"/>
                <w:b/>
                <w:color w:val="FFFFFF"/>
                <w:sz w:val="18"/>
              </w:rPr>
              <w:t>特徴</w:t>
            </w:r>
          </w:p>
        </w:tc>
        <w:tc>
          <w:tcPr>
            <w:tcW w:type="dxa" w:w="2351"/>
            <w:shd w:val="clear" w:color="auto" w:fill="2E74B5"/>
          </w:tcPr>
          <w:p>
            <w:r>
              <w:rPr>
                <w:rFonts w:ascii="Meiryo UI" w:hAnsi="Meiryo UI"/>
                <w:b/>
                <w:color w:val="FFFFFF"/>
                <w:sz w:val="18"/>
              </w:rPr>
              <w:t>収益性</w:t>
            </w:r>
          </w:p>
        </w:tc>
      </w:tr>
      <w:tr>
        <w:tc>
          <w:tcPr>
            <w:tcW w:type="dxa" w:w="2351"/>
          </w:tcPr>
          <w:p>
            <w:r>
              <w:rPr>
                <w:rFonts w:ascii="Meiryo UI" w:hAnsi="Meiryo UI"/>
                <w:sz w:val="18"/>
              </w:rPr>
              <w:t>海外即席めん（マルチャン北米）</w:t>
            </w:r>
          </w:p>
        </w:tc>
        <w:tc>
          <w:tcPr>
            <w:tcW w:type="dxa" w:w="2351"/>
          </w:tcPr>
          <w:p>
            <w:r>
              <w:rPr>
                <w:rFonts w:ascii="Meiryo UI" w:hAnsi="Meiryo UI"/>
                <w:sz w:val="18"/>
              </w:rPr>
              <w:t>~40%</w:t>
            </w:r>
          </w:p>
        </w:tc>
        <w:tc>
          <w:tcPr>
            <w:tcW w:type="dxa" w:w="2351"/>
          </w:tcPr>
          <w:p>
            <w:r>
              <w:rPr>
                <w:rFonts w:ascii="Meiryo UI" w:hAnsi="Meiryo UI"/>
                <w:sz w:val="18"/>
              </w:rPr>
              <w:t>北米インスタントラーメン首位。価格決定力高い</w:t>
            </w:r>
          </w:p>
        </w:tc>
        <w:tc>
          <w:tcPr>
            <w:tcW w:type="dxa" w:w="2351"/>
          </w:tcPr>
          <w:p>
            <w:r>
              <w:rPr>
                <w:rFonts w:ascii="Meiryo UI" w:hAnsi="Meiryo UI"/>
                <w:sz w:val="18"/>
              </w:rPr>
              <w:t>高（OPM20%超推計）</w:t>
            </w:r>
          </w:p>
        </w:tc>
      </w:tr>
      <w:tr>
        <w:tc>
          <w:tcPr>
            <w:tcW w:type="dxa" w:w="2351"/>
            <w:shd w:val="clear" w:color="auto" w:fill="DDEBF7"/>
          </w:tcPr>
          <w:p>
            <w:r>
              <w:rPr>
                <w:rFonts w:ascii="Meiryo UI" w:hAnsi="Meiryo UI"/>
                <w:sz w:val="18"/>
              </w:rPr>
              <w:t>国内即席めん</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マルちゃん正麺・赤いきつね等。ブランド力強い</w:t>
            </w:r>
          </w:p>
        </w:tc>
        <w:tc>
          <w:tcPr>
            <w:tcW w:type="dxa" w:w="2351"/>
            <w:shd w:val="clear" w:color="auto" w:fill="DDEBF7"/>
          </w:tcPr>
          <w:p>
            <w:r>
              <w:rPr>
                <w:rFonts w:ascii="Meiryo UI" w:hAnsi="Meiryo UI"/>
                <w:sz w:val="18"/>
              </w:rPr>
              <w:t>中（OPM10〜15%）</w:t>
            </w:r>
          </w:p>
        </w:tc>
      </w:tr>
      <w:tr>
        <w:tc>
          <w:tcPr>
            <w:tcW w:type="dxa" w:w="2351"/>
          </w:tcPr>
          <w:p>
            <w:r>
              <w:rPr>
                <w:rFonts w:ascii="Meiryo UI" w:hAnsi="Meiryo UI"/>
                <w:sz w:val="18"/>
              </w:rPr>
              <w:t>冷凍・冷蔵食品（低温食品）</w:t>
            </w:r>
          </w:p>
        </w:tc>
        <w:tc>
          <w:tcPr>
            <w:tcW w:type="dxa" w:w="2351"/>
          </w:tcPr>
          <w:p>
            <w:r>
              <w:rPr>
                <w:rFonts w:ascii="Meiryo UI" w:hAnsi="Meiryo UI"/>
                <w:sz w:val="18"/>
              </w:rPr>
              <w:t>~20%</w:t>
            </w:r>
          </w:p>
        </w:tc>
        <w:tc>
          <w:tcPr>
            <w:tcW w:type="dxa" w:w="2351"/>
          </w:tcPr>
          <w:p>
            <w:r>
              <w:rPr>
                <w:rFonts w:ascii="Meiryo UI" w:hAnsi="Meiryo UI"/>
                <w:sz w:val="18"/>
              </w:rPr>
              <w:t>やきそば弁当・スーパー向け冷凍食品</w:t>
            </w:r>
          </w:p>
        </w:tc>
        <w:tc>
          <w:tcPr>
            <w:tcW w:type="dxa" w:w="2351"/>
          </w:tcPr>
          <w:p>
            <w:r>
              <w:rPr>
                <w:rFonts w:ascii="Meiryo UI" w:hAnsi="Meiryo UI"/>
                <w:sz w:val="18"/>
              </w:rPr>
              <w:t>低〜中</w:t>
            </w:r>
          </w:p>
        </w:tc>
      </w:tr>
      <w:tr>
        <w:tc>
          <w:tcPr>
            <w:tcW w:type="dxa" w:w="2351"/>
            <w:shd w:val="clear" w:color="auto" w:fill="DDEBF7"/>
          </w:tcPr>
          <w:p>
            <w:r>
              <w:rPr>
                <w:rFonts w:ascii="Meiryo UI" w:hAnsi="Meiryo UI"/>
                <w:sz w:val="18"/>
              </w:rPr>
              <w:t>水産加工</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原点事業。規模縮小傾向</w:t>
            </w:r>
          </w:p>
        </w:tc>
        <w:tc>
          <w:tcPr>
            <w:tcW w:type="dxa" w:w="2351"/>
            <w:shd w:val="clear" w:color="auto" w:fill="DDEBF7"/>
          </w:tcPr>
          <w:p>
            <w:r>
              <w:rPr>
                <w:rFonts w:ascii="Meiryo UI" w:hAnsi="Meiryo UI"/>
                <w:sz w:val="18"/>
              </w:rPr>
              <w:t>低</w:t>
            </w:r>
          </w:p>
        </w:tc>
      </w:tr>
    </w:tbl>
    <w:p/>
    <w:p>
      <w:r>
        <w:rPr>
          <w:rFonts w:ascii="Meiryo UI" w:hAnsi="Meiryo UI"/>
          <w:sz w:val="20"/>
        </w:rPr>
        <w:t>北米マルチャンが高ROEの源泉：米国ではラーメンの認知度向上（Z世代・ヒスパニック系需要）が続き、価格転嫁も進展。日本企業の海外食品事業として最強クラスの収益性。</w:t>
      </w:r>
    </w:p>
    <w:p/>
    <w:p>
      <w:pPr>
        <w:pStyle w:val="Heading3"/>
      </w:pPr>
      <w:r>
        <w:rPr>
          <w:rFonts w:ascii="Meiryo UI" w:hAnsi="Meiryo UI"/>
          <w:color w:val="2E74B5"/>
        </w:rPr>
        <w:t>なぜホルムズ影響が限定的か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コスト要因</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インプリ</w:t>
            </w:r>
          </w:p>
        </w:tc>
      </w:tr>
      <w:tr>
        <w:tc>
          <w:tcPr>
            <w:tcW w:type="dxa" w:w="3135"/>
          </w:tcPr>
          <w:p>
            <w:r>
              <w:rPr>
                <w:rFonts w:ascii="Meiryo UI" w:hAnsi="Meiryo UI"/>
                <w:sz w:val="18"/>
              </w:rPr>
              <w:t>小麦（主要原料）</w:t>
            </w:r>
          </w:p>
        </w:tc>
        <w:tc>
          <w:tcPr>
            <w:tcW w:type="dxa" w:w="3135"/>
          </w:tcPr>
          <w:p>
            <w:r>
              <w:rPr>
                <w:rFonts w:ascii="Meiryo UI" w:hAnsi="Meiryo UI"/>
                <w:sz w:val="18"/>
              </w:rPr>
              <w:t>ウクライナ戦争以来のコスト転嫁が定着</w:t>
            </w:r>
          </w:p>
        </w:tc>
        <w:tc>
          <w:tcPr>
            <w:tcW w:type="dxa" w:w="3135"/>
          </w:tcPr>
          <w:p>
            <w:r>
              <w:rPr>
                <w:rFonts w:ascii="Meiryo UI" w:hAnsi="Meiryo UI"/>
                <w:sz w:val="18"/>
              </w:rPr>
              <w:t>転嫁済み</w:t>
            </w:r>
          </w:p>
        </w:tc>
      </w:tr>
      <w:tr>
        <w:tc>
          <w:tcPr>
            <w:tcW w:type="dxa" w:w="3135"/>
            <w:shd w:val="clear" w:color="auto" w:fill="DDEBF7"/>
          </w:tcPr>
          <w:p>
            <w:r>
              <w:rPr>
                <w:rFonts w:ascii="Meiryo UI" w:hAnsi="Meiryo UI"/>
                <w:sz w:val="18"/>
              </w:rPr>
              <w:t>パーム油</w:t>
            </w:r>
          </w:p>
        </w:tc>
        <w:tc>
          <w:tcPr>
            <w:tcW w:type="dxa" w:w="3135"/>
            <w:shd w:val="clear" w:color="auto" w:fill="DDEBF7"/>
          </w:tcPr>
          <w:p>
            <w:r>
              <w:rPr>
                <w:rFonts w:ascii="Meiryo UI" w:hAnsi="Meiryo UI"/>
                <w:sz w:val="18"/>
              </w:rPr>
              <w:t>ホルムズ経由せずマレーシア→直接輸入</w:t>
            </w:r>
          </w:p>
        </w:tc>
        <w:tc>
          <w:tcPr>
            <w:tcW w:type="dxa" w:w="3135"/>
            <w:shd w:val="clear" w:color="auto" w:fill="DDEBF7"/>
          </w:tcPr>
          <w:p>
            <w:r>
              <w:rPr>
                <w:rFonts w:ascii="Meiryo UI" w:hAnsi="Meiryo UI"/>
                <w:sz w:val="18"/>
              </w:rPr>
              <w:t>限定的</w:t>
            </w:r>
          </w:p>
        </w:tc>
      </w:tr>
      <w:tr>
        <w:tc>
          <w:tcPr>
            <w:tcW w:type="dxa" w:w="3135"/>
          </w:tcPr>
          <w:p>
            <w:r>
              <w:rPr>
                <w:rFonts w:ascii="Meiryo UI" w:hAnsi="Meiryo UI"/>
                <w:sz w:val="18"/>
              </w:rPr>
              <w:t>アルミ缶</w:t>
            </w:r>
          </w:p>
        </w:tc>
        <w:tc>
          <w:tcPr>
            <w:tcW w:type="dxa" w:w="3135"/>
          </w:tcPr>
          <w:p>
            <w:r>
              <w:rPr>
                <w:rFonts w:ascii="Meiryo UI" w:hAnsi="Meiryo UI"/>
                <w:sz w:val="18"/>
              </w:rPr>
              <w:t>年契約で固定。ホルムズ影響なし（佐治AN確認）</w:t>
            </w:r>
          </w:p>
        </w:tc>
        <w:tc>
          <w:tcPr>
            <w:tcW w:type="dxa" w:w="3135"/>
          </w:tcPr>
          <w:p>
            <w:r>
              <w:rPr>
                <w:rFonts w:ascii="Meiryo UI" w:hAnsi="Meiryo UI"/>
                <w:sz w:val="18"/>
              </w:rPr>
              <w:t>影響なし</w:t>
            </w:r>
          </w:p>
        </w:tc>
      </w:tr>
      <w:tr>
        <w:tc>
          <w:tcPr>
            <w:tcW w:type="dxa" w:w="3135"/>
            <w:shd w:val="clear" w:color="auto" w:fill="DDEBF7"/>
          </w:tcPr>
          <w:p>
            <w:r>
              <w:rPr>
                <w:rFonts w:ascii="Meiryo UI" w:hAnsi="Meiryo UI"/>
                <w:sz w:val="18"/>
              </w:rPr>
              <w:t>ペットボトル</w:t>
            </w:r>
          </w:p>
        </w:tc>
        <w:tc>
          <w:tcPr>
            <w:tcW w:type="dxa" w:w="3135"/>
            <w:shd w:val="clear" w:color="auto" w:fill="DDEBF7"/>
          </w:tcPr>
          <w:p>
            <w:r>
              <w:rPr>
                <w:rFonts w:ascii="Meiryo UI" w:hAnsi="Meiryo UI"/>
                <w:sz w:val="18"/>
              </w:rPr>
              <w:t>「コストアップ影響はそこまでではない」（佐治AN）</w:t>
            </w:r>
          </w:p>
        </w:tc>
        <w:tc>
          <w:tcPr>
            <w:tcW w:type="dxa" w:w="3135"/>
            <w:shd w:val="clear" w:color="auto" w:fill="DDEBF7"/>
          </w:tcPr>
          <w:p>
            <w:r>
              <w:rPr>
                <w:rFonts w:ascii="Meiryo UI" w:hAnsi="Meiryo UI"/>
                <w:sz w:val="18"/>
              </w:rPr>
              <w:t>軽微</w:t>
            </w:r>
          </w:p>
        </w:tc>
      </w:tr>
    </w:tbl>
    <w:p/>
    <w:p>
      <w:r>
        <w:rPr>
          <w:rFonts w:ascii="Meiryo UI" w:hAnsi="Meiryo UI"/>
          <w:sz w:val="20"/>
        </w:rPr>
        <w:t>→ 食品セクターの中でもホルムズ影響が最も小さいグループに属する。</w:t>
      </w:r>
    </w:p>
    <w:p/>
    <w:p>
      <w:r>
        <w:t>──────────────────────────────────────────────────</w:t>
      </w:r>
    </w:p>
    <w:p/>
    <w:p>
      <w:pPr>
        <w:pStyle w:val="Heading2"/>
      </w:pPr>
      <w:r>
        <w:rPr>
          <w:rFonts w:ascii="Meiryo UI" w:hAnsi="Meiryo UI"/>
          <w:color w:val="2E74B5"/>
        </w:rPr>
        <w:t>【最新決算サマリー（FY2026 3月期）】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 Q3 9M</w:t>
            </w:r>
          </w:p>
        </w:tc>
        <w:tc>
          <w:tcPr>
            <w:tcW w:type="dxa" w:w="1881"/>
            <w:shd w:val="clear" w:color="auto" w:fill="2E74B5"/>
          </w:tcPr>
          <w:p>
            <w:r>
              <w:rPr>
                <w:rFonts w:ascii="Meiryo UI" w:hAnsi="Meiryo UI"/>
                <w:b/>
                <w:color w:val="FFFFFF"/>
                <w:sz w:val="18"/>
              </w:rPr>
              <w:t>FY2026 通期ガイダンス</w:t>
            </w:r>
          </w:p>
        </w:tc>
        <w:tc>
          <w:tcPr>
            <w:tcW w:type="dxa" w:w="1881"/>
            <w:shd w:val="clear" w:color="auto" w:fill="2E74B5"/>
          </w:tcPr>
          <w:p>
            <w:r>
              <w:rPr>
                <w:rFonts w:ascii="Meiryo UI" w:hAnsi="Meiryo UI"/>
                <w:b/>
                <w:color w:val="FFFFFF"/>
                <w:sz w:val="18"/>
              </w:rPr>
              <w:t>Q4 implied</w:t>
            </w:r>
          </w:p>
        </w:tc>
      </w:tr>
      <w:tr>
        <w:tc>
          <w:tcPr>
            <w:tcW w:type="dxa" w:w="1881"/>
          </w:tcPr>
          <w:p>
            <w:r>
              <w:rPr>
                <w:rFonts w:ascii="Meiryo UI" w:hAnsi="Meiryo UI"/>
                <w:sz w:val="18"/>
              </w:rPr>
              <w:t>売上高</w:t>
            </w:r>
          </w:p>
        </w:tc>
        <w:tc>
          <w:tcPr>
            <w:tcW w:type="dxa" w:w="1881"/>
          </w:tcPr>
          <w:p>
            <w:r>
              <w:rPr>
                <w:rFonts w:ascii="Meiryo UI" w:hAnsi="Meiryo UI"/>
                <w:sz w:val="18"/>
              </w:rPr>
              <w:t>~¥5,130億</w:t>
            </w:r>
          </w:p>
        </w:tc>
        <w:tc>
          <w:tcPr>
            <w:tcW w:type="dxa" w:w="1881"/>
          </w:tcPr>
          <w:p>
            <w:r>
              <w:rPr>
                <w:rFonts w:ascii="Meiryo UI" w:hAnsi="Meiryo UI"/>
                <w:sz w:val="18"/>
              </w:rPr>
              <w:t>¥4,026億（+3.6%）</w:t>
            </w:r>
          </w:p>
        </w:tc>
        <w:tc>
          <w:tcPr>
            <w:tcW w:type="dxa" w:w="1881"/>
          </w:tcPr>
          <w:p>
            <w:r>
              <w:rPr>
                <w:rFonts w:ascii="Meiryo UI" w:hAnsi="Meiryo UI"/>
                <w:sz w:val="18"/>
              </w:rPr>
              <w:t>¥5,350億（+4.4%）</w:t>
            </w:r>
          </w:p>
        </w:tc>
        <w:tc>
          <w:tcPr>
            <w:tcW w:type="dxa" w:w="1881"/>
          </w:tcPr>
          <w:p>
            <w:r>
              <w:rPr>
                <w:rFonts w:ascii="Meiryo UI" w:hAnsi="Meiryo UI"/>
                <w:sz w:val="18"/>
              </w:rPr>
              <w:t>¥1,324億</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¥839億</w:t>
            </w:r>
          </w:p>
        </w:tc>
        <w:tc>
          <w:tcPr>
            <w:tcW w:type="dxa" w:w="1881"/>
            <w:shd w:val="clear" w:color="auto" w:fill="DDEBF7"/>
          </w:tcPr>
          <w:p>
            <w:r>
              <w:rPr>
                <w:rFonts w:ascii="Meiryo UI" w:hAnsi="Meiryo UI"/>
                <w:sz w:val="18"/>
              </w:rPr>
              <w:t>¥645億（+6.1%）</w:t>
            </w:r>
          </w:p>
        </w:tc>
        <w:tc>
          <w:tcPr>
            <w:tcW w:type="dxa" w:w="1881"/>
            <w:shd w:val="clear" w:color="auto" w:fill="DDEBF7"/>
          </w:tcPr>
          <w:p>
            <w:r>
              <w:rPr>
                <w:rFonts w:ascii="Meiryo UI" w:hAnsi="Meiryo UI"/>
                <w:sz w:val="18"/>
              </w:rPr>
              <w:t>¥875億（+4.3%）</w:t>
            </w:r>
          </w:p>
        </w:tc>
        <w:tc>
          <w:tcPr>
            <w:tcW w:type="dxa" w:w="1881"/>
            <w:shd w:val="clear" w:color="auto" w:fill="DDEBF7"/>
          </w:tcPr>
          <w:p>
            <w:r>
              <w:rPr>
                <w:rFonts w:ascii="Meiryo UI" w:hAnsi="Meiryo UI"/>
                <w:sz w:val="18"/>
              </w:rPr>
              <w:t>¥230億</w:t>
            </w:r>
          </w:p>
        </w:tc>
      </w:tr>
      <w:tr>
        <w:tc>
          <w:tcPr>
            <w:tcW w:type="dxa" w:w="1881"/>
          </w:tcPr>
          <w:p>
            <w:r>
              <w:rPr>
                <w:rFonts w:ascii="Meiryo UI" w:hAnsi="Meiryo UI"/>
                <w:sz w:val="18"/>
              </w:rPr>
              <w:t>OPM</w:t>
            </w:r>
          </w:p>
        </w:tc>
        <w:tc>
          <w:tcPr>
            <w:tcW w:type="dxa" w:w="1881"/>
          </w:tcPr>
          <w:p>
            <w:r>
              <w:rPr>
                <w:rFonts w:ascii="Meiryo UI" w:hAnsi="Meiryo UI"/>
                <w:sz w:val="18"/>
              </w:rPr>
              <w:t>~16.4%</w:t>
            </w:r>
          </w:p>
        </w:tc>
        <w:tc>
          <w:tcPr>
            <w:tcW w:type="dxa" w:w="1881"/>
          </w:tcPr>
          <w:p>
            <w:r>
              <w:rPr>
                <w:rFonts w:ascii="Meiryo UI" w:hAnsi="Meiryo UI"/>
                <w:sz w:val="18"/>
              </w:rPr>
              <w:t>16.0%</w:t>
            </w:r>
          </w:p>
        </w:tc>
        <w:tc>
          <w:tcPr>
            <w:tcW w:type="dxa" w:w="1881"/>
          </w:tcPr>
          <w:p>
            <w:r>
              <w:rPr>
                <w:rFonts w:ascii="Meiryo UI" w:hAnsi="Meiryo UI"/>
                <w:sz w:val="18"/>
              </w:rPr>
              <w:t>16.4%</w:t>
            </w:r>
          </w:p>
        </w:tc>
        <w:tc>
          <w:tcPr>
            <w:tcW w:type="dxa" w:w="1881"/>
          </w:tcPr>
          <w:p>
            <w:r>
              <w:rPr>
                <w:rFonts w:ascii="Meiryo UI" w:hAnsi="Meiryo UI"/>
                <w:sz w:val="18"/>
              </w:rPr>
              <w:t>17.4%</w:t>
            </w:r>
          </w:p>
        </w:tc>
      </w:tr>
      <w:tr>
        <w:tc>
          <w:tcPr>
            <w:tcW w:type="dxa" w:w="1881"/>
            <w:shd w:val="clear" w:color="auto" w:fill="DDEBF7"/>
          </w:tcPr>
          <w:p>
            <w:r>
              <w:rPr>
                <w:rFonts w:ascii="Meiryo UI" w:hAnsi="Meiryo UI"/>
                <w:sz w:val="18"/>
              </w:rPr>
              <w:t>進捗率（OP）</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73.7%</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Q4必要額¥230億</w:t>
            </w:r>
          </w:p>
        </w:tc>
      </w:tr>
    </w:tbl>
    <w:p/>
    <w:p>
      <w:r>
        <w:rPr>
          <w:rFonts w:ascii="Meiryo UI" w:hAnsi="Meiryo UI"/>
          <w:sz w:val="20"/>
        </w:rPr>
        <w:t>Q4 implied ¥230億は前年Q4（¥231億推計）とほぼ同水準。通期¥875億達成は確実。 ガイダンスに対してわずかな上振れ余地あり。</w:t>
      </w:r>
    </w:p>
    <w:p/>
    <w:p>
      <w:r>
        <w:t>──────────────────────────────────────────────────</w:t>
      </w:r>
    </w:p>
    <w:p/>
    <w:p>
      <w:pPr>
        <w:pStyle w:val="Heading2"/>
      </w:pPr>
      <w:r>
        <w:rPr>
          <w:rFonts w:ascii="Meiryo UI" w:hAnsi="Meiryo UI"/>
          <w:color w:val="2E74B5"/>
        </w:rPr>
        <w:t>【アクティビスト詳細分析：NHGGPの要求と会社の対応】</w:t>
      </w:r>
    </w:p>
    <w:p/>
    <w:p>
      <w:pPr>
        <w:pStyle w:val="Heading3"/>
      </w:pPr>
      <w:r>
        <w:rPr>
          <w:rFonts w:ascii="Meiryo UI" w:hAnsi="Meiryo UI"/>
          <w:color w:val="2E74B5"/>
        </w:rPr>
        <w:t>NHGGP（日本グローバル・グロース・パートナーズ・マネジメント）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保有比率</w:t>
            </w:r>
          </w:p>
        </w:tc>
        <w:tc>
          <w:tcPr>
            <w:tcW w:type="dxa" w:w="4703"/>
          </w:tcPr>
          <w:p>
            <w:r>
              <w:rPr>
                <w:rFonts w:ascii="Meiryo UI" w:hAnsi="Meiryo UI"/>
                <w:sz w:val="18"/>
              </w:rPr>
              <w:t>約4%（2025年2月時点）</w:t>
            </w:r>
          </w:p>
        </w:tc>
      </w:tr>
      <w:tr>
        <w:tc>
          <w:tcPr>
            <w:tcW w:type="dxa" w:w="4703"/>
            <w:shd w:val="clear" w:color="auto" w:fill="DDEBF7"/>
          </w:tcPr>
          <w:p>
            <w:r>
              <w:rPr>
                <w:rFonts w:ascii="Meiryo UI" w:hAnsi="Meiryo UI"/>
                <w:sz w:val="18"/>
              </w:rPr>
              <w:t>一時的BB要求</w:t>
            </w:r>
          </w:p>
        </w:tc>
        <w:tc>
          <w:tcPr>
            <w:tcW w:type="dxa" w:w="4703"/>
            <w:shd w:val="clear" w:color="auto" w:fill="DDEBF7"/>
          </w:tcPr>
          <w:p>
            <w:r>
              <w:rPr>
                <w:rFonts w:ascii="Meiryo UI" w:hAnsi="Meiryo UI"/>
                <w:sz w:val="18"/>
              </w:rPr>
              <w:t>発行済み17%上限（≒1,693万株、¥1,851億規模）</w:t>
            </w:r>
          </w:p>
        </w:tc>
      </w:tr>
      <w:tr>
        <w:tc>
          <w:tcPr>
            <w:tcW w:type="dxa" w:w="4703"/>
          </w:tcPr>
          <w:p>
            <w:r>
              <w:rPr>
                <w:rFonts w:ascii="Meiryo UI" w:hAnsi="Meiryo UI"/>
                <w:sz w:val="18"/>
              </w:rPr>
              <w:t>中計BB要求</w:t>
            </w:r>
          </w:p>
        </w:tc>
        <w:tc>
          <w:tcPr>
            <w:tcW w:type="dxa" w:w="4703"/>
          </w:tcPr>
          <w:p>
            <w:r>
              <w:rPr>
                <w:rFonts w:ascii="Meiryo UI" w:hAnsi="Meiryo UI"/>
                <w:sz w:val="18"/>
              </w:rPr>
              <w:t>毎年純利益の15%相当（FY2026純利益推計¥630億 → ¥95億/年）</w:t>
            </w:r>
          </w:p>
        </w:tc>
      </w:tr>
      <w:tr>
        <w:tc>
          <w:tcPr>
            <w:tcW w:type="dxa" w:w="4703"/>
            <w:shd w:val="clear" w:color="auto" w:fill="DDEBF7"/>
          </w:tcPr>
          <w:p>
            <w:r>
              <w:rPr>
                <w:rFonts w:ascii="Meiryo UI" w:hAnsi="Meiryo UI"/>
                <w:sz w:val="18"/>
              </w:rPr>
              <w:t>中計配当要求</w:t>
            </w:r>
          </w:p>
        </w:tc>
        <w:tc>
          <w:tcPr>
            <w:tcW w:type="dxa" w:w="4703"/>
            <w:shd w:val="clear" w:color="auto" w:fill="DDEBF7"/>
          </w:tcPr>
          <w:p>
            <w:r>
              <w:rPr>
                <w:rFonts w:ascii="Meiryo UI" w:hAnsi="Meiryo UI"/>
                <w:sz w:val="18"/>
              </w:rPr>
              <w:t>配当性向40%（現状25.8%）</w:t>
            </w:r>
          </w:p>
        </w:tc>
      </w:tr>
      <w:tr>
        <w:tc>
          <w:tcPr>
            <w:tcW w:type="dxa" w:w="4703"/>
          </w:tcPr>
          <w:p>
            <w:r>
              <w:rPr>
                <w:rFonts w:ascii="Meiryo UI" w:hAnsi="Meiryo UI"/>
                <w:sz w:val="18"/>
              </w:rPr>
              <w:t>事業要求</w:t>
            </w:r>
          </w:p>
        </w:tc>
        <w:tc>
          <w:tcPr>
            <w:tcW w:type="dxa" w:w="4703"/>
          </w:tcPr>
          <w:p>
            <w:r>
              <w:rPr>
                <w:rFonts w:ascii="Meiryo UI" w:hAnsi="Meiryo UI"/>
                <w:sz w:val="18"/>
              </w:rPr>
              <w:t>冷蔵倉庫事業からの撤退検討・戦略委員会設置</w:t>
            </w:r>
          </w:p>
        </w:tc>
      </w:tr>
    </w:tbl>
    <w:p/>
    <w:p>
      <w:pPr>
        <w:pStyle w:val="Heading3"/>
      </w:pPr>
      <w:r>
        <w:rPr>
          <w:rFonts w:ascii="Meiryo UI" w:hAnsi="Meiryo UI"/>
          <w:color w:val="2E74B5"/>
        </w:rPr>
        <w:t>会社の対応タイムライン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2025年5月</w:t>
            </w:r>
          </w:p>
        </w:tc>
        <w:tc>
          <w:tcPr>
            <w:tcW w:type="dxa" w:w="3135"/>
          </w:tcPr>
          <w:p>
            <w:r>
              <w:rPr>
                <w:rFonts w:ascii="Meiryo UI" w:hAnsi="Meiryo UI"/>
                <w:sz w:val="18"/>
              </w:rPr>
              <w:t>BB 300万株（3.01%）決議。取得期間2025/5〜2026/5</w:t>
            </w:r>
          </w:p>
        </w:tc>
        <w:tc>
          <w:tcPr>
            <w:tcW w:type="dxa" w:w="3135"/>
          </w:tcPr>
          <w:p>
            <w:r>
              <w:rPr>
                <w:rFonts w:ascii="Meiryo UI" w:hAnsi="Meiryo UI"/>
                <w:sz w:val="18"/>
              </w:rPr>
              <w:t>NHGGP要求の18%程度で不十分だが初動</w:t>
            </w:r>
          </w:p>
        </w:tc>
      </w:tr>
      <w:tr>
        <w:tc>
          <w:tcPr>
            <w:tcW w:type="dxa" w:w="3135"/>
            <w:shd w:val="clear" w:color="auto" w:fill="DDEBF7"/>
          </w:tcPr>
          <w:p>
            <w:r>
              <w:rPr>
                <w:rFonts w:ascii="Meiryo UI" w:hAnsi="Meiryo UI"/>
                <w:sz w:val="18"/>
              </w:rPr>
              <w:t>2026年3月</w:t>
            </w:r>
          </w:p>
        </w:tc>
        <w:tc>
          <w:tcPr>
            <w:tcW w:type="dxa" w:w="3135"/>
            <w:shd w:val="clear" w:color="auto" w:fill="DDEBF7"/>
          </w:tcPr>
          <w:p>
            <w:r>
              <w:rPr>
                <w:rFonts w:ascii="Meiryo UI" w:hAnsi="Meiryo UI"/>
                <w:sz w:val="18"/>
              </w:rPr>
              <w:t>「資本コスト・株価を意識した経営」新方針発表</w:t>
            </w:r>
          </w:p>
        </w:tc>
        <w:tc>
          <w:tcPr>
            <w:tcW w:type="dxa" w:w="3135"/>
            <w:shd w:val="clear" w:color="auto" w:fill="DDEBF7"/>
          </w:tcPr>
          <w:p>
            <w:r>
              <w:rPr>
                <w:rFonts w:ascii="Meiryo UI" w:hAnsi="Meiryo UI"/>
                <w:sz w:val="18"/>
              </w:rPr>
              <w:t>NHGGPへの応答として明確。前向き</w:t>
            </w:r>
          </w:p>
        </w:tc>
      </w:tr>
      <w:tr>
        <w:tc>
          <w:tcPr>
            <w:tcW w:type="dxa" w:w="3135"/>
          </w:tcPr>
          <w:p>
            <w:r>
              <w:rPr>
                <w:rFonts w:ascii="Meiryo UI" w:hAnsi="Meiryo UI"/>
                <w:sz w:val="18"/>
              </w:rPr>
              <w:t>2026年5月15日</w:t>
            </w:r>
          </w:p>
        </w:tc>
        <w:tc>
          <w:tcPr>
            <w:tcW w:type="dxa" w:w="3135"/>
          </w:tcPr>
          <w:p>
            <w:r>
              <w:rPr>
                <w:rFonts w:ascii="Meiryo UI" w:hAnsi="Meiryo UI"/>
                <w:sz w:val="18"/>
              </w:rPr>
              <w:t>次期中計発表予定</w:t>
            </w:r>
          </w:p>
        </w:tc>
        <w:tc>
          <w:tcPr>
            <w:tcW w:type="dxa" w:w="3135"/>
          </w:tcPr>
          <w:p>
            <w:r>
              <w:rPr>
                <w:rFonts w:ascii="Meiryo UI" w:hAnsi="Meiryo UI"/>
                <w:sz w:val="18"/>
              </w:rPr>
              <w:t>←最大カタリスト</w:t>
            </w:r>
          </w:p>
        </w:tc>
      </w:tr>
    </w:tbl>
    <w:p/>
    <w:p>
      <w:pPr>
        <w:pStyle w:val="Heading3"/>
      </w:pPr>
      <w:r>
        <w:rPr>
          <w:rFonts w:ascii="Meiryo UI" w:hAnsi="Meiryo UI"/>
          <w:color w:val="2E74B5"/>
        </w:rPr>
        <w:t>BBシナリオ別株価インパクト試算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BB規模</w:t>
            </w:r>
          </w:p>
        </w:tc>
        <w:tc>
          <w:tcPr>
            <w:tcW w:type="dxa" w:w="2351"/>
            <w:shd w:val="clear" w:color="auto" w:fill="2E74B5"/>
          </w:tcPr>
          <w:p>
            <w:r>
              <w:rPr>
                <w:rFonts w:ascii="Meiryo UI" w:hAnsi="Meiryo UI"/>
                <w:b/>
                <w:color w:val="FFFFFF"/>
                <w:sz w:val="18"/>
              </w:rPr>
              <w:t>推定金額</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ブル（NHGGP部分受け入れ）</w:t>
            </w:r>
          </w:p>
        </w:tc>
        <w:tc>
          <w:tcPr>
            <w:tcW w:type="dxa" w:w="2351"/>
          </w:tcPr>
          <w:p>
            <w:r>
              <w:rPr>
                <w:rFonts w:ascii="Meiryo UI" w:hAnsi="Meiryo UI"/>
                <w:sz w:val="18"/>
              </w:rPr>
              <w:t>7〜10%（680〜997万株）</w:t>
            </w:r>
          </w:p>
        </w:tc>
        <w:tc>
          <w:tcPr>
            <w:tcW w:type="dxa" w:w="2351"/>
          </w:tcPr>
          <w:p>
            <w:r>
              <w:rPr>
                <w:rFonts w:ascii="Meiryo UI" w:hAnsi="Meiryo UI"/>
                <w:sz w:val="18"/>
              </w:rPr>
              <w:t>¥745〜¥1,092億</w:t>
            </w:r>
          </w:p>
        </w:tc>
        <w:tc>
          <w:tcPr>
            <w:tcW w:type="dxa" w:w="2351"/>
          </w:tcPr>
          <w:p>
            <w:r>
              <w:rPr>
                <w:rFonts w:ascii="Meiryo UI" w:hAnsi="Meiryo UI"/>
                <w:sz w:val="18"/>
              </w:rPr>
              <w:t>+15〜25%（¥12,600〜¥13,700）</w:t>
            </w:r>
          </w:p>
        </w:tc>
      </w:tr>
      <w:tr>
        <w:tc>
          <w:tcPr>
            <w:tcW w:type="dxa" w:w="2351"/>
            <w:shd w:val="clear" w:color="auto" w:fill="DDEBF7"/>
          </w:tcPr>
          <w:p>
            <w:r>
              <w:rPr>
                <w:rFonts w:ascii="Meiryo UI" w:hAnsi="Meiryo UI"/>
                <w:sz w:val="18"/>
              </w:rPr>
              <w:t>ベース（昨年超え）</w:t>
            </w:r>
          </w:p>
        </w:tc>
        <w:tc>
          <w:tcPr>
            <w:tcW w:type="dxa" w:w="2351"/>
            <w:shd w:val="clear" w:color="auto" w:fill="DDEBF7"/>
          </w:tcPr>
          <w:p>
            <w:r>
              <w:rPr>
                <w:rFonts w:ascii="Meiryo UI" w:hAnsi="Meiryo UI"/>
                <w:sz w:val="18"/>
              </w:rPr>
              <w:t>4〜6%（398〜598万株）</w:t>
            </w:r>
          </w:p>
        </w:tc>
        <w:tc>
          <w:tcPr>
            <w:tcW w:type="dxa" w:w="2351"/>
            <w:shd w:val="clear" w:color="auto" w:fill="DDEBF7"/>
          </w:tcPr>
          <w:p>
            <w:r>
              <w:rPr>
                <w:rFonts w:ascii="Meiryo UI" w:hAnsi="Meiryo UI"/>
                <w:sz w:val="18"/>
              </w:rPr>
              <w:t>¥436〜¥655億</w:t>
            </w:r>
          </w:p>
        </w:tc>
        <w:tc>
          <w:tcPr>
            <w:tcW w:type="dxa" w:w="2351"/>
            <w:shd w:val="clear" w:color="auto" w:fill="DDEBF7"/>
          </w:tcPr>
          <w:p>
            <w:r>
              <w:rPr>
                <w:rFonts w:ascii="Meiryo UI" w:hAnsi="Meiryo UI"/>
                <w:sz w:val="18"/>
              </w:rPr>
              <w:t>+8〜14%（¥11,826〜¥12,483）</w:t>
            </w:r>
          </w:p>
        </w:tc>
      </w:tr>
      <w:tr>
        <w:tc>
          <w:tcPr>
            <w:tcW w:type="dxa" w:w="2351"/>
          </w:tcPr>
          <w:p>
            <w:r>
              <w:rPr>
                <w:rFonts w:ascii="Meiryo UI" w:hAnsi="Meiryo UI"/>
                <w:sz w:val="18"/>
              </w:rPr>
              <w:t>ベア（昨年並みに留まる）</w:t>
            </w:r>
          </w:p>
        </w:tc>
        <w:tc>
          <w:tcPr>
            <w:tcW w:type="dxa" w:w="2351"/>
          </w:tcPr>
          <w:p>
            <w:r>
              <w:rPr>
                <w:rFonts w:ascii="Meiryo UI" w:hAnsi="Meiryo UI"/>
                <w:sz w:val="18"/>
              </w:rPr>
              <w:t>3〜4%（300〜398万株）</w:t>
            </w:r>
          </w:p>
        </w:tc>
        <w:tc>
          <w:tcPr>
            <w:tcW w:type="dxa" w:w="2351"/>
          </w:tcPr>
          <w:p>
            <w:r>
              <w:rPr>
                <w:rFonts w:ascii="Meiryo UI" w:hAnsi="Meiryo UI"/>
                <w:sz w:val="18"/>
              </w:rPr>
              <w:t>¥328〜¥436億</w:t>
            </w:r>
          </w:p>
        </w:tc>
        <w:tc>
          <w:tcPr>
            <w:tcW w:type="dxa" w:w="2351"/>
          </w:tcPr>
          <w:p>
            <w:r>
              <w:rPr>
                <w:rFonts w:ascii="Meiryo UI" w:hAnsi="Meiryo UI"/>
                <w:sz w:val="18"/>
              </w:rPr>
              <w:t>▲5〜8%（¥10,075〜¥10,403）失望売り</w:t>
            </w:r>
          </w:p>
        </w:tc>
      </w:tr>
    </w:tbl>
    <w:p/>
    <w:p>
      <w:r>
        <w:t>──────────────────────────────────────────────────</w:t>
      </w:r>
    </w:p>
    <w:p/>
    <w:p>
      <w:pPr>
        <w:pStyle w:val="Heading2"/>
      </w:pPr>
      <w:r>
        <w:rPr>
          <w:rFonts w:ascii="Meiryo UI" w:hAnsi="Meiryo UI"/>
          <w:color w:val="2E74B5"/>
        </w:rPr>
        <w:t>【財務健全性】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BPS</w:t>
            </w:r>
          </w:p>
        </w:tc>
        <w:tc>
          <w:tcPr>
            <w:tcW w:type="dxa" w:w="3135"/>
          </w:tcPr>
          <w:p>
            <w:r>
              <w:rPr>
                <w:rFonts w:ascii="Meiryo UI" w:hAnsi="Meiryo UI"/>
                <w:sz w:val="18"/>
              </w:rPr>
              <w:t>¥5,182</w:t>
            </w:r>
          </w:p>
        </w:tc>
        <w:tc>
          <w:tcPr>
            <w:tcW w:type="dxa" w:w="3135"/>
          </w:tcPr>
          <w:p>
            <w:r>
              <w:rPr>
                <w:rFonts w:ascii="Meiryo UI" w:hAnsi="Meiryo UI"/>
                <w:sz w:val="18"/>
              </w:rPr>
              <w:t>安定的な純資産積み上げ</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14.93%</w:t>
            </w:r>
          </w:p>
        </w:tc>
        <w:tc>
          <w:tcPr>
            <w:tcW w:type="dxa" w:w="3135"/>
            <w:shd w:val="clear" w:color="auto" w:fill="DDEBF7"/>
          </w:tcPr>
          <w:p>
            <w:r>
              <w:rPr>
                <w:rFonts w:ascii="Meiryo UI" w:hAnsi="Meiryo UI"/>
                <w:sz w:val="18"/>
              </w:rPr>
              <w:t>食品大手トップクラス</w:t>
            </w:r>
          </w:p>
        </w:tc>
      </w:tr>
      <w:tr>
        <w:tc>
          <w:tcPr>
            <w:tcW w:type="dxa" w:w="3135"/>
          </w:tcPr>
          <w:p>
            <w:r>
              <w:rPr>
                <w:rFonts w:ascii="Meiryo UI" w:hAnsi="Meiryo UI"/>
                <w:sz w:val="18"/>
              </w:rPr>
              <w:t>自己資本比率</w:t>
            </w:r>
          </w:p>
        </w:tc>
        <w:tc>
          <w:tcPr>
            <w:tcW w:type="dxa" w:w="3135"/>
          </w:tcPr>
          <w:p>
            <w:r>
              <w:rPr>
                <w:rFonts w:ascii="Meiryo UI" w:hAnsi="Meiryo UI"/>
                <w:sz w:val="18"/>
              </w:rPr>
              <w:t>高水準（詳細IR確認要）</w:t>
            </w:r>
          </w:p>
        </w:tc>
        <w:tc>
          <w:tcPr>
            <w:tcW w:type="dxa" w:w="3135"/>
          </w:tcPr>
          <w:p>
            <w:r>
              <w:rPr>
                <w:rFonts w:ascii="Meiryo UI" w:hAnsi="Meiryo UI"/>
                <w:sz w:val="18"/>
              </w:rPr>
              <w:t>無借金経営に近い体質</w:t>
            </w:r>
          </w:p>
        </w:tc>
      </w:tr>
      <w:tr>
        <w:tc>
          <w:tcPr>
            <w:tcW w:type="dxa" w:w="3135"/>
            <w:shd w:val="clear" w:color="auto" w:fill="DDEBF7"/>
          </w:tcPr>
          <w:p>
            <w:r>
              <w:rPr>
                <w:rFonts w:ascii="Meiryo UI" w:hAnsi="Meiryo UI"/>
                <w:sz w:val="18"/>
              </w:rPr>
              <w:t>配当</w:t>
            </w:r>
          </w:p>
        </w:tc>
        <w:tc>
          <w:tcPr>
            <w:tcW w:type="dxa" w:w="3135"/>
            <w:shd w:val="clear" w:color="auto" w:fill="DDEBF7"/>
          </w:tcPr>
          <w:p>
            <w:r>
              <w:rPr>
                <w:rFonts w:ascii="Meiryo UI" w:hAnsi="Meiryo UI"/>
                <w:sz w:val="18"/>
              </w:rPr>
              <w:t>¥200（利回り1.83%）</w:t>
            </w:r>
          </w:p>
        </w:tc>
        <w:tc>
          <w:tcPr>
            <w:tcW w:type="dxa" w:w="3135"/>
            <w:shd w:val="clear" w:color="auto" w:fill="DDEBF7"/>
          </w:tcPr>
          <w:p>
            <w:r>
              <w:rPr>
                <w:rFonts w:ascii="Meiryo UI" w:hAnsi="Meiryo UI"/>
                <w:sz w:val="18"/>
              </w:rPr>
              <w:t>配当性向25.8%→40%への拡張余地大</w:t>
            </w:r>
          </w:p>
        </w:tc>
      </w:tr>
      <w:tr>
        <w:tc>
          <w:tcPr>
            <w:tcW w:type="dxa" w:w="3135"/>
          </w:tcPr>
          <w:p>
            <w:r>
              <w:rPr>
                <w:rFonts w:ascii="Meiryo UI" w:hAnsi="Meiryo UI"/>
                <w:sz w:val="18"/>
              </w:rPr>
              <w:t>EPS（FY2026E）</w:t>
            </w:r>
          </w:p>
        </w:tc>
        <w:tc>
          <w:tcPr>
            <w:tcW w:type="dxa" w:w="3135"/>
          </w:tcPr>
          <w:p>
            <w:r>
              <w:rPr>
                <w:rFonts w:ascii="Meiryo UI" w:hAnsi="Meiryo UI"/>
                <w:sz w:val="18"/>
              </w:rPr>
              <w:t>¥774（ROE×BPS基準）</w:t>
            </w:r>
          </w:p>
        </w:tc>
        <w:tc>
          <w:tcPr>
            <w:tcW w:type="dxa" w:w="3135"/>
          </w:tcPr>
          <w:p>
            <w:r>
              <w:rPr>
                <w:rFonts w:ascii="Meiryo UI" w:hAnsi="Meiryo UI"/>
                <w:sz w:val="18"/>
              </w:rPr>
              <w:t>業績裏付けあり</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14.1x</w:t>
            </w:r>
          </w:p>
        </w:tc>
        <w:tc>
          <w:tcPr>
            <w:tcW w:type="dxa" w:w="3135"/>
            <w:shd w:val="clear" w:color="auto" w:fill="DDEBF7"/>
          </w:tcPr>
          <w:p>
            <w:r>
              <w:rPr>
                <w:rFonts w:ascii="Meiryo UI" w:hAnsi="Meiryo UI"/>
                <w:sz w:val="18"/>
              </w:rPr>
              <w:t>食品大手として割安（キッコーマン30x比）</w:t>
            </w:r>
          </w:p>
        </w:tc>
      </w:tr>
    </w:tbl>
    <w:p/>
    <w:p>
      <w:r>
        <w:t>──────────────────────────────────────────────────</w:t>
      </w:r>
    </w:p>
    <w:p/>
    <w:p>
      <w:pPr>
        <w:pStyle w:val="Heading2"/>
      </w:pPr>
      <w:r>
        <w:rPr>
          <w:rFonts w:ascii="Meiryo UI" w:hAnsi="Meiryo UI"/>
          <w:color w:val="2E74B5"/>
        </w:rPr>
        <w:t>【FV算出】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Gordon PBR法（ROE14.93%/Ke5.63%=2.65x×BPS¥5,182）</w:t>
            </w:r>
          </w:p>
        </w:tc>
        <w:tc>
          <w:tcPr>
            <w:tcW w:type="dxa" w:w="2351"/>
          </w:tcPr>
          <w:p>
            <w:r>
              <w:rPr>
                <w:rFonts w:ascii="Meiryo UI" w:hAnsi="Meiryo UI"/>
                <w:sz w:val="18"/>
              </w:rPr>
              <w:t>¥13,732</w:t>
            </w:r>
          </w:p>
        </w:tc>
        <w:tc>
          <w:tcPr>
            <w:tcW w:type="dxa" w:w="2351"/>
          </w:tcPr>
          <w:p>
            <w:r>
              <w:rPr>
                <w:rFonts w:ascii="Meiryo UI" w:hAnsi="Meiryo UI"/>
                <w:sz w:val="18"/>
              </w:rPr>
              <w:t>35%</w:t>
            </w:r>
          </w:p>
        </w:tc>
        <w:tc>
          <w:tcPr>
            <w:tcW w:type="dxa" w:w="2351"/>
          </w:tcPr>
          <w:p>
            <w:r>
              <w:rPr>
                <w:rFonts w:ascii="Meiryo UI" w:hAnsi="Meiryo UI"/>
                <w:sz w:val="18"/>
              </w:rPr>
              <w:t>ROE/Ke=Fair PBR。現PBR2.11xはFair PBR2.65xを大幅下回る→構造的割安</w:t>
            </w:r>
          </w:p>
        </w:tc>
      </w:tr>
      <w:tr>
        <w:tc>
          <w:tcPr>
            <w:tcW w:type="dxa" w:w="2351"/>
            <w:shd w:val="clear" w:color="auto" w:fill="DDEBF7"/>
          </w:tcPr>
          <w:p>
            <w:r>
              <w:rPr>
                <w:rFonts w:ascii="Meiryo UI" w:hAnsi="Meiryo UI"/>
                <w:sz w:val="18"/>
              </w:rPr>
              <w:t>PER法（FY2026E EPS¥774×PER16x）</w:t>
            </w:r>
          </w:p>
        </w:tc>
        <w:tc>
          <w:tcPr>
            <w:tcW w:type="dxa" w:w="2351"/>
            <w:shd w:val="clear" w:color="auto" w:fill="DDEBF7"/>
          </w:tcPr>
          <w:p>
            <w:r>
              <w:rPr>
                <w:rFonts w:ascii="Meiryo UI" w:hAnsi="Meiryo UI"/>
                <w:sz w:val="18"/>
              </w:rPr>
              <w:t>¥12,384</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海外高成長（北米マルチャン）×還元強化で食品平均+2〜3x。キッコーマン30x、日清食品25xより保守的</w:t>
            </w:r>
          </w:p>
        </w:tc>
      </w:tr>
      <w:tr>
        <w:tc>
          <w:tcPr>
            <w:tcW w:type="dxa" w:w="2351"/>
          </w:tcPr>
          <w:p>
            <w:r>
              <w:rPr>
                <w:rFonts w:ascii="Meiryo UI" w:hAnsi="Meiryo UI"/>
                <w:sz w:val="18"/>
              </w:rPr>
              <w:t>還元強化シナリオ（確率50%・BB大幅増+中計配当40%）</w:t>
            </w:r>
          </w:p>
        </w:tc>
        <w:tc>
          <w:tcPr>
            <w:tcW w:type="dxa" w:w="2351"/>
          </w:tcPr>
          <w:p>
            <w:r>
              <w:rPr>
                <w:rFonts w:ascii="Meiryo UI" w:hAnsi="Meiryo UI"/>
                <w:sz w:val="18"/>
              </w:rPr>
              <w:t>¥14,000</w:t>
            </w:r>
          </w:p>
        </w:tc>
        <w:tc>
          <w:tcPr>
            <w:tcW w:type="dxa" w:w="2351"/>
          </w:tcPr>
          <w:p>
            <w:r>
              <w:rPr>
                <w:rFonts w:ascii="Meiryo UI" w:hAnsi="Meiryo UI"/>
                <w:sz w:val="18"/>
              </w:rPr>
              <w:t>30%</w:t>
            </w:r>
          </w:p>
        </w:tc>
        <w:tc>
          <w:tcPr>
            <w:tcW w:type="dxa" w:w="2351"/>
          </w:tcPr>
          <w:p>
            <w:r>
              <w:rPr>
                <w:rFonts w:ascii="Meiryo UI" w:hAnsi="Meiryo UI"/>
                <w:sz w:val="18"/>
              </w:rPr>
              <w:t>BB7%+配当性向40%達成時のバリュエーション再評価。PBR2.7xへ</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¥12,500（レンジ¥11,000〜¥14,500）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Rf=2.380%（財務省CSV）ERP5.0% β0.65</w:t>
            </w:r>
          </w:p>
        </w:tc>
      </w:tr>
    </w:tbl>
    <w:p/>
    <w:p>
      <w:r>
        <w:t>──────────────────────────────────────────────────</w:t>
      </w:r>
    </w:p>
    <w:p/>
    <w:p>
      <w:pPr>
        <w:pStyle w:val="Heading2"/>
      </w:pPr>
      <w:r>
        <w:rPr>
          <w:rFonts w:ascii="Meiryo UI" w:hAnsi="Meiryo UI"/>
          <w:color w:val="2E74B5"/>
        </w:rPr>
        <w:t>【不動産含み益考察】</w:t>
      </w:r>
    </w:p>
    <w:p/>
    <w:p>
      <w:pPr>
        <w:pStyle w:val="ListBullet"/>
      </w:pPr>
      <w:r>
        <w:rPr>
          <w:rFonts w:ascii="Meiryo UI" w:hAnsi="Meiryo UI"/>
          <w:sz w:val="20"/>
        </w:rPr>
        <w:t>主要工場：宮城（仙台工場）・静岡（焼津工場）・関東圏等複数拠点</w:t>
      </w:r>
    </w:p>
    <w:p>
      <w:pPr>
        <w:pStyle w:val="ListBullet"/>
      </w:pPr>
      <w:r>
        <w:rPr>
          <w:rFonts w:ascii="Meiryo UI" w:hAnsi="Meiryo UI"/>
          <w:sz w:val="20"/>
        </w:rPr>
        <w:t>食品製造業のため工場用地を保有するが、含み益の主体は本業（北米事業）の収益力</w:t>
      </w:r>
    </w:p>
    <w:p>
      <w:pPr>
        <w:pStyle w:val="ListBullet"/>
      </w:pPr>
      <w:r>
        <w:rPr>
          <w:rFonts w:ascii="Meiryo UI" w:hAnsi="Meiryo UI"/>
          <w:sz w:val="20"/>
        </w:rPr>
        <w:t>冷蔵倉庫事業：NHGGPが撤退を要求。簿価vs市場価値の差が一部あり得る（物流不動産市場は高値圏）</w:t>
      </w:r>
    </w:p>
    <w:p>
      <w:pPr>
        <w:pStyle w:val="ListBullet"/>
      </w:pPr>
      <w:r>
        <w:rPr>
          <w:rFonts w:ascii="Meiryo UI" w:hAnsi="Meiryo UI"/>
          <w:sz w:val="20"/>
        </w:rPr>
        <w:t>ただし本質的な「含み資産の宝庫」ではない。主な還元余力は「稼いでいるのに配当性向が低すぎる」というキャッシュフロー余剰</w:t>
      </w:r>
    </w:p>
    <w:p>
      <w:pPr>
        <w:pStyle w:val="ListBullet"/>
      </w:pPr>
      <w:r>
        <w:rPr>
          <w:rFonts w:ascii="Meiryo UI" w:hAnsi="Meiryo UI"/>
          <w:sz w:val="20"/>
        </w:rPr>
        <w:t>IRへの確認事項：冷蔵倉庫事業の固定資産帳簿価額・評価額</w:t>
      </w:r>
    </w:p>
    <w:p/>
    <w:p>
      <w:r>
        <w:t>──────────────────────────────────────────────────</w:t>
      </w:r>
    </w:p>
    <w:p/>
    <w:p>
      <w:pPr>
        <w:pStyle w:val="Heading2"/>
      </w:pPr>
      <w:r>
        <w:rPr>
          <w:rFonts w:ascii="Meiryo UI" w:hAnsi="Meiryo UI"/>
          <w:color w:val="2E74B5"/>
        </w:rPr>
        <w:t>【リスクシナリオ定量】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到達株価</w:t>
            </w:r>
          </w:p>
        </w:tc>
        <w:tc>
          <w:tcPr>
            <w:tcW w:type="dxa" w:w="2351"/>
            <w:shd w:val="clear" w:color="auto" w:fill="2E74B5"/>
          </w:tcPr>
          <w:p>
            <w:r>
              <w:rPr>
                <w:rFonts w:ascii="Meiryo UI" w:hAnsi="Meiryo UI"/>
                <w:b/>
                <w:color w:val="FFFFFF"/>
                <w:sz w:val="18"/>
              </w:rPr>
              <w:t>トリガー</w:t>
            </w:r>
          </w:p>
        </w:tc>
      </w:tr>
      <w:tr>
        <w:tc>
          <w:tcPr>
            <w:tcW w:type="dxa" w:w="2351"/>
          </w:tcPr>
          <w:p>
            <w:r>
              <w:rPr>
                <w:rFonts w:ascii="Meiryo UI" w:hAnsi="Meiryo UI"/>
                <w:sz w:val="18"/>
              </w:rPr>
              <w:t>ブル</w:t>
            </w:r>
          </w:p>
        </w:tc>
        <w:tc>
          <w:tcPr>
            <w:tcW w:type="dxa" w:w="2351"/>
          </w:tcPr>
          <w:p>
            <w:r>
              <w:rPr>
                <w:rFonts w:ascii="Meiryo UI" w:hAnsi="Meiryo UI"/>
                <w:sz w:val="18"/>
              </w:rPr>
              <w:t>30%</w:t>
            </w:r>
          </w:p>
        </w:tc>
        <w:tc>
          <w:tcPr>
            <w:tcW w:type="dxa" w:w="2351"/>
          </w:tcPr>
          <w:p>
            <w:r>
              <w:rPr>
                <w:rFonts w:ascii="Meiryo UI" w:hAnsi="Meiryo UI"/>
                <w:sz w:val="18"/>
              </w:rPr>
              <w:t>¥13,000〜¥14,500</w:t>
            </w:r>
          </w:p>
        </w:tc>
        <w:tc>
          <w:tcPr>
            <w:tcW w:type="dxa" w:w="2351"/>
          </w:tcPr>
          <w:p>
            <w:r>
              <w:rPr>
                <w:rFonts w:ascii="Meiryo UI" w:hAnsi="Meiryo UI"/>
                <w:sz w:val="18"/>
              </w:rPr>
              <w:t>5/15：BB7%超+配当性向35%以上の次期中計発表。NHGGP要求を大幅受け入れ</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¥11,500〜¥12,500</w:t>
            </w:r>
          </w:p>
        </w:tc>
        <w:tc>
          <w:tcPr>
            <w:tcW w:type="dxa" w:w="2351"/>
            <w:shd w:val="clear" w:color="auto" w:fill="DDEBF7"/>
          </w:tcPr>
          <w:p>
            <w:r>
              <w:rPr>
                <w:rFonts w:ascii="Meiryo UI" w:hAnsi="Meiryo UI"/>
                <w:sz w:val="18"/>
              </w:rPr>
              <w:t>BB昨年超え（4〜6%）+配当性向30〜35%。段階的な還元強化路線確認</w:t>
            </w:r>
          </w:p>
        </w:tc>
      </w:tr>
      <w:tr>
        <w:tc>
          <w:tcPr>
            <w:tcW w:type="dxa" w:w="2351"/>
          </w:tcPr>
          <w:p>
            <w:r>
              <w:rPr>
                <w:rFonts w:ascii="Meiryo UI" w:hAnsi="Meiryo UI"/>
                <w:sz w:val="18"/>
              </w:rPr>
              <w:t>ベア</w:t>
            </w:r>
          </w:p>
        </w:tc>
        <w:tc>
          <w:tcPr>
            <w:tcW w:type="dxa" w:w="2351"/>
          </w:tcPr>
          <w:p>
            <w:r>
              <w:rPr>
                <w:rFonts w:ascii="Meiryo UI" w:hAnsi="Meiryo UI"/>
                <w:sz w:val="18"/>
              </w:rPr>
              <w:t>20%</w:t>
            </w:r>
          </w:p>
        </w:tc>
        <w:tc>
          <w:tcPr>
            <w:tcW w:type="dxa" w:w="2351"/>
          </w:tcPr>
          <w:p>
            <w:r>
              <w:rPr>
                <w:rFonts w:ascii="Meiryo UI" w:hAnsi="Meiryo UI"/>
                <w:sz w:val="18"/>
              </w:rPr>
              <w:t>¥9,500〜¥10,500</w:t>
            </w:r>
          </w:p>
        </w:tc>
        <w:tc>
          <w:tcPr>
            <w:tcW w:type="dxa" w:w="2351"/>
          </w:tcPr>
          <w:p>
            <w:r>
              <w:rPr>
                <w:rFonts w:ascii="Meiryo UI" w:hAnsi="Meiryo UI"/>
                <w:sz w:val="18"/>
              </w:rPr>
              <w:t>中計BB規模が昨年並み以下・配当性向現状維持 → 失望売り。NHGGP追加要求リスク</w:t>
            </w:r>
          </w:p>
        </w:tc>
      </w:tr>
    </w:tbl>
    <w:p/>
    <w:p>
      <w:r>
        <w:rPr>
          <w:rFonts w:ascii="Meiryo UI" w:hAnsi="Meiryo UI"/>
          <w:sz w:val="20"/>
        </w:rPr>
        <w:t>期待値： ¥13,750×0.30 + ¥12,000×0.50 + ¥10,000×0.20 = ¥12,125（現値比+10.7%）</w:t>
      </w:r>
    </w:p>
    <w:p/>
    <w:p>
      <w:r>
        <w:t>──────────────────────────────────────────────────</w:t>
      </w:r>
    </w:p>
    <w:p/>
    <w:p>
      <w:pPr>
        <w:pStyle w:val="Heading2"/>
      </w:pPr>
      <w:r>
        <w:rPr>
          <w:rFonts w:ascii="Meiryo UI" w:hAnsi="Meiryo UI"/>
          <w:color w:val="2E74B5"/>
        </w:rPr>
        <w:t>【5/15決算チェックリスト】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確認事項</w:t>
            </w:r>
          </w:p>
        </w:tc>
        <w:tc>
          <w:tcPr>
            <w:tcW w:type="dxa" w:w="3135"/>
            <w:shd w:val="clear" w:color="auto" w:fill="2E74B5"/>
          </w:tcPr>
          <w:p>
            <w:r>
              <w:rPr>
                <w:rFonts w:ascii="Meiryo UI" w:hAnsi="Meiryo UI"/>
                <w:b/>
                <w:color w:val="FFFFFF"/>
                <w:sz w:val="18"/>
              </w:rPr>
              <w:t>BUYシグナル</w:t>
            </w:r>
          </w:p>
        </w:tc>
        <w:tc>
          <w:tcPr>
            <w:tcW w:type="dxa" w:w="3135"/>
            <w:shd w:val="clear" w:color="auto" w:fill="2E74B5"/>
          </w:tcPr>
          <w:p>
            <w:r>
              <w:rPr>
                <w:rFonts w:ascii="Meiryo UI" w:hAnsi="Meiryo UI"/>
                <w:b/>
                <w:color w:val="FFFFFF"/>
                <w:sz w:val="18"/>
              </w:rPr>
              <w:t>SELLシグナル</w:t>
            </w:r>
          </w:p>
        </w:tc>
      </w:tr>
      <w:tr>
        <w:tc>
          <w:tcPr>
            <w:tcW w:type="dxa" w:w="3135"/>
          </w:tcPr>
          <w:p>
            <w:r>
              <w:rPr>
                <w:rFonts w:ascii="Meiryo UI" w:hAnsi="Meiryo UI"/>
                <w:sz w:val="18"/>
              </w:rPr>
              <w:t>BB規模（最重要）</w:t>
            </w:r>
          </w:p>
        </w:tc>
        <w:tc>
          <w:tcPr>
            <w:tcW w:type="dxa" w:w="3135"/>
          </w:tcPr>
          <w:p>
            <w:r>
              <w:rPr>
                <w:rFonts w:ascii="Meiryo UI" w:hAnsi="Meiryo UI"/>
                <w:sz w:val="18"/>
              </w:rPr>
              <w:t>300万株超（昨年3.01%超）→継続HOLD/追加</w:t>
            </w:r>
          </w:p>
        </w:tc>
        <w:tc>
          <w:tcPr>
            <w:tcW w:type="dxa" w:w="3135"/>
          </w:tcPr>
          <w:p>
            <w:r>
              <w:rPr>
                <w:rFonts w:ascii="Meiryo UI" w:hAnsi="Meiryo UI"/>
                <w:sz w:val="18"/>
              </w:rPr>
              <w:t>300万株以下 or 終了 → 即売り</w:t>
            </w:r>
          </w:p>
        </w:tc>
      </w:tr>
      <w:tr>
        <w:tc>
          <w:tcPr>
            <w:tcW w:type="dxa" w:w="3135"/>
            <w:shd w:val="clear" w:color="auto" w:fill="DDEBF7"/>
          </w:tcPr>
          <w:p>
            <w:r>
              <w:rPr>
                <w:rFonts w:ascii="Meiryo UI" w:hAnsi="Meiryo UI"/>
                <w:sz w:val="18"/>
              </w:rPr>
              <w:t>次期中計配当性向</w:t>
            </w:r>
          </w:p>
        </w:tc>
        <w:tc>
          <w:tcPr>
            <w:tcW w:type="dxa" w:w="3135"/>
            <w:shd w:val="clear" w:color="auto" w:fill="DDEBF7"/>
          </w:tcPr>
          <w:p>
            <w:r>
              <w:rPr>
                <w:rFonts w:ascii="Meiryo UI" w:hAnsi="Meiryo UI"/>
                <w:sz w:val="18"/>
              </w:rPr>
              <w:t>35%以上 → ポジ</w:t>
            </w:r>
          </w:p>
        </w:tc>
        <w:tc>
          <w:tcPr>
            <w:tcW w:type="dxa" w:w="3135"/>
            <w:shd w:val="clear" w:color="auto" w:fill="DDEBF7"/>
          </w:tcPr>
          <w:p>
            <w:r>
              <w:rPr>
                <w:rFonts w:ascii="Meiryo UI" w:hAnsi="Meiryo UI"/>
                <w:sz w:val="18"/>
              </w:rPr>
              <w:t>30%以下維持 → 売り</w:t>
            </w:r>
          </w:p>
        </w:tc>
      </w:tr>
      <w:tr>
        <w:tc>
          <w:tcPr>
            <w:tcW w:type="dxa" w:w="3135"/>
          </w:tcPr>
          <w:p>
            <w:r>
              <w:rPr>
                <w:rFonts w:ascii="Meiryo UI" w:hAnsi="Meiryo UI"/>
                <w:sz w:val="18"/>
              </w:rPr>
              <w:t>FY2026 通期OP</w:t>
            </w:r>
          </w:p>
        </w:tc>
        <w:tc>
          <w:tcPr>
            <w:tcW w:type="dxa" w:w="3135"/>
          </w:tcPr>
          <w:p>
            <w:r>
              <w:rPr>
                <w:rFonts w:ascii="Meiryo UI" w:hAnsi="Meiryo UI"/>
                <w:sz w:val="18"/>
              </w:rPr>
              <w:t>¥875億達成 or 上振れ → 安心</w:t>
            </w:r>
          </w:p>
        </w:tc>
        <w:tc>
          <w:tcPr>
            <w:tcW w:type="dxa" w:w="3135"/>
          </w:tcPr>
          <w:p>
            <w:r>
              <w:rPr>
                <w:rFonts w:ascii="Meiryo UI" w:hAnsi="Meiryo UI"/>
                <w:sz w:val="18"/>
              </w:rPr>
              <w:t>下方修正 → 失望+売り</w:t>
            </w:r>
          </w:p>
        </w:tc>
      </w:tr>
      <w:tr>
        <w:tc>
          <w:tcPr>
            <w:tcW w:type="dxa" w:w="3135"/>
            <w:shd w:val="clear" w:color="auto" w:fill="DDEBF7"/>
          </w:tcPr>
          <w:p>
            <w:r>
              <w:rPr>
                <w:rFonts w:ascii="Meiryo UI" w:hAnsi="Meiryo UI"/>
                <w:sz w:val="18"/>
              </w:rPr>
              <w:t>FY2027ガイダンス</w:t>
            </w:r>
          </w:p>
        </w:tc>
        <w:tc>
          <w:tcPr>
            <w:tcW w:type="dxa" w:w="3135"/>
            <w:shd w:val="clear" w:color="auto" w:fill="DDEBF7"/>
          </w:tcPr>
          <w:p>
            <w:r>
              <w:rPr>
                <w:rFonts w:ascii="Meiryo UI" w:hAnsi="Meiryo UI"/>
                <w:sz w:val="18"/>
              </w:rPr>
              <w:t>OP増益（+5%以上）→ 買い継続</w:t>
            </w:r>
          </w:p>
        </w:tc>
        <w:tc>
          <w:tcPr>
            <w:tcW w:type="dxa" w:w="3135"/>
            <w:shd w:val="clear" w:color="auto" w:fill="DDEBF7"/>
          </w:tcPr>
          <w:p>
            <w:r>
              <w:rPr>
                <w:rFonts w:ascii="Meiryo UI" w:hAnsi="Meiryo UI"/>
                <w:sz w:val="18"/>
              </w:rPr>
              <w:t>OP横ばい以下・ホルムズ影響言及 → 警戒</w:t>
            </w:r>
          </w:p>
        </w:tc>
      </w:tr>
      <w:tr>
        <w:tc>
          <w:tcPr>
            <w:tcW w:type="dxa" w:w="3135"/>
          </w:tcPr>
          <w:p>
            <w:r>
              <w:rPr>
                <w:rFonts w:ascii="Meiryo UI" w:hAnsi="Meiryo UI"/>
                <w:sz w:val="18"/>
              </w:rPr>
              <w:t>冷蔵倉庫事業方針</w:t>
            </w:r>
          </w:p>
        </w:tc>
        <w:tc>
          <w:tcPr>
            <w:tcW w:type="dxa" w:w="3135"/>
          </w:tcPr>
          <w:p>
            <w:r>
              <w:rPr>
                <w:rFonts w:ascii="Meiryo UI" w:hAnsi="Meiryo UI"/>
                <w:sz w:val="18"/>
              </w:rPr>
              <w:t>撤退検討言及 → NHGGP要求受入サイン</w:t>
            </w:r>
          </w:p>
        </w:tc>
        <w:tc>
          <w:tcPr>
            <w:tcW w:type="dxa" w:w="3135"/>
          </w:tcPr>
          <w:p>
            <w:r>
              <w:rPr>
                <w:rFonts w:ascii="Meiryo UI" w:hAnsi="Meiryo UI"/>
                <w:sz w:val="18"/>
              </w:rPr>
              <w:t>現状維持言及 → ネガ</w:t>
            </w:r>
          </w:p>
        </w:tc>
      </w:tr>
    </w:tbl>
    <w:p/>
    <w:p>
      <w:r>
        <w:t>──────────────────────────────────────────────────</w:t>
      </w:r>
    </w:p>
    <w:p/>
    <w:p>
      <w:pPr>
        <w:pStyle w:val="Heading2"/>
      </w:pPr>
      <w:r>
        <w:rPr>
          <w:rFonts w:ascii="Meiryo UI" w:hAnsi="Meiryo UI"/>
          <w:color w:val="2E74B5"/>
        </w:rPr>
        <w:t>【IR質問状】</w:t>
      </w:r>
    </w:p>
    <w:p/>
    <w:p>
      <w:r>
        <w:rPr>
          <w:rFonts w:ascii="Meiryo UI" w:hAnsi="Meiryo UI"/>
          <w:sz w:val="20"/>
        </w:rPr>
        <w:t>宛先： 東洋水産株式会社 広報IR部（https://www.maruchan.co.jp/ir/）</w:t>
      </w:r>
    </w:p>
    <w:p>
      <w:r>
        <w:rPr>
          <w:rFonts w:ascii="Meiryo UI" w:hAnsi="Meiryo UI"/>
          <w:sz w:val="20"/>
        </w:rPr>
        <w:t>件名： FY2026 3月期決算・次期中計に係る投資判断照会（竹村トレードカンパニー）</w:t>
      </w:r>
    </w:p>
    <w:p/>
    <w:p>
      <w:r>
        <w:rPr>
          <w:rFonts w:ascii="Meiryo UI" w:hAnsi="Meiryo UI"/>
          <w:sz w:val="20"/>
        </w:rPr>
        <w:t>竹村トレードカンパニーの竹村と申します。5月15日の本決算・次期中計発表を前に以下4点についてご教示ください。</w:t>
      </w:r>
    </w:p>
    <w:p/>
    <w:p>
      <w:r>
        <w:rPr>
          <w:rFonts w:ascii="Meiryo UI" w:hAnsi="Meiryo UI"/>
          <w:sz w:val="20"/>
        </w:rPr>
        <w:t>Q1【次期中期経営計画における株主還元方針】</w:t>
      </w:r>
    </w:p>
    <w:p>
      <w:r>
        <w:rPr>
          <w:rFonts w:ascii="Meiryo UI" w:hAnsi="Meiryo UI"/>
          <w:sz w:val="20"/>
        </w:rPr>
        <w:t>2025年5月の300万株自社株買い（発行済み3.01%）に続く次の還元強化施策について、次期中計での目標配当性向・自社株買い規模の方向性をお聞かせください。NHGGP様からの要求（配当性向40%・BB17%等）に対する経営陣としての現時点の考えも可能な範囲でご教示ください。</w:t>
      </w:r>
    </w:p>
    <w:p/>
    <w:p>
      <w:r>
        <w:rPr>
          <w:rFonts w:ascii="Meiryo UI" w:hAnsi="Meiryo UI"/>
          <w:sz w:val="20"/>
        </w:rPr>
        <w:t>Q2【北米マルチャン事業の持続的成長】</w:t>
      </w:r>
    </w:p>
    <w:p>
      <w:r>
        <w:rPr>
          <w:rFonts w:ascii="Meiryo UI" w:hAnsi="Meiryo UI"/>
          <w:sz w:val="20"/>
        </w:rPr>
        <w:t>北米即席めん事業が高OPMを維持している主因（価格転嫁・需要拡大・コスト管理）と、FY2027以降の成長率見通しをご説明ください。</w:t>
      </w:r>
    </w:p>
    <w:p/>
    <w:p>
      <w:r>
        <w:rPr>
          <w:rFonts w:ascii="Meiryo UI" w:hAnsi="Meiryo UI"/>
          <w:sz w:val="20"/>
        </w:rPr>
        <w:t>Q3【ホルムズ海峡封鎖の業績への影響】</w:t>
      </w:r>
    </w:p>
    <w:p>
      <w:r>
        <w:rPr>
          <w:rFonts w:ascii="Meiryo UI" w:hAnsi="Meiryo UI"/>
          <w:sz w:val="20"/>
        </w:rPr>
        <w:t>2026年2月末以降のホルムズ海峡再封鎖が、原材料（パーム油・小麦・包装材等）の調達コストと価格転嫁に与えている影響をQ4（FY2026）の実態とFY2027前提を含めてご教示ください。</w:t>
      </w:r>
    </w:p>
    <w:p/>
    <w:p>
      <w:r>
        <w:rPr>
          <w:rFonts w:ascii="Meiryo UI" w:hAnsi="Meiryo UI"/>
          <w:sz w:val="20"/>
        </w:rPr>
        <w:t>Q4【冷蔵倉庫事業の方向性】</w:t>
      </w:r>
    </w:p>
    <w:p>
      <w:r>
        <w:rPr>
          <w:rFonts w:ascii="Meiryo UI" w:hAnsi="Meiryo UI"/>
          <w:sz w:val="20"/>
        </w:rPr>
        <w:t>冷蔵倉庫事業について、NHGGP様から撤退検討の提案を受けていますが、事業価値と今後の戦略的位置付けについてご見解をお聞かせください。</w:t>
      </w:r>
    </w:p>
    <w:p/>
    <w:p>
      <w:r>
        <w:rPr>
          <w:rFonts w:ascii="Meiryo UI" w:hAnsi="Meiryo UI"/>
          <w:sz w:val="20"/>
        </w:rPr>
        <w:t>竹村トレードカンパニー　竹村</w:t>
      </w:r>
    </w:p>
    <w:p/>
    <w:p>
      <w:r>
        <w:t>──────────────────────────────────────────────────</w:t>
      </w:r>
    </w:p>
    <w:p/>
    <w:p>
      <w:r>
        <w:rPr>
          <w:rFonts w:ascii="Meiryo UI" w:hAnsi="Meiryo UI"/>
          <w:sz w:val="20"/>
        </w:rPr>
        <w:t>Sources: [東洋水産IRページ](https://www.maruchan.co.jp/ir/)、[NHGGP要求・株探ニュース](https://kabutan.jp/news/marketnews/?b=n202502190335)、[Yahoo Finance 2875.T](https://finance.yahoo.co.jp/quote/2875.T)、[東洋水産Q2決算説明資料（2025/10/31）](https://www.maruchan.co.jp/irnews/upload/other/documents/dd5228123a012455fe33e58493ee7458c13926b9.pdf)、銘柄マスター20260420_2.csv、佐治ANフードセクター論点整理（2026/4/20）</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