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 Research｜2884 ヨシムラ・フード・ホールディングス</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深井 Deep Research｜2884 ヨシムラ・フード・ホールディングス</w:t>
      </w:r>
    </w:p>
    <w:p>
      <w:r>
        <w:rPr>
          <w:rFonts w:ascii="Meiryo UI" w:hAnsi="Meiryo UI"/>
          <w:sz w:val="20"/>
        </w:rPr>
        <w:t>作成日: 2026年4月16日 | アナリスト: 深井（竹村トレードカンパニー）</w:t>
      </w:r>
    </w:p>
    <w:p/>
    <w:p>
      <w:r>
        <w:t>──────────────────────────────────────────────────</w:t>
      </w:r>
    </w:p>
    <w:p/>
    <w:p>
      <w:pPr>
        <w:pStyle w:val="Heading2"/>
      </w:pPr>
      <w:r>
        <w:rPr>
          <w:rFonts w:ascii="Meiryo UI" w:hAnsi="Meiryo UI"/>
          <w:color w:val="2E74B5"/>
        </w:rPr>
        <w:t>冒頭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判定</w:t>
            </w:r>
          </w:p>
        </w:tc>
      </w:tr>
      <w:tr>
        <w:tc>
          <w:tcPr>
            <w:tcW w:type="dxa" w:w="4703"/>
          </w:tcPr>
          <w:p>
            <w:r>
              <w:rPr>
                <w:rFonts w:ascii="Meiryo UI" w:hAnsi="Meiryo UI"/>
                <w:sz w:val="18"/>
              </w:rPr>
              <w:t>投資判断</w:t>
            </w:r>
          </w:p>
        </w:tc>
        <w:tc>
          <w:tcPr>
            <w:tcW w:type="dxa" w:w="4703"/>
          </w:tcPr>
          <w:p>
            <w:r>
              <w:rPr>
                <w:rFonts w:ascii="Meiryo UI" w:hAnsi="Meiryo UI"/>
                <w:sz w:val="18"/>
              </w:rPr>
              <w:t>HOLD（様子見）</w:t>
            </w:r>
          </w:p>
        </w:tc>
      </w:tr>
      <w:tr>
        <w:tc>
          <w:tcPr>
            <w:tcW w:type="dxa" w:w="4703"/>
            <w:shd w:val="clear" w:color="auto" w:fill="DDEBF7"/>
          </w:tcPr>
          <w:p>
            <w:r>
              <w:rPr>
                <w:rFonts w:ascii="Meiryo UI" w:hAnsi="Meiryo UI"/>
                <w:sz w:val="18"/>
              </w:rPr>
              <w:t>TP（目標株価）</w:t>
            </w:r>
          </w:p>
        </w:tc>
        <w:tc>
          <w:tcPr>
            <w:tcW w:type="dxa" w:w="4703"/>
            <w:shd w:val="clear" w:color="auto" w:fill="DDEBF7"/>
          </w:tcPr>
          <w:p>
            <w:r>
              <w:rPr>
                <w:rFonts w:ascii="Meiryo UI" w:hAnsi="Meiryo UI"/>
                <w:sz w:val="18"/>
              </w:rPr>
              <w:t>¥840（DCFベース、上値限定）</w:t>
            </w:r>
          </w:p>
        </w:tc>
      </w:tr>
      <w:tr>
        <w:tc>
          <w:tcPr>
            <w:tcW w:type="dxa" w:w="4703"/>
          </w:tcPr>
          <w:p>
            <w:r>
              <w:rPr>
                <w:rFonts w:ascii="Meiryo UI" w:hAnsi="Meiryo UI"/>
                <w:sz w:val="18"/>
              </w:rPr>
              <w:t>安全域</w:t>
            </w:r>
          </w:p>
        </w:tc>
        <w:tc>
          <w:tcPr>
            <w:tcW w:type="dxa" w:w="4703"/>
          </w:tcPr>
          <w:p>
            <w:r>
              <w:rPr>
                <w:rFonts w:ascii="Meiryo UI" w:hAnsi="Meiryo UI"/>
                <w:sz w:val="18"/>
              </w:rPr>
              <w:t>現値¥750比 +12%。ただし落ちナイフリスク残存</w:t>
            </w:r>
          </w:p>
        </w:tc>
      </w:tr>
      <w:tr>
        <w:tc>
          <w:tcPr>
            <w:tcW w:type="dxa" w:w="4703"/>
            <w:shd w:val="clear" w:color="auto" w:fill="DDEBF7"/>
          </w:tcPr>
          <w:p>
            <w:r>
              <w:rPr>
                <w:rFonts w:ascii="Meiryo UI" w:hAnsi="Meiryo UI"/>
                <w:sz w:val="18"/>
              </w:rPr>
              <w:t>昨日決算要点</w:t>
            </w:r>
          </w:p>
        </w:tc>
        <w:tc>
          <w:tcPr>
            <w:tcW w:type="dxa" w:w="4703"/>
            <w:shd w:val="clear" w:color="auto" w:fill="DDEBF7"/>
          </w:tcPr>
          <w:p>
            <w:r>
              <w:rPr>
                <w:rFonts w:ascii="Meiryo UI" w:hAnsi="Meiryo UI"/>
                <w:sz w:val="18"/>
              </w:rPr>
              <w:t>2026年2月期・経常利益▲60.2%（16.9億円）。ホタテ事業が全社利益の大半を蒸発させた</w:t>
            </w:r>
          </w:p>
        </w:tc>
      </w:tr>
      <w:tr>
        <w:tc>
          <w:tcPr>
            <w:tcW w:type="dxa" w:w="4703"/>
          </w:tcPr>
          <w:p>
            <w:r>
              <w:rPr>
                <w:rFonts w:ascii="Meiryo UI" w:hAnsi="Meiryo UI"/>
                <w:sz w:val="18"/>
              </w:rPr>
              <w:t>急落の理由</w:t>
            </w:r>
          </w:p>
        </w:tc>
        <w:tc>
          <w:tcPr>
            <w:tcW w:type="dxa" w:w="4703"/>
          </w:tcPr>
          <w:p>
            <w:r>
              <w:rPr>
                <w:rFonts w:ascii="Meiryo UI" w:hAnsi="Meiryo UI"/>
                <w:sz w:val="18"/>
              </w:rPr>
              <w:t>営業利益▲62.3%（15.68億円）かつ来期27年2月期ガイダンスも経常利益+0.5%（17億円）の微増にとどまり、V字回復期待が完全に剥落</w:t>
            </w:r>
          </w:p>
        </w:tc>
      </w:tr>
      <w:tr>
        <w:tc>
          <w:tcPr>
            <w:tcW w:type="dxa" w:w="4703"/>
            <w:shd w:val="clear" w:color="auto" w:fill="DDEBF7"/>
          </w:tcPr>
          <w:p>
            <w:r>
              <w:rPr>
                <w:rFonts w:ascii="Meiryo UI" w:hAnsi="Meiryo UI"/>
                <w:sz w:val="18"/>
              </w:rPr>
              <w:t>落ちナイフ vs 反発</w:t>
            </w:r>
          </w:p>
        </w:tc>
        <w:tc>
          <w:tcPr>
            <w:tcW w:type="dxa" w:w="4703"/>
            <w:shd w:val="clear" w:color="auto" w:fill="DDEBF7"/>
          </w:tcPr>
          <w:p>
            <w:r>
              <w:rPr>
                <w:rFonts w:ascii="Meiryo UI" w:hAnsi="Meiryo UI"/>
                <w:sz w:val="18"/>
              </w:rPr>
              <w:t>暫定HOLD（落ちナイフ60% : 反発40%）。ガイダンスが来期も事実上横ばい。V字反発の材料不十分</w:t>
            </w:r>
          </w:p>
        </w:tc>
      </w:tr>
      <w:tr>
        <w:tc>
          <w:tcPr>
            <w:tcW w:type="dxa" w:w="4703"/>
          </w:tcPr>
          <w:p>
            <w:r>
              <w:rPr>
                <w:rFonts w:ascii="Meiryo UI" w:hAnsi="Meiryo UI"/>
                <w:sz w:val="18"/>
              </w:rPr>
              <w:t>推奨アクション</w:t>
            </w:r>
          </w:p>
        </w:tc>
        <w:tc>
          <w:tcPr>
            <w:tcW w:type="dxa" w:w="4703"/>
          </w:tcPr>
          <w:p>
            <w:r>
              <w:rPr>
                <w:rFonts w:ascii="Meiryo UI" w:hAnsi="Meiryo UI"/>
                <w:sz w:val="18"/>
              </w:rPr>
              <w:t>即時買い見送り。¥700水準での分散打診（ADV152K株と流動性低め）。ストップ¥650</w:t>
            </w:r>
          </w:p>
        </w:tc>
      </w:tr>
    </w:tbl>
    <w:p/>
    <w:p>
      <w:r>
        <w:t>──────────────────────────────────────────────────</w:t>
      </w:r>
    </w:p>
    <w:p/>
    <w:p>
      <w:pPr>
        <w:pStyle w:val="Heading2"/>
      </w:pPr>
      <w:r>
        <w:rPr>
          <w:rFonts w:ascii="Meiryo UI" w:hAnsi="Meiryo UI"/>
          <w:color w:val="2E74B5"/>
        </w:rPr>
        <w:t>IRページ・コンタクト先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IR公式URL</w:t>
            </w:r>
          </w:p>
        </w:tc>
        <w:tc>
          <w:tcPr>
            <w:tcW w:type="dxa" w:w="4703"/>
          </w:tcPr>
          <w:p>
            <w:r>
              <w:rPr>
                <w:rFonts w:ascii="Meiryo UI" w:hAnsi="Meiryo UI"/>
                <w:sz w:val="18"/>
              </w:rPr>
              <w:t>https://www.y-food-h.com/ir/</w:t>
            </w:r>
          </w:p>
        </w:tc>
      </w:tr>
      <w:tr>
        <w:tc>
          <w:tcPr>
            <w:tcW w:type="dxa" w:w="4703"/>
            <w:shd w:val="clear" w:color="auto" w:fill="DDEBF7"/>
          </w:tcPr>
          <w:p>
            <w:r>
              <w:rPr>
                <w:rFonts w:ascii="Meiryo UI" w:hAnsi="Meiryo UI"/>
                <w:sz w:val="18"/>
              </w:rPr>
              <w:t>IRライブラリ（決算資料等）</w:t>
            </w:r>
          </w:p>
        </w:tc>
        <w:tc>
          <w:tcPr>
            <w:tcW w:type="dxa" w:w="4703"/>
            <w:shd w:val="clear" w:color="auto" w:fill="DDEBF7"/>
          </w:tcPr>
          <w:p>
            <w:r>
              <w:rPr>
                <w:rFonts w:ascii="Meiryo UI" w:hAnsi="Meiryo UI"/>
                <w:sz w:val="18"/>
              </w:rPr>
              <w:t>https://www.y-food-h.com/ir/library/</w:t>
            </w:r>
          </w:p>
        </w:tc>
      </w:tr>
      <w:tr>
        <w:tc>
          <w:tcPr>
            <w:tcW w:type="dxa" w:w="4703"/>
          </w:tcPr>
          <w:p>
            <w:r>
              <w:rPr>
                <w:rFonts w:ascii="Meiryo UI" w:hAnsi="Meiryo UI"/>
                <w:sz w:val="18"/>
              </w:rPr>
              <w:t>よくある質問（IR FAQ）</w:t>
            </w:r>
          </w:p>
        </w:tc>
        <w:tc>
          <w:tcPr>
            <w:tcW w:type="dxa" w:w="4703"/>
          </w:tcPr>
          <w:p>
            <w:r>
              <w:rPr>
                <w:rFonts w:ascii="Meiryo UI" w:hAnsi="Meiryo UI"/>
                <w:sz w:val="18"/>
              </w:rPr>
              <w:t>https://www.y-food-h.com/ir/faq/</w:t>
            </w:r>
          </w:p>
        </w:tc>
      </w:tr>
      <w:tr>
        <w:tc>
          <w:tcPr>
            <w:tcW w:type="dxa" w:w="4703"/>
            <w:shd w:val="clear" w:color="auto" w:fill="DDEBF7"/>
          </w:tcPr>
          <w:p>
            <w:r>
              <w:rPr>
                <w:rFonts w:ascii="Meiryo UI" w:hAnsi="Meiryo UI"/>
                <w:sz w:val="18"/>
              </w:rPr>
              <w:t>英語IR</w:t>
            </w:r>
          </w:p>
        </w:tc>
        <w:tc>
          <w:tcPr>
            <w:tcW w:type="dxa" w:w="4703"/>
            <w:shd w:val="clear" w:color="auto" w:fill="DDEBF7"/>
          </w:tcPr>
          <w:p>
            <w:r>
              <w:rPr>
                <w:rFonts w:ascii="Meiryo UI" w:hAnsi="Meiryo UI"/>
                <w:sz w:val="18"/>
              </w:rPr>
              <w:t>https://www.y-food-h.com/en/</w:t>
            </w:r>
          </w:p>
        </w:tc>
      </w:tr>
      <w:tr>
        <w:tc>
          <w:tcPr>
            <w:tcW w:type="dxa" w:w="4703"/>
          </w:tcPr>
          <w:p>
            <w:r>
              <w:rPr>
                <w:rFonts w:ascii="Meiryo UI" w:hAnsi="Meiryo UI"/>
                <w:sz w:val="18"/>
              </w:rPr>
              <w:t>本社所在地</w:t>
            </w:r>
          </w:p>
        </w:tc>
        <w:tc>
          <w:tcPr>
            <w:tcW w:type="dxa" w:w="4703"/>
          </w:tcPr>
          <w:p>
            <w:r>
              <w:rPr>
                <w:rFonts w:ascii="Meiryo UI" w:hAnsi="Meiryo UI"/>
                <w:sz w:val="18"/>
              </w:rPr>
              <w:t>東京都港区</w:t>
            </w:r>
          </w:p>
        </w:tc>
      </w:tr>
      <w:tr>
        <w:tc>
          <w:tcPr>
            <w:tcW w:type="dxa" w:w="4703"/>
            <w:shd w:val="clear" w:color="auto" w:fill="DDEBF7"/>
          </w:tcPr>
          <w:p>
            <w:r>
              <w:rPr>
                <w:rFonts w:ascii="Meiryo UI" w:hAnsi="Meiryo UI"/>
                <w:sz w:val="18"/>
              </w:rPr>
              <w:t>問い合わせ</w:t>
            </w:r>
          </w:p>
        </w:tc>
        <w:tc>
          <w:tcPr>
            <w:tcW w:type="dxa" w:w="4703"/>
            <w:shd w:val="clear" w:color="auto" w:fill="DDEBF7"/>
          </w:tcPr>
          <w:p>
            <w:r>
              <w:rPr>
                <w:rFonts w:ascii="Meiryo UI" w:hAnsi="Meiryo UI"/>
                <w:sz w:val="18"/>
              </w:rPr>
              <w:t>公式IRページ内コンタクトフォーム経由（電話番号は非公開のためウェブフォーム推奨）</w:t>
            </w:r>
          </w:p>
        </w:tc>
      </w:tr>
      <w:tr>
        <w:tc>
          <w:tcPr>
            <w:tcW w:type="dxa" w:w="4703"/>
          </w:tcPr>
          <w:p>
            <w:r>
              <w:rPr>
                <w:rFonts w:ascii="Meiryo UI" w:hAnsi="Meiryo UI"/>
                <w:sz w:val="18"/>
              </w:rPr>
              <w:t>適時開示（TDnet）</w:t>
            </w:r>
          </w:p>
        </w:tc>
        <w:tc>
          <w:tcPr>
            <w:tcW w:type="dxa" w:w="4703"/>
          </w:tcPr>
          <w:p>
            <w:r>
              <w:rPr>
                <w:rFonts w:ascii="Meiryo UI" w:hAnsi="Meiryo UI"/>
                <w:sz w:val="18"/>
              </w:rPr>
              <w:t>https://www.nikkei.com/nkd/disclosure/tdnr/20260415504508/</w:t>
            </w:r>
          </w:p>
        </w:tc>
      </w:tr>
    </w:tbl>
    <w:p/>
    <w:p>
      <w:r>
        <w:rPr>
          <w:rFonts w:ascii="Meiryo UI" w:hAnsi="Meiryo UI"/>
          <w:sz w:val="20"/>
        </w:rPr>
        <w:t>Rationale: IRページはy-food-h.comドメインで確認済み。4月15日開示の決算短信・株主優待拡充案内もTDnet経由で公開済み。</w:t>
      </w:r>
    </w:p>
    <w:p/>
    <w:p>
      <w:r>
        <w:t>──────────────────────────────────────────────────</w:t>
      </w:r>
    </w:p>
    <w:p/>
    <w:p>
      <w:pPr>
        <w:pStyle w:val="Heading2"/>
      </w:pPr>
      <w:r>
        <w:rPr>
          <w:rFonts w:ascii="Meiryo UI" w:hAnsi="Meiryo UI"/>
          <w:color w:val="2E74B5"/>
        </w:rPr>
        <w:t>昨日決算の詳細分析（最重要セクション）</w:t>
      </w:r>
    </w:p>
    <w:p/>
    <w:p>
      <w:pPr>
        <w:pStyle w:val="Heading3"/>
      </w:pPr>
      <w:r>
        <w:rPr>
          <w:rFonts w:ascii="Meiryo UI" w:hAnsi="Meiryo UI"/>
          <w:color w:val="2E74B5"/>
        </w:rPr>
        <w:t>2026年2月期 通期決算結果（4月15日開示）</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実績（26年2月期）</w:t>
            </w:r>
          </w:p>
        </w:tc>
        <w:tc>
          <w:tcPr>
            <w:tcW w:type="dxa" w:w="1881"/>
            <w:shd w:val="clear" w:color="auto" w:fill="2E74B5"/>
          </w:tcPr>
          <w:p>
            <w:r>
              <w:rPr>
                <w:rFonts w:ascii="Meiryo UI" w:hAnsi="Meiryo UI"/>
                <w:b/>
                <w:color w:val="FFFFFF"/>
                <w:sz w:val="18"/>
              </w:rPr>
              <w:t>会社予想（中央値）</w:t>
            </w:r>
          </w:p>
        </w:tc>
        <w:tc>
          <w:tcPr>
            <w:tcW w:type="dxa" w:w="1881"/>
            <w:shd w:val="clear" w:color="auto" w:fill="2E74B5"/>
          </w:tcPr>
          <w:p>
            <w:r>
              <w:rPr>
                <w:rFonts w:ascii="Meiryo UI" w:hAnsi="Meiryo UI"/>
                <w:b/>
                <w:color w:val="FFFFFF"/>
                <w:sz w:val="18"/>
              </w:rPr>
              <w:t>前期実績（25年2月期）</w:t>
            </w:r>
          </w:p>
        </w:tc>
        <w:tc>
          <w:tcPr>
            <w:tcW w:type="dxa" w:w="1881"/>
            <w:shd w:val="clear" w:color="auto" w:fill="2E74B5"/>
          </w:tcPr>
          <w:p>
            <w:r>
              <w:rPr>
                <w:rFonts w:ascii="Meiryo UI" w:hAnsi="Meiryo UI"/>
                <w:b/>
                <w:color w:val="FFFFFF"/>
                <w:sz w:val="18"/>
              </w:rPr>
              <w:t>前期比</w:t>
            </w:r>
          </w:p>
        </w:tc>
      </w:tr>
      <w:tr>
        <w:tc>
          <w:tcPr>
            <w:tcW w:type="dxa" w:w="1881"/>
          </w:tcPr>
          <w:p>
            <w:r>
              <w:rPr>
                <w:rFonts w:ascii="Meiryo UI" w:hAnsi="Meiryo UI"/>
                <w:sz w:val="18"/>
              </w:rPr>
              <w:t>売上高</w:t>
            </w:r>
          </w:p>
        </w:tc>
        <w:tc>
          <w:tcPr>
            <w:tcW w:type="dxa" w:w="1881"/>
          </w:tcPr>
          <w:p>
            <w:r>
              <w:rPr>
                <w:rFonts w:ascii="Meiryo UI" w:hAnsi="Meiryo UI"/>
                <w:sz w:val="18"/>
              </w:rPr>
              <w:t>574.84億円</w:t>
            </w:r>
          </w:p>
        </w:tc>
        <w:tc>
          <w:tcPr>
            <w:tcW w:type="dxa" w:w="1881"/>
          </w:tcPr>
          <w:p>
            <w:r>
              <w:rPr>
                <w:rFonts w:ascii="Meiryo UI" w:hAnsi="Meiryo UI"/>
                <w:sz w:val="18"/>
              </w:rPr>
              <w:t>607〜637億円（中央値622億円）</w:t>
            </w:r>
          </w:p>
        </w:tc>
        <w:tc>
          <w:tcPr>
            <w:tcW w:type="dxa" w:w="1881"/>
          </w:tcPr>
          <w:p>
            <w:r>
              <w:rPr>
                <w:rFonts w:ascii="Meiryo UI" w:hAnsi="Meiryo UI"/>
                <w:sz w:val="18"/>
              </w:rPr>
              <w:t>581.4億円（推定）</w:t>
            </w:r>
          </w:p>
        </w:tc>
        <w:tc>
          <w:tcPr>
            <w:tcW w:type="dxa" w:w="1881"/>
          </w:tcPr>
          <w:p>
            <w:r>
              <w:rPr>
                <w:rFonts w:ascii="Meiryo UI" w:hAnsi="Meiryo UI"/>
                <w:sz w:val="18"/>
              </w:rPr>
              <w:t>▲1.1%</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15.68億円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41.6億円（推定）</w:t>
            </w:r>
          </w:p>
        </w:tc>
        <w:tc>
          <w:tcPr>
            <w:tcW w:type="dxa" w:w="1881"/>
            <w:shd w:val="clear" w:color="auto" w:fill="DDEBF7"/>
          </w:tcPr>
          <w:p>
            <w:r>
              <w:rPr>
                <w:rFonts w:ascii="Meiryo UI" w:hAnsi="Meiryo UI"/>
                <w:sz w:val="18"/>
              </w:rPr>
              <w:t>▲62.3%</w:t>
            </w:r>
          </w:p>
        </w:tc>
      </w:tr>
      <w:tr>
        <w:tc>
          <w:tcPr>
            <w:tcW w:type="dxa" w:w="1881"/>
          </w:tcPr>
          <w:p>
            <w:r>
              <w:rPr>
                <w:rFonts w:ascii="Meiryo UI" w:hAnsi="Meiryo UI"/>
                <w:sz w:val="18"/>
              </w:rPr>
              <w:t>経常利益</w:t>
            </w:r>
          </w:p>
        </w:tc>
        <w:tc>
          <w:tcPr>
            <w:tcW w:type="dxa" w:w="1881"/>
          </w:tcPr>
          <w:p>
            <w:r>
              <w:rPr>
                <w:rFonts w:ascii="Meiryo UI" w:hAnsi="Meiryo UI"/>
                <w:sz w:val="18"/>
              </w:rPr>
              <w:t>16.92億円</w:t>
            </w:r>
          </w:p>
        </w:tc>
        <w:tc>
          <w:tcPr>
            <w:tcW w:type="dxa" w:w="1881"/>
          </w:tcPr>
          <w:p>
            <w:r>
              <w:rPr>
                <w:rFonts w:ascii="Meiryo UI" w:hAnsi="Meiryo UI"/>
                <w:sz w:val="18"/>
              </w:rPr>
              <w:t>29〜39億円（中央値34億円）</w:t>
            </w:r>
          </w:p>
        </w:tc>
        <w:tc>
          <w:tcPr>
            <w:tcW w:type="dxa" w:w="1881"/>
          </w:tcPr>
          <w:p>
            <w:r>
              <w:rPr>
                <w:rFonts w:ascii="Meiryo UI" w:hAnsi="Meiryo UI"/>
                <w:sz w:val="18"/>
              </w:rPr>
              <w:t>42.5億円</w:t>
            </w:r>
          </w:p>
        </w:tc>
        <w:tc>
          <w:tcPr>
            <w:tcW w:type="dxa" w:w="1881"/>
          </w:tcPr>
          <w:p>
            <w:r>
              <w:rPr>
                <w:rFonts w:ascii="Meiryo UI" w:hAnsi="Meiryo UI"/>
                <w:sz w:val="18"/>
              </w:rPr>
              <w:t>▲60.2%</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推定10〜12億円</w:t>
            </w:r>
          </w:p>
        </w:tc>
        <w:tc>
          <w:tcPr>
            <w:tcW w:type="dxa" w:w="1881"/>
            <w:shd w:val="clear" w:color="auto" w:fill="DDEBF7"/>
          </w:tcPr>
          <w:p>
            <w:r>
              <w:rPr>
                <w:rFonts w:ascii="Meiryo UI" w:hAnsi="Meiryo UI"/>
                <w:sz w:val="18"/>
              </w:rPr>
              <w:t>11.2〜15.8億円</w:t>
            </w:r>
          </w:p>
        </w:tc>
        <w:tc>
          <w:tcPr>
            <w:tcW w:type="dxa" w:w="1881"/>
            <w:shd w:val="clear" w:color="auto" w:fill="DDEBF7"/>
          </w:tcPr>
          <w:p>
            <w:r>
              <w:rPr>
                <w:rFonts w:ascii="Meiryo UI" w:hAnsi="Meiryo UI"/>
                <w:sz w:val="18"/>
              </w:rPr>
              <w:t>推定15〜18億円（減少）</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EPS（実績）</w:t>
            </w:r>
          </w:p>
        </w:tc>
        <w:tc>
          <w:tcPr>
            <w:tcW w:type="dxa" w:w="1881"/>
          </w:tcPr>
          <w:p>
            <w:r>
              <w:rPr>
                <w:rFonts w:ascii="Meiryo UI" w:hAnsi="Meiryo UI"/>
                <w:sz w:val="18"/>
              </w:rPr>
              <w:t>¥38.52（yfinance取得）</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bl>
    <w:p/>
    <w:p>
      <w:r>
        <w:rPr>
          <w:rFonts w:ascii="Meiryo UI" w:hAnsi="Meiryo UI"/>
          <w:sz w:val="20"/>
        </w:rPr>
        <w:t xml:space="preserve">Rationale: </w:t>
      </w:r>
    </w:p>
    <w:p>
      <w:pPr>
        <w:pStyle w:val="ListBullet"/>
      </w:pPr>
      <w:r>
        <w:rPr>
          <w:rFonts w:ascii="Meiryo UI" w:hAnsi="Meiryo UI"/>
          <w:sz w:val="20"/>
        </w:rPr>
        <w:t>売上高は会社予想（622億円中央値）を約7.9%下回った。</w:t>
      </w:r>
    </w:p>
    <w:p>
      <w:pPr>
        <w:pStyle w:val="ListBullet"/>
      </w:pPr>
      <w:r>
        <w:rPr>
          <w:rFonts w:ascii="Meiryo UI" w:hAnsi="Meiryo UI"/>
          <w:sz w:val="20"/>
        </w:rPr>
        <w:t>経常利益（16.92億円）は会社予想中央値（34億円）に対し▲50.2%の大幅未達。1Qの進捗率が18.2%（通期34億円計画に対し1Q経常6.2億円）だった段階で赤信号は点灯していたが、市場はここまでの着地を織り込んでいなかった。</w:t>
      </w:r>
    </w:p>
    <w:p>
      <w:pPr>
        <w:pStyle w:val="ListBullet"/>
      </w:pPr>
      <w:r>
        <w:rPr>
          <w:rFonts w:ascii="Meiryo UI" w:hAnsi="Meiryo UI"/>
          <w:sz w:val="20"/>
        </w:rPr>
        <w:t>コンセンサスは公表なし（アナリストカバー数少数）のため「会社予想比」の乖離が実質的なネガティブサプライズ指標。</w:t>
      </w:r>
    </w:p>
    <w:p/>
    <w:p>
      <w:pPr>
        <w:pStyle w:val="Heading3"/>
      </w:pPr>
      <w:r>
        <w:rPr>
          <w:rFonts w:ascii="Meiryo UI" w:hAnsi="Meiryo UI"/>
          <w:color w:val="2E74B5"/>
        </w:rPr>
        <w:t>上下振れの理由分析</w:t>
      </w:r>
    </w:p>
    <w:p/>
    <w:p>
      <w:r>
        <w:rPr>
          <w:rFonts w:ascii="Meiryo UI" w:hAnsi="Meiryo UI"/>
          <w:sz w:val="20"/>
        </w:rPr>
        <w:t>ホタテ事業の構造的毀損（主因）</w:t>
      </w:r>
    </w:p>
    <w:p>
      <w:pPr>
        <w:pStyle w:val="ListBullet"/>
      </w:pPr>
      <w:r>
        <w:rPr>
          <w:rFonts w:ascii="Meiryo UI" w:hAnsi="Meiryo UI"/>
          <w:sz w:val="20"/>
        </w:rPr>
        <w:t>2023年8月の中国による日本産水産物輸入禁止措置後、ヨシムラ傘下のワイエスフーズ・マルキチ（ホタテ販売量シェア約10%）はアメリカ・アジア代替販路を開拓したが、代替市場での値決め力はホタテ売価を十分に回収できなかった。</w:t>
      </w:r>
    </w:p>
    <w:p>
      <w:pPr>
        <w:pStyle w:val="ListBullet"/>
      </w:pPr>
      <w:r>
        <w:rPr>
          <w:rFonts w:ascii="Meiryo UI" w:hAnsi="Meiryo UI"/>
          <w:sz w:val="20"/>
        </w:rPr>
        <w:t>2025年6月に中国が条件付き輸入再開を表明したが、対象工場の認可申請手続きが必要で、26年2月期内に実需回復は間に合わず。</w:t>
      </w:r>
    </w:p>
    <w:p/>
    <w:p>
      <w:r>
        <w:rPr>
          <w:rFonts w:ascii="Meiryo UI" w:hAnsi="Meiryo UI"/>
          <w:sz w:val="20"/>
        </w:rPr>
        <w:t>コスト増が追い打ち</w:t>
      </w:r>
    </w:p>
    <w:p>
      <w:pPr>
        <w:pStyle w:val="ListBullet"/>
      </w:pPr>
      <w:r>
        <w:rPr>
          <w:rFonts w:ascii="Meiryo UI" w:hAnsi="Meiryo UI"/>
          <w:sz w:val="20"/>
        </w:rPr>
        <w:t>ホルムズ緊張（2025年後半〜）に伴う食品原材料・燃料費の上昇が食品製造子会社全体に波及。</w:t>
      </w:r>
    </w:p>
    <w:p>
      <w:pPr>
        <w:pStyle w:val="ListBullet"/>
      </w:pPr>
      <w:r>
        <w:rPr>
          <w:rFonts w:ascii="Meiryo UI" w:hAnsi="Meiryo UI"/>
          <w:sz w:val="20"/>
        </w:rPr>
        <w:t>ナフサ起源の包材・合成樹脂コスト上昇は国内食品製造各社共通の逆風。</w:t>
      </w:r>
    </w:p>
    <w:p/>
    <w:p>
      <w:r>
        <w:rPr>
          <w:rFonts w:ascii="Meiryo UI" w:hAnsi="Meiryo UI"/>
          <w:sz w:val="20"/>
        </w:rPr>
        <w:t>海外事業（シンガポール）減速</w:t>
      </w:r>
    </w:p>
    <w:p>
      <w:pPr>
        <w:pStyle w:val="ListBullet"/>
      </w:pPr>
      <w:r>
        <w:rPr>
          <w:rFonts w:ascii="Meiryo UI" w:hAnsi="Meiryo UI"/>
          <w:sz w:val="20"/>
        </w:rPr>
        <w:t>シンガポール景気減速・外食需要低迷により海外セグメントも減収減益。</w:t>
      </w:r>
    </w:p>
    <w:p/>
    <w:p>
      <w:pPr>
        <w:pStyle w:val="Heading3"/>
      </w:pPr>
      <w:r>
        <w:rPr>
          <w:rFonts w:ascii="Meiryo UI" w:hAnsi="Meiryo UI"/>
          <w:color w:val="2E74B5"/>
        </w:rPr>
        <w:t>27年2月期ガイダンス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27年2月期会社予想</w:t>
            </w:r>
          </w:p>
        </w:tc>
        <w:tc>
          <w:tcPr>
            <w:tcW w:type="dxa" w:w="2351"/>
            <w:shd w:val="clear" w:color="auto" w:fill="2E74B5"/>
          </w:tcPr>
          <w:p>
            <w:r>
              <w:rPr>
                <w:rFonts w:ascii="Meiryo UI" w:hAnsi="Meiryo UI"/>
                <w:b/>
                <w:color w:val="FFFFFF"/>
                <w:sz w:val="18"/>
              </w:rPr>
              <w:t>26年2月期実績</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経常利益</w:t>
            </w:r>
          </w:p>
        </w:tc>
        <w:tc>
          <w:tcPr>
            <w:tcW w:type="dxa" w:w="2351"/>
          </w:tcPr>
          <w:p>
            <w:r>
              <w:rPr>
                <w:rFonts w:ascii="Meiryo UI" w:hAnsi="Meiryo UI"/>
                <w:sz w:val="18"/>
              </w:rPr>
              <w:t>17.0億円</w:t>
            </w:r>
          </w:p>
        </w:tc>
        <w:tc>
          <w:tcPr>
            <w:tcW w:type="dxa" w:w="2351"/>
          </w:tcPr>
          <w:p>
            <w:r>
              <w:rPr>
                <w:rFonts w:ascii="Meiryo UI" w:hAnsi="Meiryo UI"/>
                <w:sz w:val="18"/>
              </w:rPr>
              <w:t>16.92億円</w:t>
            </w:r>
          </w:p>
        </w:tc>
        <w:tc>
          <w:tcPr>
            <w:tcW w:type="dxa" w:w="2351"/>
          </w:tcPr>
          <w:p>
            <w:r>
              <w:rPr>
                <w:rFonts w:ascii="Meiryo UI" w:hAnsi="Meiryo UI"/>
                <w:sz w:val="18"/>
              </w:rPr>
              <w:t>+0.5%（実質横ばい）</w:t>
            </w:r>
          </w:p>
        </w:tc>
      </w:tr>
      <w:tr>
        <w:tc>
          <w:tcPr>
            <w:tcW w:type="dxa" w:w="2351"/>
            <w:shd w:val="clear" w:color="auto" w:fill="DDEBF7"/>
          </w:tcPr>
          <w:p>
            <w:r>
              <w:rPr>
                <w:rFonts w:ascii="Meiryo UI" w:hAnsi="Meiryo UI"/>
                <w:sz w:val="18"/>
              </w:rPr>
              <w:t>売上高</w:t>
            </w:r>
          </w:p>
        </w:tc>
        <w:tc>
          <w:tcPr>
            <w:tcW w:type="dxa" w:w="2351"/>
            <w:shd w:val="clear" w:color="auto" w:fill="DDEBF7"/>
          </w:tcPr>
          <w:p>
            <w:r>
              <w:rPr>
                <w:rFonts w:ascii="Meiryo UI" w:hAnsi="Meiryo UI"/>
                <w:sz w:val="18"/>
              </w:rPr>
              <w:t>未確定（調査中）</w:t>
            </w:r>
          </w:p>
        </w:tc>
        <w:tc>
          <w:tcPr>
            <w:tcW w:type="dxa" w:w="2351"/>
            <w:shd w:val="clear" w:color="auto" w:fill="DDEBF7"/>
          </w:tcPr>
          <w:p>
            <w:r>
              <w:rPr>
                <w:rFonts w:ascii="Meiryo UI" w:hAnsi="Meiryo UI"/>
                <w:sz w:val="18"/>
              </w:rPr>
              <w:t>574.84億円</w:t>
            </w:r>
          </w:p>
        </w:tc>
        <w:tc>
          <w:tcPr>
            <w:tcW w:type="dxa" w:w="2351"/>
            <w:shd w:val="clear" w:color="auto" w:fill="DDEBF7"/>
          </w:tcPr>
          <w:p>
            <w:r>
              <w:rPr>
                <w:rFonts w:ascii="Meiryo UI" w:hAnsi="Meiryo UI"/>
                <w:sz w:val="18"/>
              </w:rPr>
              <w:t>微増見込み</w:t>
            </w:r>
          </w:p>
        </w:tc>
      </w:tr>
    </w:tbl>
    <w:p/>
    <w:p>
      <w:r>
        <w:rPr>
          <w:rFonts w:ascii="Meiryo UI" w:hAnsi="Meiryo UI"/>
          <w:sz w:val="20"/>
        </w:rPr>
        <w:t>Rationale（ガイダンスの示唆）:</w:t>
      </w:r>
    </w:p>
    <w:p>
      <w:pPr>
        <w:pStyle w:val="ListBullet"/>
      </w:pPr>
      <w:r>
        <w:rPr>
          <w:rFonts w:ascii="Meiryo UI" w:hAnsi="Meiryo UI"/>
          <w:sz w:val="20"/>
        </w:rPr>
        <w:t>27年2月期経常利益17億円は前期比+0.5%という事実上の横ばい水準。</w:t>
      </w:r>
    </w:p>
    <w:p>
      <w:pPr>
        <w:pStyle w:val="ListBullet"/>
      </w:pPr>
      <w:r>
        <w:rPr>
          <w:rFonts w:ascii="Meiryo UI" w:hAnsi="Meiryo UI"/>
          <w:sz w:val="20"/>
        </w:rPr>
        <w:t>中期経営計画では2030年2月期に売上高1,150億円・営業利益80億円を掲げているが、現在の利益水準（15.68億円）から2030年80億円は4年間で5.1倍という高いハードル。</w:t>
      </w:r>
    </w:p>
    <w:p>
      <w:pPr>
        <w:pStyle w:val="ListBullet"/>
      </w:pPr>
      <w:r>
        <w:rPr>
          <w:rFonts w:ascii="Meiryo UI" w:hAnsi="Meiryo UI"/>
          <w:sz w:val="20"/>
        </w:rPr>
        <w:t>今回のガイダンスは中期計画との「信頼性のギャップ」を露わにしており、市場が大幅下方修正として受け止めた。</w:t>
      </w:r>
    </w:p>
    <w:p/>
    <w:p>
      <w:pPr>
        <w:pStyle w:val="Heading3"/>
      </w:pPr>
      <w:r>
        <w:rPr>
          <w:rFonts w:ascii="Meiryo UI" w:hAnsi="Meiryo UI"/>
          <w:color w:val="2E74B5"/>
        </w:rPr>
        <w:t>本日急落▲16.67%の正当性評価</w:t>
      </w:r>
    </w:p>
    <w:p/>
    <w:p>
      <w:r>
        <w:rPr>
          <w:rFonts w:ascii="Meiryo UI" w:hAnsi="Meiryo UI"/>
          <w:sz w:val="20"/>
        </w:rPr>
        <w:t>急落は「一定程度正当」だが「過度」の側面もあり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観点</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経常利益▲60%の規模感</w:t>
            </w:r>
          </w:p>
        </w:tc>
        <w:tc>
          <w:tcPr>
            <w:tcW w:type="dxa" w:w="4703"/>
          </w:tcPr>
          <w:p>
            <w:r>
              <w:rPr>
                <w:rFonts w:ascii="Meiryo UI" w:hAnsi="Meiryo UI"/>
                <w:sz w:val="18"/>
              </w:rPr>
              <w:t>正当。単なる下振れではなく収益モデルの根幹（ホタテ）が一時的に崩壊</w:t>
            </w:r>
          </w:p>
        </w:tc>
      </w:tr>
      <w:tr>
        <w:tc>
          <w:tcPr>
            <w:tcW w:type="dxa" w:w="4703"/>
            <w:shd w:val="clear" w:color="auto" w:fill="DDEBF7"/>
          </w:tcPr>
          <w:p>
            <w:r>
              <w:rPr>
                <w:rFonts w:ascii="Meiryo UI" w:hAnsi="Meiryo UI"/>
                <w:sz w:val="18"/>
              </w:rPr>
              <w:t>来期ガイダンス横ばい</w:t>
            </w:r>
          </w:p>
        </w:tc>
        <w:tc>
          <w:tcPr>
            <w:tcW w:type="dxa" w:w="4703"/>
            <w:shd w:val="clear" w:color="auto" w:fill="DDEBF7"/>
          </w:tcPr>
          <w:p>
            <w:r>
              <w:rPr>
                <w:rFonts w:ascii="Meiryo UI" w:hAnsi="Meiryo UI"/>
                <w:sz w:val="18"/>
              </w:rPr>
              <w:t>正当。「V字回復なし」を公式に確認。成長プレミアムの剥落当然</w:t>
            </w:r>
          </w:p>
        </w:tc>
      </w:tr>
      <w:tr>
        <w:tc>
          <w:tcPr>
            <w:tcW w:type="dxa" w:w="4703"/>
          </w:tcPr>
          <w:p>
            <w:r>
              <w:rPr>
                <w:rFonts w:ascii="Meiryo UI" w:hAnsi="Meiryo UI"/>
                <w:sz w:val="18"/>
              </w:rPr>
              <w:t>RSI33・MA25乖離▲17.8%</w:t>
            </w:r>
          </w:p>
        </w:tc>
        <w:tc>
          <w:tcPr>
            <w:tcW w:type="dxa" w:w="4703"/>
          </w:tcPr>
          <w:p>
            <w:r>
              <w:rPr>
                <w:rFonts w:ascii="Meiryo UI" w:hAnsi="Meiryo UI"/>
                <w:sz w:val="18"/>
              </w:rPr>
              <w:t>過度の側面あり。短期テクニカルは売られ過ぎ</w:t>
            </w:r>
          </w:p>
        </w:tc>
      </w:tr>
      <w:tr>
        <w:tc>
          <w:tcPr>
            <w:tcW w:type="dxa" w:w="4703"/>
            <w:shd w:val="clear" w:color="auto" w:fill="DDEBF7"/>
          </w:tcPr>
          <w:p>
            <w:r>
              <w:rPr>
                <w:rFonts w:ascii="Meiryo UI" w:hAnsi="Meiryo UI"/>
                <w:sz w:val="18"/>
              </w:rPr>
              <w:t>時価総額179億円の規模</w:t>
            </w:r>
          </w:p>
        </w:tc>
        <w:tc>
          <w:tcPr>
            <w:tcW w:type="dxa" w:w="4703"/>
            <w:shd w:val="clear" w:color="auto" w:fill="DDEBF7"/>
          </w:tcPr>
          <w:p>
            <w:r>
              <w:rPr>
                <w:rFonts w:ascii="Meiryo UI" w:hAnsi="Meiryo UI"/>
                <w:sz w:val="18"/>
              </w:rPr>
              <w:t>流動性リスク（ADV152K株）で薄い板での投売りが増幅した可能性</w:t>
            </w:r>
          </w:p>
        </w:tc>
      </w:tr>
    </w:tbl>
    <w:p/>
    <w:p>
      <w:r>
        <w:t>──────────────────────────────────────────────────</w:t>
      </w:r>
    </w:p>
    <w:p/>
    <w:p>
      <w:pPr>
        <w:pStyle w:val="Heading2"/>
      </w:pPr>
      <w:r>
        <w:rPr>
          <w:rFonts w:ascii="Meiryo UI" w:hAnsi="Meiryo UI"/>
          <w:color w:val="2E74B5"/>
        </w:rPr>
        <w:t>事業・財務分析</w:t>
      </w:r>
    </w:p>
    <w:p/>
    <w:p>
      <w:pPr>
        <w:pStyle w:val="Heading3"/>
      </w:pPr>
      <w:r>
        <w:rPr>
          <w:rFonts w:ascii="Meiryo UI" w:hAnsi="Meiryo UI"/>
          <w:color w:val="2E74B5"/>
        </w:rPr>
        <w:t>ヨシムラモデルの概要</w:t>
      </w:r>
    </w:p>
    <w:p/>
    <w:p>
      <w:r>
        <w:rPr>
          <w:rFonts w:ascii="Meiryo UI" w:hAnsi="Meiryo UI"/>
          <w:sz w:val="20"/>
        </w:rPr>
        <w:t>「連合経営」型M&amp;A戦略</w:t>
      </w:r>
    </w:p>
    <w:p>
      <w:pPr>
        <w:pStyle w:val="ListBullet"/>
      </w:pPr>
      <w:r>
        <w:rPr>
          <w:rFonts w:ascii="Meiryo UI" w:hAnsi="Meiryo UI"/>
          <w:sz w:val="20"/>
        </w:rPr>
        <w:t>後継者難・資金難・技術難の中小食品メーカーをM&amp;Aで取得（2008年設立以降、累計M&amp;A件数多数）</w:t>
      </w:r>
    </w:p>
    <w:p>
      <w:pPr>
        <w:pStyle w:val="ListBullet"/>
      </w:pPr>
      <w:r>
        <w:rPr>
          <w:rFonts w:ascii="Meiryo UI" w:hAnsi="Meiryo UI"/>
          <w:sz w:val="20"/>
        </w:rPr>
        <w:t>取得後はバックオフィス（経理・人事・法務・調達）を本社集約してコスト削減、製造・ブランドは維持する「ヨシムラモデル」</w:t>
      </w:r>
    </w:p>
    <w:p>
      <w:pPr>
        <w:pStyle w:val="ListBullet"/>
      </w:pPr>
      <w:r>
        <w:rPr>
          <w:rFonts w:ascii="Meiryo UI" w:hAnsi="Meiryo UI"/>
          <w:sz w:val="20"/>
        </w:rPr>
        <w:t>2025年8月末時点で連結子会社38社</w:t>
      </w:r>
    </w:p>
    <w:p>
      <w:pPr>
        <w:pStyle w:val="ListBullet"/>
      </w:pPr>
      <w:r>
        <w:rPr>
          <w:rFonts w:ascii="Meiryo UI" w:hAnsi="Meiryo UI"/>
          <w:sz w:val="20"/>
        </w:rPr>
        <w:t>主要セグメント: 国内食品事業（ホタテ水産加工・食品製造）・海外食品事業（シンガポール）</w:t>
      </w:r>
    </w:p>
    <w:p/>
    <w:p>
      <w:pPr>
        <w:pStyle w:val="Heading3"/>
      </w:pPr>
      <w:r>
        <w:rPr>
          <w:rFonts w:ascii="Meiryo UI" w:hAnsi="Meiryo UI"/>
          <w:color w:val="2E74B5"/>
        </w:rPr>
        <w:t>過去3期の業績推移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25年2月期</w:t>
            </w:r>
          </w:p>
        </w:tc>
        <w:tc>
          <w:tcPr>
            <w:tcW w:type="dxa" w:w="1568"/>
          </w:tcPr>
          <w:p>
            <w:r>
              <w:rPr>
                <w:rFonts w:ascii="Meiryo UI" w:hAnsi="Meiryo UI"/>
                <w:sz w:val="18"/>
              </w:rPr>
              <w:t>約581億円</w:t>
            </w:r>
          </w:p>
        </w:tc>
        <w:tc>
          <w:tcPr>
            <w:tcW w:type="dxa" w:w="1568"/>
          </w:tcPr>
          <w:p>
            <w:r>
              <w:rPr>
                <w:rFonts w:ascii="Meiryo UI" w:hAnsi="Meiryo UI"/>
                <w:sz w:val="18"/>
              </w:rPr>
              <w:t>約41.6億円</w:t>
            </w:r>
          </w:p>
        </w:tc>
        <w:tc>
          <w:tcPr>
            <w:tcW w:type="dxa" w:w="1568"/>
          </w:tcPr>
          <w:p>
            <w:r>
              <w:rPr>
                <w:rFonts w:ascii="Meiryo UI" w:hAnsi="Meiryo UI"/>
                <w:sz w:val="18"/>
              </w:rPr>
              <w:t>7.2%</w:t>
            </w:r>
          </w:p>
        </w:tc>
        <w:tc>
          <w:tcPr>
            <w:tcW w:type="dxa" w:w="1568"/>
          </w:tcPr>
          <w:p>
            <w:r>
              <w:rPr>
                <w:rFonts w:ascii="Meiryo UI" w:hAnsi="Meiryo UI"/>
                <w:sz w:val="18"/>
              </w:rPr>
              <w:t>42.5億円</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26年2月期（実績）</w:t>
            </w:r>
          </w:p>
        </w:tc>
        <w:tc>
          <w:tcPr>
            <w:tcW w:type="dxa" w:w="1568"/>
            <w:shd w:val="clear" w:color="auto" w:fill="DDEBF7"/>
          </w:tcPr>
          <w:p>
            <w:r>
              <w:rPr>
                <w:rFonts w:ascii="Meiryo UI" w:hAnsi="Meiryo UI"/>
                <w:sz w:val="18"/>
              </w:rPr>
              <w:t>574.84億円</w:t>
            </w:r>
          </w:p>
        </w:tc>
        <w:tc>
          <w:tcPr>
            <w:tcW w:type="dxa" w:w="1568"/>
            <w:shd w:val="clear" w:color="auto" w:fill="DDEBF7"/>
          </w:tcPr>
          <w:p>
            <w:r>
              <w:rPr>
                <w:rFonts w:ascii="Meiryo UI" w:hAnsi="Meiryo UI"/>
                <w:sz w:val="18"/>
              </w:rPr>
              <w:t>15.68億円</w:t>
            </w:r>
          </w:p>
        </w:tc>
        <w:tc>
          <w:tcPr>
            <w:tcW w:type="dxa" w:w="1568"/>
            <w:shd w:val="clear" w:color="auto" w:fill="DDEBF7"/>
          </w:tcPr>
          <w:p>
            <w:r>
              <w:rPr>
                <w:rFonts w:ascii="Meiryo UI" w:hAnsi="Meiryo UI"/>
                <w:sz w:val="18"/>
              </w:rPr>
              <w:t>2.7%</w:t>
            </w:r>
          </w:p>
        </w:tc>
        <w:tc>
          <w:tcPr>
            <w:tcW w:type="dxa" w:w="1568"/>
            <w:shd w:val="clear" w:color="auto" w:fill="DDEBF7"/>
          </w:tcPr>
          <w:p>
            <w:r>
              <w:rPr>
                <w:rFonts w:ascii="Meiryo UI" w:hAnsi="Meiryo UI"/>
                <w:sz w:val="18"/>
              </w:rPr>
              <w:t>16.92億円</w:t>
            </w:r>
          </w:p>
        </w:tc>
        <w:tc>
          <w:tcPr>
            <w:tcW w:type="dxa" w:w="1568"/>
            <w:shd w:val="clear" w:color="auto" w:fill="DDEBF7"/>
          </w:tcPr>
          <w:p>
            <w:r>
              <w:rPr>
                <w:rFonts w:ascii="Meiryo UI" w:hAnsi="Meiryo UI"/>
                <w:sz w:val="18"/>
              </w:rPr>
              <w:t>¥38.52</w:t>
            </w:r>
          </w:p>
        </w:tc>
      </w:tr>
      <w:tr>
        <w:tc>
          <w:tcPr>
            <w:tcW w:type="dxa" w:w="1568"/>
          </w:tcPr>
          <w:p>
            <w:r>
              <w:rPr>
                <w:rFonts w:ascii="Meiryo UI" w:hAnsi="Meiryo UI"/>
                <w:sz w:val="18"/>
              </w:rPr>
              <w:t>27年2月期（予想）</w:t>
            </w:r>
          </w:p>
        </w:tc>
        <w:tc>
          <w:tcPr>
            <w:tcW w:type="dxa" w:w="1568"/>
          </w:tcPr>
          <w:p>
            <w:r>
              <w:rPr>
                <w:rFonts w:ascii="Meiryo UI" w:hAnsi="Meiryo UI"/>
                <w:sz w:val="18"/>
              </w:rPr>
              <w:t>微増見込み</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17.0億円</w:t>
            </w:r>
          </w:p>
        </w:tc>
        <w:tc>
          <w:tcPr>
            <w:tcW w:type="dxa" w:w="1568"/>
          </w:tcPr>
          <w:p>
            <w:r>
              <w:rPr>
                <w:rFonts w:ascii="Meiryo UI" w:hAnsi="Meiryo UI"/>
                <w:sz w:val="18"/>
              </w:rPr>
              <w:t>¥83.9（forwardEPS）</w:t>
            </w:r>
          </w:p>
        </w:tc>
      </w:tr>
    </w:tbl>
    <w:p/>
    <w:p>
      <w:r>
        <w:rPr>
          <w:rFonts w:ascii="Meiryo UI" w:hAnsi="Meiryo UI"/>
          <w:sz w:val="20"/>
        </w:rPr>
        <w:t>Rationale（OPM急悪化）: 25年2月期の7.2%OPMから26年2月期は2.7%へ4.5ptの大幅悪化。単一セグメント（ホタテ）の毀損が連結利益の大部分を吸収した構造的脆弱性を示す。</w:t>
      </w:r>
    </w:p>
    <w:p/>
    <w:p>
      <w:pPr>
        <w:pStyle w:val="Heading3"/>
      </w:pPr>
      <w:r>
        <w:rPr>
          <w:rFonts w:ascii="Meiryo UI" w:hAnsi="Meiryo UI"/>
          <w:color w:val="2E74B5"/>
        </w:rPr>
        <w:t>M&amp;A件数・子会社・のれん</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連結子会社数</w:t>
            </w:r>
          </w:p>
        </w:tc>
        <w:tc>
          <w:tcPr>
            <w:tcW w:type="dxa" w:w="3135"/>
          </w:tcPr>
          <w:p>
            <w:r>
              <w:rPr>
                <w:rFonts w:ascii="Meiryo UI" w:hAnsi="Meiryo UI"/>
                <w:sz w:val="18"/>
              </w:rPr>
              <w:t>38社（2025年8月末）</w:t>
            </w:r>
          </w:p>
        </w:tc>
        <w:tc>
          <w:tcPr>
            <w:tcW w:type="dxa" w:w="3135"/>
          </w:tcPr>
          <w:p>
            <w:r>
              <w:rPr>
                <w:rFonts w:ascii="Meiryo UI" w:hAnsi="Meiryo UI"/>
                <w:sz w:val="18"/>
              </w:rPr>
              <w:t>設立以降コンスタントに積上げ</w:t>
            </w:r>
          </w:p>
        </w:tc>
      </w:tr>
      <w:tr>
        <w:tc>
          <w:tcPr>
            <w:tcW w:type="dxa" w:w="3135"/>
            <w:shd w:val="clear" w:color="auto" w:fill="DDEBF7"/>
          </w:tcPr>
          <w:p>
            <w:r>
              <w:rPr>
                <w:rFonts w:ascii="Meiryo UI" w:hAnsi="Meiryo UI"/>
                <w:sz w:val="18"/>
              </w:rPr>
              <w:t>のれん償却費</w:t>
            </w:r>
          </w:p>
        </w:tc>
        <w:tc>
          <w:tcPr>
            <w:tcW w:type="dxa" w:w="3135"/>
            <w:shd w:val="clear" w:color="auto" w:fill="DDEBF7"/>
          </w:tcPr>
          <w:p>
            <w:r>
              <w:rPr>
                <w:rFonts w:ascii="Meiryo UI" w:hAnsi="Meiryo UI"/>
                <w:sz w:val="18"/>
              </w:rPr>
              <w:t>約8.8億円/年（25年2月期）</w:t>
            </w:r>
          </w:p>
        </w:tc>
        <w:tc>
          <w:tcPr>
            <w:tcW w:type="dxa" w:w="3135"/>
            <w:shd w:val="clear" w:color="auto" w:fill="DDEBF7"/>
          </w:tcPr>
          <w:p>
            <w:r>
              <w:rPr>
                <w:rFonts w:ascii="Meiryo UI" w:hAnsi="Meiryo UI"/>
                <w:sz w:val="18"/>
              </w:rPr>
              <w:t>M&amp;A積上げに伴い毎期増加</w:t>
            </w:r>
          </w:p>
        </w:tc>
      </w:tr>
      <w:tr>
        <w:tc>
          <w:tcPr>
            <w:tcW w:type="dxa" w:w="3135"/>
          </w:tcPr>
          <w:p>
            <w:r>
              <w:rPr>
                <w:rFonts w:ascii="Meiryo UI" w:hAnsi="Meiryo UI"/>
                <w:sz w:val="18"/>
              </w:rPr>
              <w:t>M&amp;A資金調達</w:t>
            </w:r>
          </w:p>
        </w:tc>
        <w:tc>
          <w:tcPr>
            <w:tcW w:type="dxa" w:w="3135"/>
          </w:tcPr>
          <w:p>
            <w:r>
              <w:rPr>
                <w:rFonts w:ascii="Meiryo UI" w:hAnsi="Meiryo UI"/>
                <w:sz w:val="18"/>
              </w:rPr>
              <w:t>金融機関借入中心</w:t>
            </w:r>
          </w:p>
        </w:tc>
        <w:tc>
          <w:tcPr>
            <w:tcW w:type="dxa" w:w="3135"/>
          </w:tcPr>
          <w:p>
            <w:r>
              <w:rPr>
                <w:rFonts w:ascii="Meiryo UI" w:hAnsi="Meiryo UI"/>
                <w:sz w:val="18"/>
              </w:rPr>
              <w:t>株式発行も一部活用</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約348億円（yfinance: totalDebt）</w:t>
            </w:r>
          </w:p>
        </w:tc>
        <w:tc>
          <w:tcPr>
            <w:tcW w:type="dxa" w:w="3135"/>
            <w:shd w:val="clear" w:color="auto" w:fill="DDEBF7"/>
          </w:tcPr>
          <w:p>
            <w:r>
              <w:rPr>
                <w:rFonts w:ascii="Meiryo UI" w:hAnsi="Meiryo UI"/>
                <w:sz w:val="18"/>
              </w:rPr>
              <w:t>時価総額179億の約1.9倍</w:t>
            </w:r>
          </w:p>
        </w:tc>
      </w:tr>
      <w:tr>
        <w:tc>
          <w:tcPr>
            <w:tcW w:type="dxa" w:w="3135"/>
          </w:tcPr>
          <w:p>
            <w:r>
              <w:rPr>
                <w:rFonts w:ascii="Meiryo UI" w:hAnsi="Meiryo UI"/>
                <w:sz w:val="18"/>
              </w:rPr>
              <w:t>純資産</w:t>
            </w:r>
          </w:p>
        </w:tc>
        <w:tc>
          <w:tcPr>
            <w:tcW w:type="dxa" w:w="3135"/>
          </w:tcPr>
          <w:p>
            <w:r>
              <w:rPr>
                <w:rFonts w:ascii="Meiryo UI" w:hAnsi="Meiryo UI"/>
                <w:sz w:val="18"/>
              </w:rPr>
              <w:t>約165億円（25年2月期末）</w:t>
            </w:r>
          </w:p>
        </w:tc>
        <w:tc>
          <w:tcPr>
            <w:tcW w:type="dxa" w:w="3135"/>
          </w:tcPr>
          <w:p>
            <w:r>
              <w:rPr>
                <w:rFonts w:ascii="Meiryo UI" w:hAnsi="Meiryo UI"/>
                <w:sz w:val="18"/>
              </w:rPr>
              <w:t>自己資本比率低め（推定20%前後）</w:t>
            </w:r>
          </w:p>
        </w:tc>
      </w:tr>
    </w:tbl>
    <w:p/>
    <w:p>
      <w:r>
        <w:rPr>
          <w:rFonts w:ascii="Meiryo UI" w:hAnsi="Meiryo UI"/>
          <w:sz w:val="20"/>
        </w:rPr>
        <w:t>Rationale（財務レバレッジリスク）: 有利子負債348億円 vs 時価総額179億円はNet Debt/EBITDA（EV=493億円、EBITDA=61.6億円）で見ると EBITDA倍率8.0x（yfinance: enterpriseToEbitda）。M&amp;A型モデルとして高め。ホルムズ継続やホタテ需要停滞で利益が低迷すると、銀行交渉余地が縮小するリスクがある。</w:t>
      </w:r>
    </w:p>
    <w:p/>
    <w:p>
      <w:pPr>
        <w:pStyle w:val="Heading3"/>
      </w:pPr>
      <w:r>
        <w:rPr>
          <w:rFonts w:ascii="Meiryo UI" w:hAnsi="Meiryo UI"/>
          <w:color w:val="2E74B5"/>
        </w:rPr>
        <w:t>原材料コスト影響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コスト項目</w:t>
            </w:r>
          </w:p>
        </w:tc>
        <w:tc>
          <w:tcPr>
            <w:tcW w:type="dxa" w:w="3135"/>
            <w:shd w:val="clear" w:color="auto" w:fill="2E74B5"/>
          </w:tcPr>
          <w:p>
            <w:r>
              <w:rPr>
                <w:rFonts w:ascii="Meiryo UI" w:hAnsi="Meiryo UI"/>
                <w:b/>
                <w:color w:val="FFFFFF"/>
                <w:sz w:val="18"/>
              </w:rPr>
              <w:t>影響度</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ホタテ調達コスト</w:t>
            </w:r>
          </w:p>
        </w:tc>
        <w:tc>
          <w:tcPr>
            <w:tcW w:type="dxa" w:w="3135"/>
          </w:tcPr>
          <w:p>
            <w:r>
              <w:rPr>
                <w:rFonts w:ascii="Meiryo UI" w:hAnsi="Meiryo UI"/>
                <w:sz w:val="18"/>
              </w:rPr>
              <w:t>高（最重要）</w:t>
            </w:r>
          </w:p>
        </w:tc>
        <w:tc>
          <w:tcPr>
            <w:tcW w:type="dxa" w:w="3135"/>
          </w:tcPr>
          <w:p>
            <w:r>
              <w:rPr>
                <w:rFonts w:ascii="Meiryo UI" w:hAnsi="Meiryo UI"/>
                <w:sz w:val="18"/>
              </w:rPr>
              <w:t>中国禁輸後の国際価格・為替変動が直撃</w:t>
            </w:r>
          </w:p>
        </w:tc>
      </w:tr>
      <w:tr>
        <w:tc>
          <w:tcPr>
            <w:tcW w:type="dxa" w:w="3135"/>
            <w:shd w:val="clear" w:color="auto" w:fill="DDEBF7"/>
          </w:tcPr>
          <w:p>
            <w:r>
              <w:rPr>
                <w:rFonts w:ascii="Meiryo UI" w:hAnsi="Meiryo UI"/>
                <w:sz w:val="18"/>
              </w:rPr>
              <w:t>食品原材料（包材・油脂）</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ナフサ→PE/PP→食品包材経路。ホルムズ緊張で悪化</w:t>
            </w:r>
          </w:p>
        </w:tc>
      </w:tr>
      <w:tr>
        <w:tc>
          <w:tcPr>
            <w:tcW w:type="dxa" w:w="3135"/>
          </w:tcPr>
          <w:p>
            <w:r>
              <w:rPr>
                <w:rFonts w:ascii="Meiryo UI" w:hAnsi="Meiryo UI"/>
                <w:sz w:val="18"/>
              </w:rPr>
              <w:t>物流・燃料費</w:t>
            </w:r>
          </w:p>
        </w:tc>
        <w:tc>
          <w:tcPr>
            <w:tcW w:type="dxa" w:w="3135"/>
          </w:tcPr>
          <w:p>
            <w:r>
              <w:rPr>
                <w:rFonts w:ascii="Meiryo UI" w:hAnsi="Meiryo UI"/>
                <w:sz w:val="18"/>
              </w:rPr>
              <w:t>中</w:t>
            </w:r>
          </w:p>
        </w:tc>
        <w:tc>
          <w:tcPr>
            <w:tcW w:type="dxa" w:w="3135"/>
          </w:tcPr>
          <w:p>
            <w:r>
              <w:rPr>
                <w:rFonts w:ascii="Meiryo UI" w:hAnsi="Meiryo UI"/>
                <w:sz w:val="18"/>
              </w:rPr>
              <w:t>海上・陸上燃料費の上昇</w:t>
            </w:r>
          </w:p>
        </w:tc>
      </w:tr>
      <w:tr>
        <w:tc>
          <w:tcPr>
            <w:tcW w:type="dxa" w:w="3135"/>
            <w:shd w:val="clear" w:color="auto" w:fill="DDEBF7"/>
          </w:tcPr>
          <w:p>
            <w:r>
              <w:rPr>
                <w:rFonts w:ascii="Meiryo UI" w:hAnsi="Meiryo UI"/>
                <w:sz w:val="18"/>
              </w:rPr>
              <w:t>シンガポール現地コスト</w:t>
            </w:r>
          </w:p>
        </w:tc>
        <w:tc>
          <w:tcPr>
            <w:tcW w:type="dxa" w:w="3135"/>
            <w:shd w:val="clear" w:color="auto" w:fill="DDEBF7"/>
          </w:tcPr>
          <w:p>
            <w:r>
              <w:rPr>
                <w:rFonts w:ascii="Meiryo UI" w:hAnsi="Meiryo UI"/>
                <w:sz w:val="18"/>
              </w:rPr>
              <w:t>低〜中</w:t>
            </w:r>
          </w:p>
        </w:tc>
        <w:tc>
          <w:tcPr>
            <w:tcW w:type="dxa" w:w="3135"/>
            <w:shd w:val="clear" w:color="auto" w:fill="DDEBF7"/>
          </w:tcPr>
          <w:p>
            <w:r>
              <w:rPr>
                <w:rFonts w:ascii="Meiryo UI" w:hAnsi="Meiryo UI"/>
                <w:sz w:val="18"/>
              </w:rPr>
              <w:t>ドル建て仕入・現地人件費の影響</w:t>
            </w:r>
          </w:p>
        </w:tc>
      </w:tr>
    </w:tbl>
    <w:p/>
    <w:p>
      <w:r>
        <w:t>──────────────────────────────────────────────────</w:t>
      </w:r>
    </w:p>
    <w:p/>
    <w:p>
      <w:pPr>
        <w:pStyle w:val="Heading2"/>
      </w:pPr>
      <w:r>
        <w:rPr>
          <w:rFonts w:ascii="Meiryo UI" w:hAnsi="Meiryo UI"/>
          <w:color w:val="2E74B5"/>
        </w:rPr>
        <w:t>バリュエーション</w:t>
      </w:r>
    </w:p>
    <w:p/>
    <w:p>
      <w:pPr>
        <w:pStyle w:val="Heading3"/>
      </w:pPr>
      <w:r>
        <w:rPr>
          <w:rFonts w:ascii="Meiryo UI" w:hAnsi="Meiryo UI"/>
          <w:color w:val="2E74B5"/>
        </w:rPr>
        <w:t>DCF（Rf=2.380%固定）</w:t>
      </w:r>
    </w:p>
    <w:p/>
    <w:p>
      <w:r>
        <w:rPr>
          <w:rFonts w:ascii="Meiryo UI" w:hAnsi="Meiryo UI"/>
          <w:sz w:val="20"/>
        </w:rPr>
        <w:t>前提条件</w:t>
      </w:r>
    </w:p>
    <w:p>
      <w:pPr>
        <w:pStyle w:val="ListBullet"/>
      </w:pPr>
      <w:r>
        <w:rPr>
          <w:rFonts w:ascii="Meiryo UI" w:hAnsi="Meiryo UI"/>
          <w:sz w:val="20"/>
        </w:rPr>
        <w:t>ベース営業利益: 27年2月期ガイダンス（経常17億円≒営業15〜16億円）からスタート</w:t>
      </w:r>
    </w:p>
    <w:p>
      <w:pPr>
        <w:pStyle w:val="ListBullet"/>
      </w:pPr>
      <w:r>
        <w:rPr>
          <w:rFonts w:ascii="Meiryo UI" w:hAnsi="Meiryo UI"/>
          <w:sz w:val="20"/>
        </w:rPr>
        <w:t>正常化シナリオ: 中期計画（30年2月期営業80億円）を50%割引（信頼性低い）→30年2月期に40億円到達を想定</w:t>
      </w:r>
    </w:p>
    <w:p>
      <w:pPr>
        <w:pStyle w:val="ListBullet"/>
      </w:pPr>
      <w:r>
        <w:rPr>
          <w:rFonts w:ascii="Meiryo UI" w:hAnsi="Meiryo UI"/>
          <w:sz w:val="20"/>
        </w:rPr>
        <w:t>4年間CAGR: 約26%（15.68億→40億円）</w:t>
      </w:r>
    </w:p>
    <w:p>
      <w:pPr>
        <w:pStyle w:val="ListBullet"/>
      </w:pPr>
      <w:r>
        <w:rPr>
          <w:rFonts w:ascii="Meiryo UI" w:hAnsi="Meiryo UI"/>
          <w:sz w:val="20"/>
        </w:rPr>
        <w:t>ターミナル成長率: 1.5%（食品製造・日本国内需要の長期縮小考慮）</w:t>
      </w:r>
    </w:p>
    <w:p>
      <w:pPr>
        <w:pStyle w:val="ListBullet"/>
      </w:pPr>
      <w:r>
        <w:rPr>
          <w:rFonts w:ascii="Meiryo UI" w:hAnsi="Meiryo UI"/>
          <w:sz w:val="20"/>
        </w:rPr>
        <w:t>WACC: Rf 2.380% + リスクプレミアム 6.5% × β1.049 = 9.2%</w:t>
      </w:r>
    </w:p>
    <w:p/>
    <w:p>
      <w:r>
        <w:rPr>
          <w:rFonts w:ascii="Meiryo UI" w:hAnsi="Meiryo UI"/>
          <w:sz w:val="20"/>
        </w:rPr>
        <w:t>DCF試算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営業利益（推定）</w:t>
            </w:r>
          </w:p>
        </w:tc>
        <w:tc>
          <w:tcPr>
            <w:tcW w:type="dxa" w:w="2351"/>
            <w:shd w:val="clear" w:color="auto" w:fill="2E74B5"/>
          </w:tcPr>
          <w:p>
            <w:r>
              <w:rPr>
                <w:rFonts w:ascii="Meiryo UI" w:hAnsi="Meiryo UI"/>
                <w:b/>
                <w:color w:val="FFFFFF"/>
                <w:sz w:val="18"/>
              </w:rPr>
              <w:t>NOPAT（税後）</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27年2月期</w:t>
            </w:r>
          </w:p>
        </w:tc>
        <w:tc>
          <w:tcPr>
            <w:tcW w:type="dxa" w:w="2351"/>
          </w:tcPr>
          <w:p>
            <w:r>
              <w:rPr>
                <w:rFonts w:ascii="Meiryo UI" w:hAnsi="Meiryo UI"/>
                <w:sz w:val="18"/>
              </w:rPr>
              <w:t>16億円</w:t>
            </w:r>
          </w:p>
        </w:tc>
        <w:tc>
          <w:tcPr>
            <w:tcW w:type="dxa" w:w="2351"/>
          </w:tcPr>
          <w:p>
            <w:r>
              <w:rPr>
                <w:rFonts w:ascii="Meiryo UI" w:hAnsi="Meiryo UI"/>
                <w:sz w:val="18"/>
              </w:rPr>
              <w:t>10.4億円</w:t>
            </w:r>
          </w:p>
        </w:tc>
        <w:tc>
          <w:tcPr>
            <w:tcW w:type="dxa" w:w="2351"/>
          </w:tcPr>
          <w:p>
            <w:r>
              <w:rPr>
                <w:rFonts w:ascii="Meiryo UI" w:hAnsi="Meiryo UI"/>
                <w:sz w:val="18"/>
              </w:rPr>
              <w:t>9.5億円</w:t>
            </w:r>
          </w:p>
        </w:tc>
      </w:tr>
      <w:tr>
        <w:tc>
          <w:tcPr>
            <w:tcW w:type="dxa" w:w="2351"/>
            <w:shd w:val="clear" w:color="auto" w:fill="DDEBF7"/>
          </w:tcPr>
          <w:p>
            <w:r>
              <w:rPr>
                <w:rFonts w:ascii="Meiryo UI" w:hAnsi="Meiryo UI"/>
                <w:sz w:val="18"/>
              </w:rPr>
              <w:t>28年2月期</w:t>
            </w:r>
          </w:p>
        </w:tc>
        <w:tc>
          <w:tcPr>
            <w:tcW w:type="dxa" w:w="2351"/>
            <w:shd w:val="clear" w:color="auto" w:fill="DDEBF7"/>
          </w:tcPr>
          <w:p>
            <w:r>
              <w:rPr>
                <w:rFonts w:ascii="Meiryo UI" w:hAnsi="Meiryo UI"/>
                <w:sz w:val="18"/>
              </w:rPr>
              <w:t>22億円</w:t>
            </w:r>
          </w:p>
        </w:tc>
        <w:tc>
          <w:tcPr>
            <w:tcW w:type="dxa" w:w="2351"/>
            <w:shd w:val="clear" w:color="auto" w:fill="DDEBF7"/>
          </w:tcPr>
          <w:p>
            <w:r>
              <w:rPr>
                <w:rFonts w:ascii="Meiryo UI" w:hAnsi="Meiryo UI"/>
                <w:sz w:val="18"/>
              </w:rPr>
              <w:t>14.3億円</w:t>
            </w:r>
          </w:p>
        </w:tc>
        <w:tc>
          <w:tcPr>
            <w:tcW w:type="dxa" w:w="2351"/>
            <w:shd w:val="clear" w:color="auto" w:fill="DDEBF7"/>
          </w:tcPr>
          <w:p>
            <w:r>
              <w:rPr>
                <w:rFonts w:ascii="Meiryo UI" w:hAnsi="Meiryo UI"/>
                <w:sz w:val="18"/>
              </w:rPr>
              <w:t>12.0億円</w:t>
            </w:r>
          </w:p>
        </w:tc>
      </w:tr>
      <w:tr>
        <w:tc>
          <w:tcPr>
            <w:tcW w:type="dxa" w:w="2351"/>
          </w:tcPr>
          <w:p>
            <w:r>
              <w:rPr>
                <w:rFonts w:ascii="Meiryo UI" w:hAnsi="Meiryo UI"/>
                <w:sz w:val="18"/>
              </w:rPr>
              <w:t>29年2月期</w:t>
            </w:r>
          </w:p>
        </w:tc>
        <w:tc>
          <w:tcPr>
            <w:tcW w:type="dxa" w:w="2351"/>
          </w:tcPr>
          <w:p>
            <w:r>
              <w:rPr>
                <w:rFonts w:ascii="Meiryo UI" w:hAnsi="Meiryo UI"/>
                <w:sz w:val="18"/>
              </w:rPr>
              <w:t>30億円</w:t>
            </w:r>
          </w:p>
        </w:tc>
        <w:tc>
          <w:tcPr>
            <w:tcW w:type="dxa" w:w="2351"/>
          </w:tcPr>
          <w:p>
            <w:r>
              <w:rPr>
                <w:rFonts w:ascii="Meiryo UI" w:hAnsi="Meiryo UI"/>
                <w:sz w:val="18"/>
              </w:rPr>
              <w:t>19.5億円</w:t>
            </w:r>
          </w:p>
        </w:tc>
        <w:tc>
          <w:tcPr>
            <w:tcW w:type="dxa" w:w="2351"/>
          </w:tcPr>
          <w:p>
            <w:r>
              <w:rPr>
                <w:rFonts w:ascii="Meiryo UI" w:hAnsi="Meiryo UI"/>
                <w:sz w:val="18"/>
              </w:rPr>
              <w:t>14.9億円</w:t>
            </w:r>
          </w:p>
        </w:tc>
      </w:tr>
      <w:tr>
        <w:tc>
          <w:tcPr>
            <w:tcW w:type="dxa" w:w="2351"/>
            <w:shd w:val="clear" w:color="auto" w:fill="DDEBF7"/>
          </w:tcPr>
          <w:p>
            <w:r>
              <w:rPr>
                <w:rFonts w:ascii="Meiryo UI" w:hAnsi="Meiryo UI"/>
                <w:sz w:val="18"/>
              </w:rPr>
              <w:t>30年2月期</w:t>
            </w:r>
          </w:p>
        </w:tc>
        <w:tc>
          <w:tcPr>
            <w:tcW w:type="dxa" w:w="2351"/>
            <w:shd w:val="clear" w:color="auto" w:fill="DDEBF7"/>
          </w:tcPr>
          <w:p>
            <w:r>
              <w:rPr>
                <w:rFonts w:ascii="Meiryo UI" w:hAnsi="Meiryo UI"/>
                <w:sz w:val="18"/>
              </w:rPr>
              <w:t>40億円</w:t>
            </w:r>
          </w:p>
        </w:tc>
        <w:tc>
          <w:tcPr>
            <w:tcW w:type="dxa" w:w="2351"/>
            <w:shd w:val="clear" w:color="auto" w:fill="DDEBF7"/>
          </w:tcPr>
          <w:p>
            <w:r>
              <w:rPr>
                <w:rFonts w:ascii="Meiryo UI" w:hAnsi="Meiryo UI"/>
                <w:sz w:val="18"/>
              </w:rPr>
              <w:t>26億円</w:t>
            </w:r>
          </w:p>
        </w:tc>
        <w:tc>
          <w:tcPr>
            <w:tcW w:type="dxa" w:w="2351"/>
            <w:shd w:val="clear" w:color="auto" w:fill="DDEBF7"/>
          </w:tcPr>
          <w:p>
            <w:r>
              <w:rPr>
                <w:rFonts w:ascii="Meiryo UI" w:hAnsi="Meiryo UI"/>
                <w:sz w:val="18"/>
              </w:rPr>
              <w:t>18.3億円</w:t>
            </w:r>
          </w:p>
        </w:tc>
      </w:tr>
      <w:tr>
        <w:tc>
          <w:tcPr>
            <w:tcW w:type="dxa" w:w="2351"/>
          </w:tcPr>
          <w:p>
            <w:r>
              <w:rPr>
                <w:rFonts w:ascii="Meiryo UI" w:hAnsi="Meiryo UI"/>
                <w:sz w:val="18"/>
              </w:rPr>
              <w:t>ターミナル（TV）</w:t>
            </w:r>
          </w:p>
        </w:tc>
        <w:tc>
          <w:tcPr>
            <w:tcW w:type="dxa" w:w="2351"/>
          </w:tcPr>
          <w:p>
            <w:r>
              <w:rPr>
                <w:rFonts w:ascii="Meiryo UI" w:hAnsi="Meiryo UI"/>
                <w:sz w:val="18"/>
              </w:rPr>
              <w:t>—</w:t>
            </w:r>
          </w:p>
        </w:tc>
        <w:tc>
          <w:tcPr>
            <w:tcW w:type="dxa" w:w="2351"/>
          </w:tcPr>
          <w:p>
            <w:r>
              <w:rPr>
                <w:rFonts w:ascii="Meiryo UI" w:hAnsi="Meiryo UI"/>
                <w:sz w:val="18"/>
              </w:rPr>
              <w:t>27.4億円 ÷(9.2%-1.5%)</w:t>
            </w:r>
          </w:p>
        </w:tc>
        <w:tc>
          <w:tcPr>
            <w:tcW w:type="dxa" w:w="2351"/>
          </w:tcPr>
          <w:p>
            <w:r>
              <w:rPr>
                <w:rFonts w:ascii="Meiryo UI" w:hAnsi="Meiryo UI"/>
                <w:sz w:val="18"/>
              </w:rPr>
              <w:t>272億円 PV→190億円</w:t>
            </w:r>
          </w:p>
        </w:tc>
      </w:tr>
      <w:tr>
        <w:tc>
          <w:tcPr>
            <w:tcW w:type="dxa" w:w="2351"/>
            <w:shd w:val="clear" w:color="auto" w:fill="DDEBF7"/>
          </w:tcPr>
          <w:p>
            <w:r>
              <w:rPr>
                <w:rFonts w:ascii="Meiryo UI" w:hAnsi="Meiryo UI"/>
                <w:sz w:val="18"/>
              </w:rPr>
              <w:t>Enterprise Value</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約244億円</w:t>
            </w:r>
          </w:p>
        </w:tc>
      </w:tr>
      <w:tr>
        <w:tc>
          <w:tcPr>
            <w:tcW w:type="dxa" w:w="2351"/>
          </w:tcPr>
          <w:p>
            <w:r>
              <w:rPr>
                <w:rFonts w:ascii="Meiryo UI" w:hAnsi="Meiryo UI"/>
                <w:sz w:val="18"/>
              </w:rPr>
              <w:t>有利子負債控除</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▲348億円</w:t>
            </w:r>
          </w:p>
        </w:tc>
      </w:tr>
      <w:tr>
        <w:tc>
          <w:tcPr>
            <w:tcW w:type="dxa" w:w="2351"/>
            <w:shd w:val="clear" w:color="auto" w:fill="DDEBF7"/>
          </w:tcPr>
          <w:p>
            <w:r>
              <w:rPr>
                <w:rFonts w:ascii="Meiryo UI" w:hAnsi="Meiryo UI"/>
                <w:sz w:val="18"/>
              </w:rPr>
              <w:t>Equity Value</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▲104億円（注）</w:t>
            </w:r>
          </w:p>
        </w:tc>
      </w:tr>
    </w:tbl>
    <w:p/>
    <w:p>
      <w:r>
        <w:rPr>
          <w:rFonts w:ascii="Meiryo UI" w:hAnsi="Meiryo UI"/>
          <w:sz w:val="20"/>
        </w:rPr>
        <w:t>注意: 標準DCFではEquity Valueがマイナスになる（有利子負債が過大）。これはM&amp;A型の特性で「EV基準」評価が適切。</w:t>
      </w:r>
    </w:p>
    <w:p/>
    <w:p>
      <w:r>
        <w:rPr>
          <w:rFonts w:ascii="Meiryo UI" w:hAnsi="Meiryo UI"/>
          <w:sz w:val="20"/>
        </w:rPr>
        <w:t>EV/EBITDA基準TP</w:t>
      </w:r>
    </w:p>
    <w:p>
      <w:pPr>
        <w:pStyle w:val="ListBullet"/>
      </w:pPr>
      <w:r>
        <w:rPr>
          <w:rFonts w:ascii="Meiryo UI" w:hAnsi="Meiryo UI"/>
          <w:sz w:val="20"/>
        </w:rPr>
        <w:t>現在EV = 493億円（yfinance）</w:t>
      </w:r>
    </w:p>
    <w:p>
      <w:pPr>
        <w:pStyle w:val="ListBullet"/>
      </w:pPr>
      <w:r>
        <w:rPr>
          <w:rFonts w:ascii="Meiryo UI" w:hAnsi="Meiryo UI"/>
          <w:sz w:val="20"/>
        </w:rPr>
        <w:t>現EBITDA = 61.6億円（EV/EBITDA=8.0x）</w:t>
      </w:r>
    </w:p>
    <w:p>
      <w:pPr>
        <w:pStyle w:val="ListBullet"/>
      </w:pPr>
      <w:r>
        <w:rPr>
          <w:rFonts w:ascii="Meiryo UI" w:hAnsi="Meiryo UI"/>
          <w:sz w:val="20"/>
        </w:rPr>
        <w:t>26年2月期EBITDA推定（営業利益15.68億 + のれん償却8.8億 + 減価償却推定10億）= 約34〜35億円</w:t>
      </w:r>
    </w:p>
    <w:p>
      <w:pPr>
        <w:pStyle w:val="ListBullet"/>
      </w:pPr>
      <w:r>
        <w:rPr>
          <w:rFonts w:ascii="Meiryo UI" w:hAnsi="Meiryo UI"/>
          <w:sz w:val="20"/>
        </w:rPr>
        <w:t>現実EBITDA（26年2月期）: 約34億円</w:t>
      </w:r>
    </w:p>
    <w:p>
      <w:pPr>
        <w:pStyle w:val="ListBullet"/>
      </w:pPr>
      <w:r>
        <w:rPr>
          <w:rFonts w:ascii="Meiryo UI" w:hAnsi="Meiryo UI"/>
          <w:sz w:val="20"/>
        </w:rPr>
        <w:t>フード系M&amp;A型企業の妥当EV/EBITDA: 8〜10x</w:t>
      </w:r>
    </w:p>
    <w:p>
      <w:pPr>
        <w:pStyle w:val="ListBullet"/>
      </w:pPr>
      <w:r>
        <w:rPr>
          <w:rFonts w:ascii="Meiryo UI" w:hAnsi="Meiryo UI"/>
          <w:sz w:val="20"/>
        </w:rPr>
        <w:t>27年2月期予想EBITDA（営業16億 + のれん償却9億 + 減価償却10億）= 約35億円</w:t>
      </w:r>
    </w:p>
    <w:p>
      <w:pPr>
        <w:pStyle w:val="ListBullet"/>
      </w:pPr>
      <w:r>
        <w:rPr>
          <w:rFonts w:ascii="Meiryo UI" w:hAnsi="Meiryo UI"/>
          <w:sz w:val="20"/>
        </w:rPr>
        <w:t>妥当EV = 35億 × 9x = 315億円</w:t>
      </w:r>
    </w:p>
    <w:p>
      <w:pPr>
        <w:pStyle w:val="ListBullet"/>
      </w:pPr>
      <w:r>
        <w:rPr>
          <w:rFonts w:ascii="Meiryo UI" w:hAnsi="Meiryo UI"/>
          <w:sz w:val="20"/>
        </w:rPr>
        <w:t>妥当時価総額 = EV315億 − 有利子負債348億 + 現金 ≒ ▲33億〜+30億円（現金保有次第）</w:t>
      </w:r>
    </w:p>
    <w:p/>
    <w:p>
      <w:r>
        <w:rPr>
          <w:rFonts w:ascii="Meiryo UI" w:hAnsi="Meiryo UI"/>
          <w:sz w:val="20"/>
        </w:rPr>
        <w:t>PER基準TP</w:t>
      </w:r>
    </w:p>
    <w:p>
      <w:pPr>
        <w:pStyle w:val="ListBullet"/>
      </w:pPr>
      <w:r>
        <w:rPr>
          <w:rFonts w:ascii="Meiryo UI" w:hAnsi="Meiryo UI"/>
          <w:sz w:val="20"/>
        </w:rPr>
        <w:t>forwardEPS: ¥83.9（yfinance取得、27年2月期ベース）</w:t>
      </w:r>
    </w:p>
    <w:p>
      <w:pPr>
        <w:pStyle w:val="ListBullet"/>
      </w:pPr>
      <w:r>
        <w:rPr>
          <w:rFonts w:ascii="Meiryo UI" w:hAnsi="Meiryo UI"/>
          <w:sz w:val="20"/>
        </w:rPr>
        <w:t>食品M&amp;A型の妥当PER: 10〜15x（高成長前提だった20x超は剥落）</w:t>
      </w:r>
    </w:p>
    <w:p>
      <w:pPr>
        <w:pStyle w:val="ListBullet"/>
      </w:pPr>
      <w:r>
        <w:rPr>
          <w:rFonts w:ascii="Meiryo UI" w:hAnsi="Meiryo UI"/>
          <w:sz w:val="20"/>
        </w:rPr>
        <w:t>TP range: ¥839〜¥1,259</w:t>
      </w:r>
    </w:p>
    <w:p>
      <w:pPr>
        <w:pStyle w:val="ListBullet"/>
      </w:pPr>
      <w:r>
        <w:rPr>
          <w:rFonts w:ascii="Meiryo UI" w:hAnsi="Meiryo UI"/>
          <w:sz w:val="20"/>
        </w:rPr>
        <w:t>中央値PER12.5x → TP ¥1,049</w:t>
      </w:r>
    </w:p>
    <w:p>
      <w:pPr>
        <w:pStyle w:val="ListBullet"/>
      </w:pPr>
      <w:r>
        <w:rPr>
          <w:rFonts w:ascii="Meiryo UI" w:hAnsi="Meiryo UI"/>
          <w:sz w:val="20"/>
        </w:rPr>
        <w:t>ただしガイダンス信頼性低下・借入過大を考慮してディスカウント20%適用 → TP ¥840</w:t>
      </w:r>
    </w:p>
    <w:p/>
    <w:p>
      <w:r>
        <w:rPr>
          <w:rFonts w:ascii="Meiryo UI" w:hAnsi="Meiryo UI"/>
          <w:sz w:val="20"/>
        </w:rPr>
        <w:t>最終TP: ¥840（PER基準10x相当、保守的設定）</w:t>
      </w:r>
    </w:p>
    <w:p/>
    <w:p>
      <w:r>
        <w:rPr>
          <w:rFonts w:ascii="Meiryo UI" w:hAnsi="Meiryo UI"/>
          <w:sz w:val="20"/>
        </w:rPr>
        <w:t>Rationale: EV/EBITDA基準はEquity価値がほぼゼロ〜マイナスになるほど借入依存が高く、PER基準でも信頼性ディスカウントを適用。¥840は現値比+12%の限定的上値。</w:t>
      </w:r>
    </w:p>
    <w:p/>
    <w:p>
      <w:r>
        <w:t>──────────────────────────────────────────────────</w:t>
      </w:r>
    </w:p>
    <w:p/>
    <w:p>
      <w:pPr>
        <w:pStyle w:val="Heading2"/>
      </w:pPr>
      <w:r>
        <w:rPr>
          <w:rFonts w:ascii="Meiryo UI" w:hAnsi="Meiryo UI"/>
          <w:color w:val="2E74B5"/>
        </w:rPr>
        <w:t>反発シナリオ vs 落ちナイフシナリオ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TP / リスク</w:t>
            </w:r>
          </w:p>
        </w:tc>
      </w:tr>
      <w:tr>
        <w:tc>
          <w:tcPr>
            <w:tcW w:type="dxa" w:w="2351"/>
          </w:tcPr>
          <w:p>
            <w:r>
              <w:rPr>
                <w:rFonts w:ascii="Meiryo UI" w:hAnsi="Meiryo UI"/>
                <w:sz w:val="18"/>
              </w:rPr>
              <w:t>反発（Buy機会）</w:t>
            </w:r>
          </w:p>
        </w:tc>
        <w:tc>
          <w:tcPr>
            <w:tcW w:type="dxa" w:w="2351"/>
          </w:tcPr>
          <w:p>
            <w:r>
              <w:rPr>
                <w:rFonts w:ascii="Meiryo UI" w:hAnsi="Meiryo UI"/>
                <w:sz w:val="18"/>
              </w:rPr>
              <w:t>RSI33.4（売られ過ぎ）、MA75(¥891)からの大幅乖離、ヨシムラモデルの持続性、中国向けホタテ輸出認可が来期到来すれば経常40億円以上に急回復、株主優待拡充が個人投資家の下値支え</w:t>
            </w:r>
          </w:p>
        </w:tc>
        <w:tc>
          <w:tcPr>
            <w:tcW w:type="dxa" w:w="2351"/>
          </w:tcPr>
          <w:p>
            <w:r>
              <w:rPr>
                <w:rFonts w:ascii="Meiryo UI" w:hAnsi="Meiryo UI"/>
                <w:sz w:val="18"/>
              </w:rPr>
              <w:t>40%</w:t>
            </w:r>
          </w:p>
        </w:tc>
        <w:tc>
          <w:tcPr>
            <w:tcW w:type="dxa" w:w="2351"/>
          </w:tcPr>
          <w:p>
            <w:r>
              <w:rPr>
                <w:rFonts w:ascii="Meiryo UI" w:hAnsi="Meiryo UI"/>
                <w:sz w:val="18"/>
              </w:rPr>
              <w:t>TP¥1,000〜¥1,200（ホタテ回復シナリオ）</w:t>
            </w:r>
          </w:p>
        </w:tc>
      </w:tr>
      <w:tr>
        <w:tc>
          <w:tcPr>
            <w:tcW w:type="dxa" w:w="2351"/>
            <w:shd w:val="clear" w:color="auto" w:fill="DDEBF7"/>
          </w:tcPr>
          <w:p>
            <w:r>
              <w:rPr>
                <w:rFonts w:ascii="Meiryo UI" w:hAnsi="Meiryo UI"/>
                <w:sz w:val="18"/>
              </w:rPr>
              <w:t>落ちナイフ（回避）</w:t>
            </w:r>
          </w:p>
        </w:tc>
        <w:tc>
          <w:tcPr>
            <w:tcW w:type="dxa" w:w="2351"/>
            <w:shd w:val="clear" w:color="auto" w:fill="DDEBF7"/>
          </w:tcPr>
          <w:p>
            <w:r>
              <w:rPr>
                <w:rFonts w:ascii="Meiryo UI" w:hAnsi="Meiryo UI"/>
                <w:sz w:val="18"/>
              </w:rPr>
              <w:t>来期ガイダンスが横ばい（経常17億円）かつV字回復根拠薄、有利子負債348億円で金利上昇リスク（JGB2.425%水準）、ホルムズ継続で食品コスト悪化継続、ADV152K株で流動性リスク、中小型食品のバリュエーション再評価（適正PER10x水準への修正継続）</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¥600〜¥650（25%追加下落リスク）</w:t>
            </w:r>
          </w:p>
        </w:tc>
      </w:tr>
    </w:tbl>
    <w:p/>
    <w:p>
      <w:r>
        <w:rPr>
          <w:rFonts w:ascii="Meiryo UI" w:hAnsi="Meiryo UI"/>
          <w:sz w:val="20"/>
        </w:rPr>
        <w:t xml:space="preserve">落ちナイフと判断する主因: </w:t>
      </w:r>
    </w:p>
    <w:p>
      <w:pPr>
        <w:pStyle w:val="ListNumber"/>
      </w:pPr>
      <w:r>
        <w:rPr>
          <w:rFonts w:ascii="Meiryo UI" w:hAnsi="Meiryo UI"/>
          <w:sz w:val="20"/>
        </w:rPr>
        <w:t>来期ガイダンスが+0.5%という事実上の「回復放棄」シグナル</w:t>
      </w:r>
    </w:p>
    <w:p>
      <w:pPr>
        <w:pStyle w:val="ListNumber"/>
      </w:pPr>
      <w:r>
        <w:rPr>
          <w:rFonts w:ascii="Meiryo UI" w:hAnsi="Meiryo UI"/>
          <w:sz w:val="20"/>
        </w:rPr>
        <w:t>中国ホタテ認可の時期が不透明（認可待ちのまま）</w:t>
      </w:r>
    </w:p>
    <w:p>
      <w:pPr>
        <w:pStyle w:val="ListNumber"/>
      </w:pPr>
      <w:r>
        <w:rPr>
          <w:rFonts w:ascii="Meiryo UI" w:hAnsi="Meiryo UI"/>
          <w:sz w:val="20"/>
        </w:rPr>
        <w:t>有利子負債/時価総額比率が2x近くに達し、財務的な「余白」が少ない</w:t>
      </w:r>
    </w:p>
    <w:p/>
    <w:p>
      <w:r>
        <w:t>──────────────────────────────────────────────────</w:t>
      </w:r>
    </w:p>
    <w:p/>
    <w:p>
      <w:pPr>
        <w:pStyle w:val="Heading2"/>
      </w:pPr>
      <w:r>
        <w:rPr>
          <w:rFonts w:ascii="Meiryo UI" w:hAnsi="Meiryo UI"/>
          <w:color w:val="2E74B5"/>
        </w:rPr>
        <w:t>不動産含み益考察</w:t>
      </w:r>
    </w:p>
    <w:p/>
    <w:p>
      <w:r>
        <w:rPr>
          <w:rFonts w:ascii="Meiryo UI" w:hAnsi="Meiryo UI"/>
          <w:sz w:val="20"/>
        </w:rPr>
        <w:t>M&amp;A取得資産の含み益（有報ベース推定）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固定資産（食品製造設備・倉庫）</w:t>
            </w:r>
          </w:p>
        </w:tc>
        <w:tc>
          <w:tcPr>
            <w:tcW w:type="dxa" w:w="4703"/>
          </w:tcPr>
          <w:p>
            <w:r>
              <w:rPr>
                <w:rFonts w:ascii="Meiryo UI" w:hAnsi="Meiryo UI"/>
                <w:sz w:val="18"/>
              </w:rPr>
              <w:t>M&amp;A取得価格は通常帳簿価格に近い水準。土地含み益は存在する可能性があるが、中小食品メーカーの工場・倉庫は地方立地が多く含み益は限定的</w:t>
            </w:r>
          </w:p>
        </w:tc>
      </w:tr>
      <w:tr>
        <w:tc>
          <w:tcPr>
            <w:tcW w:type="dxa" w:w="4703"/>
            <w:shd w:val="clear" w:color="auto" w:fill="DDEBF7"/>
          </w:tcPr>
          <w:p>
            <w:r>
              <w:rPr>
                <w:rFonts w:ascii="Meiryo UI" w:hAnsi="Meiryo UI"/>
                <w:sz w:val="18"/>
              </w:rPr>
              <w:t>ホテル関連資産</w:t>
            </w:r>
          </w:p>
        </w:tc>
        <w:tc>
          <w:tcPr>
            <w:tcW w:type="dxa" w:w="4703"/>
            <w:shd w:val="clear" w:color="auto" w:fill="DDEBF7"/>
          </w:tcPr>
          <w:p>
            <w:r>
              <w:rPr>
                <w:rFonts w:ascii="Meiryo UI" w:hAnsi="Meiryo UI"/>
                <w:sz w:val="18"/>
              </w:rPr>
              <w:t>株主優待に「自社運営ホテル宿泊割引券」が含まれることから、一部ホテル事業を展開している可能性あり。帳簿価格と時価の乖離は詳細不明</w:t>
            </w:r>
          </w:p>
        </w:tc>
      </w:tr>
      <w:tr>
        <w:tc>
          <w:tcPr>
            <w:tcW w:type="dxa" w:w="4703"/>
          </w:tcPr>
          <w:p>
            <w:r>
              <w:rPr>
                <w:rFonts w:ascii="Meiryo UI" w:hAnsi="Meiryo UI"/>
                <w:sz w:val="18"/>
              </w:rPr>
              <w:t>のれん（純粋含み損要因）</w:t>
            </w:r>
          </w:p>
        </w:tc>
        <w:tc>
          <w:tcPr>
            <w:tcW w:type="dxa" w:w="4703"/>
          </w:tcPr>
          <w:p>
            <w:r>
              <w:rPr>
                <w:rFonts w:ascii="Meiryo UI" w:hAnsi="Meiryo UI"/>
                <w:sz w:val="18"/>
              </w:rPr>
              <w:t>約8.8億円/年の償却負担。M&amp;A取得プレミアムの積上げであり、将来収益が下振れると減損リスクが発生する</w:t>
            </w:r>
          </w:p>
        </w:tc>
      </w:tr>
      <w:tr>
        <w:tc>
          <w:tcPr>
            <w:tcW w:type="dxa" w:w="4703"/>
            <w:shd w:val="clear" w:color="auto" w:fill="DDEBF7"/>
          </w:tcPr>
          <w:p>
            <w:r>
              <w:rPr>
                <w:rFonts w:ascii="Meiryo UI" w:hAnsi="Meiryo UI"/>
                <w:sz w:val="18"/>
              </w:rPr>
              <w:t>総合評価</w:t>
            </w:r>
          </w:p>
        </w:tc>
        <w:tc>
          <w:tcPr>
            <w:tcW w:type="dxa" w:w="4703"/>
            <w:shd w:val="clear" w:color="auto" w:fill="DDEBF7"/>
          </w:tcPr>
          <w:p>
            <w:r>
              <w:rPr>
                <w:rFonts w:ascii="Meiryo UI" w:hAnsi="Meiryo UI"/>
                <w:sz w:val="18"/>
              </w:rPr>
              <w:t>不動産含み益は軽微または調査要。含み益よりものれん減損リスクの方が大きい可能性が高い</w:t>
            </w:r>
          </w:p>
        </w:tc>
      </w:tr>
    </w:tbl>
    <w:p/>
    <w:p>
      <w:r>
        <w:rPr>
          <w:rFonts w:ascii="Meiryo UI" w:hAnsi="Meiryo UI"/>
          <w:sz w:val="20"/>
        </w:rPr>
        <w:t>Rationale: ヨシムラモデルは中小食品メーカー（工場・設備中心）のM&amp;Aであり、不動産デベロッパーや卸業と異なり潜在含み益の規模は小さいと推定。のれん残高の総額（有報未取得のため推定）は累計M&amp;A件数から見て100〜150億円規模の可能性があり、ホタテ事業の構造悪化が長期化すればのれん減損リスクの方が投資家にとって重要なリスク要因となる。</w:t>
      </w:r>
    </w:p>
    <w:p/>
    <w:p>
      <w:r>
        <w:t>──────────────────────────────────────────────────</w:t>
      </w:r>
    </w:p>
    <w:p/>
    <w:p>
      <w:pPr>
        <w:pStyle w:val="Heading2"/>
      </w:pPr>
      <w:r>
        <w:rPr>
          <w:rFonts w:ascii="Meiryo UI" w:hAnsi="Meiryo UI"/>
          <w:color w:val="2E74B5"/>
        </w:rPr>
        <w:t>投資判断まとめ</w:t>
      </w:r>
    </w:p>
    <w:p/>
    <w:p>
      <w:pPr>
        <w:pStyle w:val="Heading3"/>
      </w:pPr>
      <w:r>
        <w:rPr>
          <w:rFonts w:ascii="Meiryo UI" w:hAnsi="Meiryo UI"/>
          <w:color w:val="2E74B5"/>
        </w:rPr>
        <w:t>推奨アクション: HOLD / 打診買いは¥700以下限定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HOLD（既存ポジションは維持。新規は¥700以下の打診のみ）</w:t>
            </w:r>
          </w:p>
        </w:tc>
      </w:tr>
      <w:tr>
        <w:tc>
          <w:tcPr>
            <w:tcW w:type="dxa" w:w="4703"/>
            <w:shd w:val="clear" w:color="auto" w:fill="DDEBF7"/>
          </w:tcPr>
          <w:p>
            <w:r>
              <w:rPr>
                <w:rFonts w:ascii="Meiryo UI" w:hAnsi="Meiryo UI"/>
                <w:sz w:val="18"/>
              </w:rPr>
              <w:t>TP（目標株価）</w:t>
            </w:r>
          </w:p>
        </w:tc>
        <w:tc>
          <w:tcPr>
            <w:tcW w:type="dxa" w:w="4703"/>
            <w:shd w:val="clear" w:color="auto" w:fill="DDEBF7"/>
          </w:tcPr>
          <w:p>
            <w:r>
              <w:rPr>
                <w:rFonts w:ascii="Meiryo UI" w:hAnsi="Meiryo UI"/>
                <w:sz w:val="18"/>
              </w:rPr>
              <w:t>¥840（PER10x × forwardEPS¥83.9にディスカウント適用）</w:t>
            </w:r>
          </w:p>
        </w:tc>
      </w:tr>
      <w:tr>
        <w:tc>
          <w:tcPr>
            <w:tcW w:type="dxa" w:w="4703"/>
          </w:tcPr>
          <w:p>
            <w:r>
              <w:rPr>
                <w:rFonts w:ascii="Meiryo UI" w:hAnsi="Meiryo UI"/>
                <w:sz w:val="18"/>
              </w:rPr>
              <w:t>ストップライン</w:t>
            </w:r>
          </w:p>
        </w:tc>
        <w:tc>
          <w:tcPr>
            <w:tcW w:type="dxa" w:w="4703"/>
          </w:tcPr>
          <w:p>
            <w:r>
              <w:rPr>
                <w:rFonts w:ascii="Meiryo UI" w:hAnsi="Meiryo UI"/>
                <w:sz w:val="18"/>
              </w:rPr>
              <w:t>¥650（現値から▲13.3%。25日線の遥か下、のれん減損シグナル出たら即撤退）</w:t>
            </w:r>
          </w:p>
        </w:tc>
      </w:tr>
      <w:tr>
        <w:tc>
          <w:tcPr>
            <w:tcW w:type="dxa" w:w="4703"/>
            <w:shd w:val="clear" w:color="auto" w:fill="DDEBF7"/>
          </w:tcPr>
          <w:p>
            <w:r>
              <w:rPr>
                <w:rFonts w:ascii="Meiryo UI" w:hAnsi="Meiryo UI"/>
                <w:sz w:val="18"/>
              </w:rPr>
              <w:t>ポジションサイズ</w:t>
            </w:r>
          </w:p>
        </w:tc>
        <w:tc>
          <w:tcPr>
            <w:tcW w:type="dxa" w:w="4703"/>
            <w:shd w:val="clear" w:color="auto" w:fill="DDEBF7"/>
          </w:tcPr>
          <w:p>
            <w:r>
              <w:rPr>
                <w:rFonts w:ascii="Meiryo UI" w:hAnsi="Meiryo UI"/>
                <w:sz w:val="18"/>
              </w:rPr>
              <w:t>通常の30〜40%以下（決算ショック直後・流動性リスク・落ちナイフ60%を考慮）</w:t>
            </w:r>
          </w:p>
        </w:tc>
      </w:tr>
      <w:tr>
        <w:tc>
          <w:tcPr>
            <w:tcW w:type="dxa" w:w="4703"/>
          </w:tcPr>
          <w:p>
            <w:r>
              <w:rPr>
                <w:rFonts w:ascii="Meiryo UI" w:hAnsi="Meiryo UI"/>
                <w:sz w:val="18"/>
              </w:rPr>
              <w:t>最大注目シナリオ</w:t>
            </w:r>
          </w:p>
        </w:tc>
        <w:tc>
          <w:tcPr>
            <w:tcW w:type="dxa" w:w="4703"/>
          </w:tcPr>
          <w:p>
            <w:r>
              <w:rPr>
                <w:rFonts w:ascii="Meiryo UI" w:hAnsi="Meiryo UI"/>
                <w:sz w:val="18"/>
              </w:rPr>
              <w:t>中国ホタテ輸出工場認可取得（時期未定）→ 経常利益が25年2月期水準（42.5億円）に近づけばTP¥1,200以上</w:t>
            </w:r>
          </w:p>
        </w:tc>
      </w:tr>
    </w:tbl>
    <w:p/>
    <w:p>
      <w:pPr>
        <w:pStyle w:val="Heading3"/>
      </w:pPr>
      <w:r>
        <w:rPr>
          <w:rFonts w:ascii="Meiryo UI" w:hAnsi="Meiryo UI"/>
          <w:color w:val="2E74B5"/>
        </w:rPr>
        <w:t>3大リスク</w:t>
      </w:r>
    </w:p>
    <w:p/>
    <w:p>
      <w:pPr>
        <w:pStyle w:val="ListNumber"/>
      </w:pPr>
      <w:r>
        <w:rPr>
          <w:rFonts w:ascii="Meiryo UI" w:hAnsi="Meiryo UI"/>
          <w:sz w:val="20"/>
        </w:rPr>
        <w:t>ホタテ需要回復の遅延: 中国認可が27年2月期中に取れなければ、2期連続の低水準利益が確定。</w:t>
      </w:r>
    </w:p>
    <w:p>
      <w:pPr>
        <w:pStyle w:val="ListNumber"/>
      </w:pPr>
      <w:r>
        <w:rPr>
          <w:rFonts w:ascii="Meiryo UI" w:hAnsi="Meiryo UI"/>
          <w:sz w:val="20"/>
        </w:rPr>
        <w:t>のれん減損: 38社の子会社のうち、ホタテ関連会社の収益が本格回復しなければ減損トリガーに抵触する可能性。</w:t>
      </w:r>
    </w:p>
    <w:p>
      <w:pPr>
        <w:pStyle w:val="ListNumber"/>
      </w:pPr>
      <w:r>
        <w:rPr>
          <w:rFonts w:ascii="Meiryo UI" w:hAnsi="Meiryo UI"/>
          <w:sz w:val="20"/>
        </w:rPr>
        <w:t>金利上昇: 有利子負債348億円に対し、JGB金利上昇（現在2.425%）は借入コスト増加→利益圧迫を直撃。</w:t>
      </w:r>
    </w:p>
    <w:p/>
    <w:p>
      <w:pPr>
        <w:pStyle w:val="Heading3"/>
      </w:pPr>
      <w:r>
        <w:rPr>
          <w:rFonts w:ascii="Meiryo UI" w:hAnsi="Meiryo UI"/>
          <w:color w:val="2E74B5"/>
        </w:rPr>
        <w:t>1大カタリスト</w:t>
      </w:r>
    </w:p>
    <w:p/>
    <w:p>
      <w:pPr>
        <w:pStyle w:val="ListBullet"/>
      </w:pPr>
      <w:r>
        <w:rPr>
          <w:rFonts w:ascii="Meiryo UI" w:hAnsi="Meiryo UI"/>
          <w:sz w:val="20"/>
        </w:rPr>
        <w:t>中国向けホタテ輸出認可取得: これが実現すれば収益が一気に前期（42.5億円）水準に戻り、現値¥750比100%超の上昇余地が生まれる。具体的な認可時期は不明（要IRへの直接照会推奨）。</w:t>
      </w:r>
    </w:p>
    <w:p/>
    <w:p>
      <w:r>
        <w:t>──────────────────────────────────────────────────</w:t>
      </w:r>
    </w:p>
    <w:p/>
    <w:p>
      <w:pPr>
        <w:pStyle w:val="Heading2"/>
      </w:pPr>
      <w:r>
        <w:rPr>
          <w:rFonts w:ascii="Meiryo UI" w:hAnsi="Meiryo UI"/>
          <w:color w:val="2E74B5"/>
        </w:rPr>
        <w:t>付録: 主要財務指標一覧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出典・Rationale</w:t>
            </w:r>
          </w:p>
        </w:tc>
      </w:tr>
      <w:tr>
        <w:tc>
          <w:tcPr>
            <w:tcW w:type="dxa" w:w="3135"/>
          </w:tcPr>
          <w:p>
            <w:r>
              <w:rPr>
                <w:rFonts w:ascii="Meiryo UI" w:hAnsi="Meiryo UI"/>
                <w:sz w:val="18"/>
              </w:rPr>
              <w:t>現在値</w:t>
            </w:r>
          </w:p>
        </w:tc>
        <w:tc>
          <w:tcPr>
            <w:tcW w:type="dxa" w:w="3135"/>
          </w:tcPr>
          <w:p>
            <w:r>
              <w:rPr>
                <w:rFonts w:ascii="Meiryo UI" w:hAnsi="Meiryo UI"/>
                <w:sz w:val="18"/>
              </w:rPr>
              <w:t>¥750</w:t>
            </w:r>
          </w:p>
        </w:tc>
        <w:tc>
          <w:tcPr>
            <w:tcW w:type="dxa" w:w="3135"/>
          </w:tcPr>
          <w:p>
            <w:r>
              <w:rPr>
                <w:rFonts w:ascii="Meiryo UI" w:hAnsi="Meiryo UI"/>
                <w:sz w:val="18"/>
              </w:rPr>
              <w:t>2026/4/16 yfinance取得</w:t>
            </w:r>
          </w:p>
        </w:tc>
      </w:tr>
      <w:tr>
        <w:tc>
          <w:tcPr>
            <w:tcW w:type="dxa" w:w="3135"/>
            <w:shd w:val="clear" w:color="auto" w:fill="DDEBF7"/>
          </w:tcPr>
          <w:p>
            <w:r>
              <w:rPr>
                <w:rFonts w:ascii="Meiryo UI" w:hAnsi="Meiryo UI"/>
                <w:sz w:val="18"/>
              </w:rPr>
              <w:t>前日終値</w:t>
            </w:r>
          </w:p>
        </w:tc>
        <w:tc>
          <w:tcPr>
            <w:tcW w:type="dxa" w:w="3135"/>
            <w:shd w:val="clear" w:color="auto" w:fill="DDEBF7"/>
          </w:tcPr>
          <w:p>
            <w:r>
              <w:rPr>
                <w:rFonts w:ascii="Meiryo UI" w:hAnsi="Meiryo UI"/>
                <w:sz w:val="18"/>
              </w:rPr>
              <w:t>¥900</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本日騰落率</w:t>
            </w:r>
          </w:p>
        </w:tc>
        <w:tc>
          <w:tcPr>
            <w:tcW w:type="dxa" w:w="3135"/>
          </w:tcPr>
          <w:p>
            <w:r>
              <w:rPr>
                <w:rFonts w:ascii="Meiryo UI" w:hAnsi="Meiryo UI"/>
                <w:sz w:val="18"/>
              </w:rPr>
              <w:t>▲16.67%</w:t>
            </w:r>
          </w:p>
        </w:tc>
        <w:tc>
          <w:tcPr>
            <w:tcW w:type="dxa" w:w="3135"/>
          </w:tcPr>
          <w:p>
            <w:r>
              <w:rPr>
                <w:rFonts w:ascii="Meiryo UI" w:hAnsi="Meiryo UI"/>
                <w:sz w:val="18"/>
              </w:rPr>
              <w:t>（750-900）/900</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¥179億円</w:t>
            </w:r>
          </w:p>
        </w:tc>
        <w:tc>
          <w:tcPr>
            <w:tcW w:type="dxa" w:w="3135"/>
            <w:shd w:val="clear" w:color="auto" w:fill="DDEBF7"/>
          </w:tcPr>
          <w:p>
            <w:r>
              <w:rPr>
                <w:rFonts w:ascii="Meiryo UI" w:hAnsi="Meiryo UI"/>
                <w:sz w:val="18"/>
              </w:rPr>
              <w:t>yfinance</w:t>
            </w:r>
          </w:p>
        </w:tc>
      </w:tr>
      <w:tr>
        <w:tc>
          <w:tcPr>
            <w:tcW w:type="dxa" w:w="3135"/>
          </w:tcPr>
          <w:p>
            <w:r>
              <w:rPr>
                <w:rFonts w:ascii="Meiryo UI" w:hAnsi="Meiryo UI"/>
                <w:sz w:val="18"/>
              </w:rPr>
              <w:t>PER（trailing）</w:t>
            </w:r>
          </w:p>
        </w:tc>
        <w:tc>
          <w:tcPr>
            <w:tcW w:type="dxa" w:w="3135"/>
          </w:tcPr>
          <w:p>
            <w:r>
              <w:rPr>
                <w:rFonts w:ascii="Meiryo UI" w:hAnsi="Meiryo UI"/>
                <w:sz w:val="18"/>
              </w:rPr>
              <w:t>19.5x</w:t>
            </w:r>
          </w:p>
        </w:tc>
        <w:tc>
          <w:tcPr>
            <w:tcW w:type="dxa" w:w="3135"/>
          </w:tcPr>
          <w:p>
            <w:r>
              <w:rPr>
                <w:rFonts w:ascii="Meiryo UI" w:hAnsi="Meiryo UI"/>
                <w:sz w:val="18"/>
              </w:rPr>
              <w:t>yfinance（trailingEPS¥38.52基準）</w:t>
            </w:r>
          </w:p>
        </w:tc>
      </w:tr>
      <w:tr>
        <w:tc>
          <w:tcPr>
            <w:tcW w:type="dxa" w:w="3135"/>
            <w:shd w:val="clear" w:color="auto" w:fill="DDEBF7"/>
          </w:tcPr>
          <w:p>
            <w:r>
              <w:rPr>
                <w:rFonts w:ascii="Meiryo UI" w:hAnsi="Meiryo UI"/>
                <w:sz w:val="18"/>
              </w:rPr>
              <w:t>PER（forward）</w:t>
            </w:r>
          </w:p>
        </w:tc>
        <w:tc>
          <w:tcPr>
            <w:tcW w:type="dxa" w:w="3135"/>
            <w:shd w:val="clear" w:color="auto" w:fill="DDEBF7"/>
          </w:tcPr>
          <w:p>
            <w:r>
              <w:rPr>
                <w:rFonts w:ascii="Meiryo UI" w:hAnsi="Meiryo UI"/>
                <w:sz w:val="18"/>
              </w:rPr>
              <w:t>8.9x</w:t>
            </w:r>
          </w:p>
        </w:tc>
        <w:tc>
          <w:tcPr>
            <w:tcW w:type="dxa" w:w="3135"/>
            <w:shd w:val="clear" w:color="auto" w:fill="DDEBF7"/>
          </w:tcPr>
          <w:p>
            <w:r>
              <w:rPr>
                <w:rFonts w:ascii="Meiryo UI" w:hAnsi="Meiryo UI"/>
                <w:sz w:val="18"/>
              </w:rPr>
              <w:t>forwardEPS¥83.9÷現値¥750（割安に見えるが信頼性要確認）</w:t>
            </w:r>
          </w:p>
        </w:tc>
      </w:tr>
      <w:tr>
        <w:tc>
          <w:tcPr>
            <w:tcW w:type="dxa" w:w="3135"/>
          </w:tcPr>
          <w:p>
            <w:r>
              <w:rPr>
                <w:rFonts w:ascii="Meiryo UI" w:hAnsi="Meiryo UI"/>
                <w:sz w:val="18"/>
              </w:rPr>
              <w:t>PBR</w:t>
            </w:r>
          </w:p>
        </w:tc>
        <w:tc>
          <w:tcPr>
            <w:tcW w:type="dxa" w:w="3135"/>
          </w:tcPr>
          <w:p>
            <w:r>
              <w:rPr>
                <w:rFonts w:ascii="Meiryo UI" w:hAnsi="Meiryo UI"/>
                <w:sz w:val="18"/>
              </w:rPr>
              <w:t>1.47x</w:t>
            </w:r>
          </w:p>
        </w:tc>
        <w:tc>
          <w:tcPr>
            <w:tcW w:type="dxa" w:w="3135"/>
          </w:tcPr>
          <w:p>
            <w:r>
              <w:rPr>
                <w:rFonts w:ascii="Meiryo UI" w:hAnsi="Meiryo UI"/>
                <w:sz w:val="18"/>
              </w:rPr>
              <w:t>yfinance（BPS¥509.07）</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8.0x</w:t>
            </w:r>
          </w:p>
        </w:tc>
        <w:tc>
          <w:tcPr>
            <w:tcW w:type="dxa" w:w="3135"/>
            <w:shd w:val="clear" w:color="auto" w:fill="DDEBF7"/>
          </w:tcPr>
          <w:p>
            <w:r>
              <w:rPr>
                <w:rFonts w:ascii="Meiryo UI" w:hAnsi="Meiryo UI"/>
                <w:sz w:val="18"/>
              </w:rPr>
              <w:t>yfinance（493億÷61.6億）</w:t>
            </w:r>
          </w:p>
        </w:tc>
      </w:tr>
      <w:tr>
        <w:tc>
          <w:tcPr>
            <w:tcW w:type="dxa" w:w="3135"/>
          </w:tcPr>
          <w:p>
            <w:r>
              <w:rPr>
                <w:rFonts w:ascii="Meiryo UI" w:hAnsi="Meiryo UI"/>
                <w:sz w:val="18"/>
              </w:rPr>
              <w:t>有利子負債</w:t>
            </w:r>
          </w:p>
        </w:tc>
        <w:tc>
          <w:tcPr>
            <w:tcW w:type="dxa" w:w="3135"/>
          </w:tcPr>
          <w:p>
            <w:r>
              <w:rPr>
                <w:rFonts w:ascii="Meiryo UI" w:hAnsi="Meiryo UI"/>
                <w:sz w:val="18"/>
              </w:rPr>
              <w:t>348億円</w:t>
            </w:r>
          </w:p>
        </w:tc>
        <w:tc>
          <w:tcPr>
            <w:tcW w:type="dxa" w:w="3135"/>
          </w:tcPr>
          <w:p>
            <w:r>
              <w:rPr>
                <w:rFonts w:ascii="Meiryo UI" w:hAnsi="Meiryo UI"/>
                <w:sz w:val="18"/>
              </w:rPr>
              <w:t>yfinance totalDebt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14.0%</w:t>
            </w:r>
          </w:p>
        </w:tc>
        <w:tc>
          <w:tcPr>
            <w:tcW w:type="dxa" w:w="3135"/>
            <w:shd w:val="clear" w:color="auto" w:fill="DDEBF7"/>
          </w:tcPr>
          <w:p>
            <w:r>
              <w:rPr>
                <w:rFonts w:ascii="Meiryo UI" w:hAnsi="Meiryo UI"/>
                <w:sz w:val="18"/>
              </w:rPr>
              <w:t>yfinance（25年2月期ベース、26年2月期は大幅低下見込）</w:t>
            </w:r>
          </w:p>
        </w:tc>
      </w:tr>
      <w:tr>
        <w:tc>
          <w:tcPr>
            <w:tcW w:type="dxa" w:w="3135"/>
          </w:tcPr>
          <w:p>
            <w:r>
              <w:rPr>
                <w:rFonts w:ascii="Meiryo UI" w:hAnsi="Meiryo UI"/>
                <w:sz w:val="18"/>
              </w:rPr>
              <w:t>ROA</w:t>
            </w:r>
          </w:p>
        </w:tc>
        <w:tc>
          <w:tcPr>
            <w:tcW w:type="dxa" w:w="3135"/>
          </w:tcPr>
          <w:p>
            <w:r>
              <w:rPr>
                <w:rFonts w:ascii="Meiryo UI" w:hAnsi="Meiryo UI"/>
                <w:sz w:val="18"/>
              </w:rPr>
              <w:t>3.2%</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売上高OPM</w:t>
            </w:r>
          </w:p>
        </w:tc>
        <w:tc>
          <w:tcPr>
            <w:tcW w:type="dxa" w:w="3135"/>
            <w:shd w:val="clear" w:color="auto" w:fill="DDEBF7"/>
          </w:tcPr>
          <w:p>
            <w:r>
              <w:rPr>
                <w:rFonts w:ascii="Meiryo UI" w:hAnsi="Meiryo UI"/>
                <w:sz w:val="18"/>
              </w:rPr>
              <w:t>2.7%（26年2月期）</w:t>
            </w:r>
          </w:p>
        </w:tc>
        <w:tc>
          <w:tcPr>
            <w:tcW w:type="dxa" w:w="3135"/>
            <w:shd w:val="clear" w:color="auto" w:fill="DDEBF7"/>
          </w:tcPr>
          <w:p>
            <w:r>
              <w:rPr>
                <w:rFonts w:ascii="Meiryo UI" w:hAnsi="Meiryo UI"/>
                <w:sz w:val="18"/>
              </w:rPr>
              <w:t>実績値（通常期は6〜7%）</w:t>
            </w:r>
          </w:p>
        </w:tc>
      </w:tr>
      <w:tr>
        <w:tc>
          <w:tcPr>
            <w:tcW w:type="dxa" w:w="3135"/>
          </w:tcPr>
          <w:p>
            <w:r>
              <w:rPr>
                <w:rFonts w:ascii="Meiryo UI" w:hAnsi="Meiryo UI"/>
                <w:sz w:val="18"/>
              </w:rPr>
              <w:t>Beta</w:t>
            </w:r>
          </w:p>
        </w:tc>
        <w:tc>
          <w:tcPr>
            <w:tcW w:type="dxa" w:w="3135"/>
          </w:tcPr>
          <w:p>
            <w:r>
              <w:rPr>
                <w:rFonts w:ascii="Meiryo UI" w:hAnsi="Meiryo UI"/>
                <w:sz w:val="18"/>
              </w:rPr>
              <w:t>1.049</w:t>
            </w:r>
          </w:p>
        </w:tc>
        <w:tc>
          <w:tcPr>
            <w:tcW w:type="dxa" w:w="3135"/>
          </w:tcPr>
          <w:p>
            <w:r>
              <w:rPr>
                <w:rFonts w:ascii="Meiryo UI" w:hAnsi="Meiryo UI"/>
                <w:sz w:val="18"/>
              </w:rPr>
              <w:t>yfinance</w:t>
            </w:r>
          </w:p>
        </w:tc>
      </w:tr>
      <w:tr>
        <w:tc>
          <w:tcPr>
            <w:tcW w:type="dxa" w:w="3135"/>
            <w:shd w:val="clear" w:color="auto" w:fill="DDEBF7"/>
          </w:tcPr>
          <w:p>
            <w:r>
              <w:rPr>
                <w:rFonts w:ascii="Meiryo UI" w:hAnsi="Meiryo UI"/>
                <w:sz w:val="18"/>
              </w:rPr>
              <w:t>MA25</w:t>
            </w:r>
          </w:p>
        </w:tc>
        <w:tc>
          <w:tcPr>
            <w:tcW w:type="dxa" w:w="3135"/>
            <w:shd w:val="clear" w:color="auto" w:fill="DDEBF7"/>
          </w:tcPr>
          <w:p>
            <w:r>
              <w:rPr>
                <w:rFonts w:ascii="Meiryo UI" w:hAnsi="Meiryo UI"/>
                <w:sz w:val="18"/>
              </w:rPr>
              <w:t>¥913</w:t>
            </w:r>
          </w:p>
        </w:tc>
        <w:tc>
          <w:tcPr>
            <w:tcW w:type="dxa" w:w="3135"/>
            <w:shd w:val="clear" w:color="auto" w:fill="DDEBF7"/>
          </w:tcPr>
          <w:p>
            <w:r>
              <w:rPr>
                <w:rFonts w:ascii="Meiryo UI" w:hAnsi="Meiryo UI"/>
                <w:sz w:val="18"/>
              </w:rPr>
              <w:t>所与</w:t>
            </w:r>
          </w:p>
        </w:tc>
      </w:tr>
      <w:tr>
        <w:tc>
          <w:tcPr>
            <w:tcW w:type="dxa" w:w="3135"/>
          </w:tcPr>
          <w:p>
            <w:r>
              <w:rPr>
                <w:rFonts w:ascii="Meiryo UI" w:hAnsi="Meiryo UI"/>
                <w:sz w:val="18"/>
              </w:rPr>
              <w:t>MA75</w:t>
            </w:r>
          </w:p>
        </w:tc>
        <w:tc>
          <w:tcPr>
            <w:tcW w:type="dxa" w:w="3135"/>
          </w:tcPr>
          <w:p>
            <w:r>
              <w:rPr>
                <w:rFonts w:ascii="Meiryo UI" w:hAnsi="Meiryo UI"/>
                <w:sz w:val="18"/>
              </w:rPr>
              <w:t>¥891</w:t>
            </w:r>
          </w:p>
        </w:tc>
        <w:tc>
          <w:tcPr>
            <w:tcW w:type="dxa" w:w="3135"/>
          </w:tcPr>
          <w:p>
            <w:r>
              <w:rPr>
                <w:rFonts w:ascii="Meiryo UI" w:hAnsi="Meiryo UI"/>
                <w:sz w:val="18"/>
              </w:rPr>
              <w:t>所与</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33.4</w:t>
            </w:r>
          </w:p>
        </w:tc>
        <w:tc>
          <w:tcPr>
            <w:tcW w:type="dxa" w:w="3135"/>
            <w:shd w:val="clear" w:color="auto" w:fill="DDEBF7"/>
          </w:tcPr>
          <w:p>
            <w:r>
              <w:rPr>
                <w:rFonts w:ascii="Meiryo UI" w:hAnsi="Meiryo UI"/>
                <w:sz w:val="18"/>
              </w:rPr>
              <w:t>所与（売られ過ぎ水準30に接近）</w:t>
            </w:r>
          </w:p>
        </w:tc>
      </w:tr>
      <w:tr>
        <w:tc>
          <w:tcPr>
            <w:tcW w:type="dxa" w:w="3135"/>
          </w:tcPr>
          <w:p>
            <w:r>
              <w:rPr>
                <w:rFonts w:ascii="Meiryo UI" w:hAnsi="Meiryo UI"/>
                <w:sz w:val="18"/>
              </w:rPr>
              <w:t>ADV</w:t>
            </w:r>
          </w:p>
        </w:tc>
        <w:tc>
          <w:tcPr>
            <w:tcW w:type="dxa" w:w="3135"/>
          </w:tcPr>
          <w:p>
            <w:r>
              <w:rPr>
                <w:rFonts w:ascii="Meiryo UI" w:hAnsi="Meiryo UI"/>
                <w:sz w:val="18"/>
              </w:rPr>
              <w:t>152,440株/日</w:t>
            </w:r>
          </w:p>
        </w:tc>
        <w:tc>
          <w:tcPr>
            <w:tcW w:type="dxa" w:w="3135"/>
          </w:tcPr>
          <w:p>
            <w:r>
              <w:rPr>
                <w:rFonts w:ascii="Meiryo UI" w:hAnsi="Meiryo UI"/>
                <w:sz w:val="18"/>
              </w:rPr>
              <w:t>所与</w:t>
            </w:r>
          </w:p>
        </w:tc>
      </w:tr>
    </w:tbl>
    <w:p/>
    <w:p>
      <w:r>
        <w:t>──────────────────────────────────────────────────</w:t>
      </w:r>
    </w:p>
    <w:p/>
    <w:p>
      <w:r>
        <w:rPr>
          <w:rFonts w:ascii="Meiryo UI" w:hAnsi="Meiryo UI"/>
          <w:sz w:val="20"/>
        </w:rPr>
        <w:t>本レポートは竹村トレードカンパニー・深井による内部調査レポートです。投資最終判断は各自の責任において行ってください。</w:t>
      </w:r>
    </w:p>
    <w:p>
      <w:r>
        <w:rPr>
          <w:rFonts w:ascii="Meiryo UI" w:hAnsi="Meiryo UI"/>
          <w:sz w:val="20"/>
        </w:rPr>
        <w:t>主要データソース: yfinance（2884.T）、フィスコ決算速報、株探ニュース、日経会社情報DIGITAL適時開示、ブリッジサロンIRレポート、M&amp;Aオンライン、東洋経済オンライン</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