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[3222] ユナイテッド・スーパーマーケット</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[3222] ユナイテッド・スーパーマーケット</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 DeepResearch レポート</w:t>
      </w:r>
    </w:p>
    <w:p/>
    <w:p>
      <w:r>
        <w:rPr>
          <w:rFonts w:ascii="Meiryo UI" w:hAnsi="Meiryo UI"/>
          <w:sz w:val="20"/>
        </w:rPr>
        <w:t>アナリスト: 深井（財務諸表分析・DCFバリュエーション担当）</w:t>
      </w:r>
    </w:p>
    <w:p>
      <w:r>
        <w:rPr>
          <w:rFonts w:ascii="Meiryo UI" w:hAnsi="Meiryo UI"/>
          <w:sz w:val="20"/>
        </w:rPr>
        <w:t>作成日: 2026-04-07 | 分析対象: ユナイテッド・スーパーマーケットHD（3222.T）</w:t>
      </w:r>
    </w:p>
    <w:p>
      <w:r>
        <w:rPr>
          <w:rFonts w:ascii="Meiryo UI" w:hAnsi="Meiryo UI"/>
          <w:sz w:val="20"/>
        </w:rPr>
        <w:t>現在株価: ¥934（取得: 2026-04-07 16:09 JST / Yahoo Finance）</w:t>
      </w:r>
    </w:p>
    <w:p/>
    <w:p>
      <w:r>
        <w:t>──────────────────────────────────────────────────</w:t>
      </w:r>
    </w:p>
    <w:p/>
    <w:p>
      <w:r>
        <w:rPr>
          <w:rFonts w:ascii="Meiryo UI" w:hAnsi="Meiryo UI"/>
          <w:sz w:val="20"/>
        </w:rPr>
        <w:t>&gt; ⚠️ 財務指標確認済み（yfinance リアルタイム取得）</w:t>
      </w:r>
    </w:p>
    <w:p>
      <w:r>
        <w:rPr>
          <w:rFonts w:ascii="Meiryo UI" w:hAnsi="Meiryo UI"/>
          <w:sz w:val="20"/>
        </w:rPr>
        <w:t>&gt; PBR: 0.92倍 / BPS: ¥1,014 / ROE: 1.0% / PER: 58.7倍 / EPS: ¥16</w:t>
      </w:r>
    </w:p>
    <w:p>
      <w:r>
        <w:rPr>
          <w:rFonts w:ascii="Meiryo UI" w:hAnsi="Meiryo UI"/>
          <w:sz w:val="20"/>
        </w:rPr>
        <w:t>&gt; 上記値は本レポート全体で唯一の正解値として使用。学習データ・独自推計による上書き禁止。</w:t>
      </w:r>
    </w:p>
    <w:p/>
    <w:p>
      <w:r>
        <w:t>──────────────────────────────────────────────────</w:t>
      </w:r>
    </w:p>
    <w:p/>
    <w:p>
      <w:pPr>
        <w:pStyle w:val="Heading2"/>
      </w:pPr>
      <w:r>
        <w:rPr>
          <w:rFonts w:ascii="Meiryo UI" w:hAnsi="Meiryo UI"/>
          <w:color w:val="2E74B5"/>
        </w:rPr>
        <w:t>🗂️ Executive Summary（経営幹部向け要約）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HOLD（中立 / 条件付き買い検討）</w:t>
            </w:r>
          </w:p>
        </w:tc>
      </w:tr>
      <w:tr>
        <w:tc>
          <w:tcPr>
            <w:tcW w:type="dxa" w:w="4703"/>
            <w:shd w:val="clear" w:color="auto" w:fill="DDEBF7"/>
          </w:tcPr>
          <w:p>
            <w:r>
              <w:rPr>
                <w:rFonts w:ascii="Meiryo UI" w:hAnsi="Meiryo UI"/>
                <w:sz w:val="18"/>
              </w:rPr>
              <w:t>理論株価（基本ケース）</w:t>
            </w:r>
          </w:p>
        </w:tc>
        <w:tc>
          <w:tcPr>
            <w:tcW w:type="dxa" w:w="4703"/>
            <w:shd w:val="clear" w:color="auto" w:fill="DDEBF7"/>
          </w:tcPr>
          <w:p>
            <w:r>
              <w:rPr>
                <w:rFonts w:ascii="Meiryo UI" w:hAnsi="Meiryo UI"/>
                <w:sz w:val="18"/>
              </w:rPr>
              <w:t>¥950〜¥1,050（コンセンサス収束シナリオ）</w:t>
            </w:r>
          </w:p>
        </w:tc>
      </w:tr>
      <w:tr>
        <w:tc>
          <w:tcPr>
            <w:tcW w:type="dxa" w:w="4703"/>
          </w:tcPr>
          <w:p>
            <w:r>
              <w:rPr>
                <w:rFonts w:ascii="Meiryo UI" w:hAnsi="Meiryo UI"/>
                <w:sz w:val="18"/>
              </w:rPr>
              <w:t>来期計画達成時</w:t>
            </w:r>
          </w:p>
        </w:tc>
        <w:tc>
          <w:tcPr>
            <w:tcW w:type="dxa" w:w="4703"/>
          </w:tcPr>
          <w:p>
            <w:r>
              <w:rPr>
                <w:rFonts w:ascii="Meiryo UI" w:hAnsi="Meiryo UI"/>
                <w:sz w:val="18"/>
              </w:rPr>
              <w:t>¥1,150〜¥1,300（上振れ余地 +23〜+39%）</w:t>
            </w:r>
          </w:p>
        </w:tc>
      </w:tr>
      <w:tr>
        <w:tc>
          <w:tcPr>
            <w:tcW w:type="dxa" w:w="4703"/>
            <w:shd w:val="clear" w:color="auto" w:fill="DDEBF7"/>
          </w:tcPr>
          <w:p>
            <w:r>
              <w:rPr>
                <w:rFonts w:ascii="Meiryo UI" w:hAnsi="Meiryo UI"/>
                <w:sz w:val="18"/>
              </w:rPr>
              <w:t>構造問題継続時</w:t>
            </w:r>
          </w:p>
        </w:tc>
        <w:tc>
          <w:tcPr>
            <w:tcW w:type="dxa" w:w="4703"/>
            <w:shd w:val="clear" w:color="auto" w:fill="DDEBF7"/>
          </w:tcPr>
          <w:p>
            <w:r>
              <w:rPr>
                <w:rFonts w:ascii="Meiryo UI" w:hAnsi="Meiryo UI"/>
                <w:sz w:val="18"/>
              </w:rPr>
              <w:t>¥550〜¥650（下振れリスク ▲31〜▲42%）</w:t>
            </w:r>
          </w:p>
        </w:tc>
      </w:tr>
      <w:tr>
        <w:tc>
          <w:tcPr>
            <w:tcW w:type="dxa" w:w="4703"/>
          </w:tcPr>
          <w:p>
            <w:r>
              <w:rPr>
                <w:rFonts w:ascii="Meiryo UI" w:hAnsi="Meiryo UI"/>
                <w:sz w:val="18"/>
              </w:rPr>
              <w:t>現在株価との乖離</w:t>
            </w:r>
          </w:p>
        </w:tc>
        <w:tc>
          <w:tcPr>
            <w:tcW w:type="dxa" w:w="4703"/>
          </w:tcPr>
          <w:p>
            <w:r>
              <w:rPr>
                <w:rFonts w:ascii="Meiryo UI" w:hAnsi="Meiryo UI"/>
                <w:sz w:val="18"/>
              </w:rPr>
              <w:t>PBR 0.92倍でネット資産割れ水準。下値余地は限定的だが上値催促材料は来期計画達成が絶対条件</w:t>
            </w:r>
          </w:p>
        </w:tc>
      </w:tr>
      <w:tr>
        <w:tc>
          <w:tcPr>
            <w:tcW w:type="dxa" w:w="4703"/>
            <w:shd w:val="clear" w:color="auto" w:fill="DDEBF7"/>
          </w:tcPr>
          <w:p>
            <w:r>
              <w:rPr>
                <w:rFonts w:ascii="Meiryo UI" w:hAnsi="Meiryo UI"/>
                <w:sz w:val="18"/>
              </w:rPr>
              <w:t>最重要カタリスト</w:t>
            </w:r>
          </w:p>
        </w:tc>
        <w:tc>
          <w:tcPr>
            <w:tcW w:type="dxa" w:w="4703"/>
            <w:shd w:val="clear" w:color="auto" w:fill="DDEBF7"/>
          </w:tcPr>
          <w:p>
            <w:r>
              <w:rPr>
                <w:rFonts w:ascii="Meiryo UI" w:hAnsi="Meiryo UI"/>
                <w:sz w:val="18"/>
              </w:rPr>
              <w:t>来期Q1（2026年6〜8月）営業利益進捗率。¥2,500M超確認でBUY格上げ検討</w:t>
            </w:r>
          </w:p>
        </w:tc>
      </w:tr>
      <w:tr>
        <w:tc>
          <w:tcPr>
            <w:tcW w:type="dxa" w:w="4703"/>
          </w:tcPr>
          <w:p>
            <w:r>
              <w:rPr>
                <w:rFonts w:ascii="Meiryo UI" w:hAnsi="Meiryo UI"/>
                <w:sz w:val="18"/>
              </w:rPr>
              <w:t>最大リスク</w:t>
            </w:r>
          </w:p>
        </w:tc>
        <w:tc>
          <w:tcPr>
            <w:tcW w:type="dxa" w:w="4703"/>
          </w:tcPr>
          <w:p>
            <w:r>
              <w:rPr>
                <w:rFonts w:ascii="Meiryo UI" w:hAnsi="Meiryo UI"/>
                <w:sz w:val="18"/>
              </w:rPr>
              <w:t>来期計画¥10,000M未達（¥6,000M以下） → 理論株価¥650以下、下落率▲30%超</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p>
      <w:r>
        <w:rPr>
          <w:rFonts w:ascii="Meiryo UI" w:hAnsi="Meiryo UI"/>
          <w:sz w:val="20"/>
        </w:rPr>
        <w:t>ユナイテッド・スーパーマーケットホールディングス（3222.T）は、マルエツ・カスミ・マックスバリュ関東の3ブランドを傘下に持つ、イオングループ傘下のスーパーマーケット持株会社である。首都圏（東京・神奈川・埼玉・千葉）および北関東（茨城・栃木・群馬）を主要商圏とし、店舗数は約310〜320店舗（2026年2月期末推計）。</w:t>
      </w:r>
    </w:p>
    <w:p/>
    <w:p>
      <w:pPr>
        <w:shd w:val="clear" w:color="auto" w:fill="F2F2F2"/>
      </w:pPr>
      <w:r>
        <w:rPr>
          <w:rFonts w:ascii="Courier New" w:hAnsi="Courier New"/>
          <w:sz w:val="16"/>
        </w:rPr>
        <w:t>【グループ構成】</w:t>
        <w:br/>
        <w:t>ユナイテッド・スーパーマーケットHD（3222）</w:t>
        <w:br/>
        <w:t>├── マルエツ　　……首都圏（東京・神奈川・埼玉・千葉）中心。都市型SM</w:t>
        <w:br/>
        <w:t>├── カスミ　　　……茨城・栃木・埼玉中心。北関東ドミナント</w:t>
        <w:br/>
        <w:t>└── マックスバリュ関東……埼玉・千葉中心。イオンPB特化型</w:t>
      </w:r>
    </w:p>
    <w:p/>
    <w:p>
      <w:pPr>
        <w:pStyle w:val="Heading3"/>
      </w:pPr>
      <w:r>
        <w:rPr>
          <w:rFonts w:ascii="Meiryo UI" w:hAnsi="Meiryo UI"/>
          <w:color w:val="2E74B5"/>
        </w:rPr>
        <w:t>1.2 セグメント・売上構成（FY2026/2月期 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売上規模（推計）</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マルエツ</w:t>
            </w:r>
          </w:p>
        </w:tc>
        <w:tc>
          <w:tcPr>
            <w:tcW w:type="dxa" w:w="3135"/>
          </w:tcPr>
          <w:p>
            <w:r>
              <w:rPr>
                <w:rFonts w:ascii="Meiryo UI" w:hAnsi="Meiryo UI"/>
                <w:sz w:val="18"/>
              </w:rPr>
              <w:t>¥105,000M前後</w:t>
            </w:r>
          </w:p>
        </w:tc>
        <w:tc>
          <w:tcPr>
            <w:tcW w:type="dxa" w:w="3135"/>
          </w:tcPr>
          <w:p>
            <w:r>
              <w:rPr>
                <w:rFonts w:ascii="Meiryo UI" w:hAnsi="Meiryo UI"/>
                <w:sz w:val="18"/>
              </w:rPr>
              <w:t>都市型・小商圏。客単価↑、来店頻度↑</w:t>
            </w:r>
          </w:p>
        </w:tc>
      </w:tr>
      <w:tr>
        <w:tc>
          <w:tcPr>
            <w:tcW w:type="dxa" w:w="3135"/>
            <w:shd w:val="clear" w:color="auto" w:fill="DDEBF7"/>
          </w:tcPr>
          <w:p>
            <w:r>
              <w:rPr>
                <w:rFonts w:ascii="Meiryo UI" w:hAnsi="Meiryo UI"/>
                <w:sz w:val="18"/>
              </w:rPr>
              <w:t>カスミ</w:t>
            </w:r>
          </w:p>
        </w:tc>
        <w:tc>
          <w:tcPr>
            <w:tcW w:type="dxa" w:w="3135"/>
            <w:shd w:val="clear" w:color="auto" w:fill="DDEBF7"/>
          </w:tcPr>
          <w:p>
            <w:r>
              <w:rPr>
                <w:rFonts w:ascii="Meiryo UI" w:hAnsi="Meiryo UI"/>
                <w:sz w:val="18"/>
              </w:rPr>
              <w:t>¥90,000M前後</w:t>
            </w:r>
          </w:p>
        </w:tc>
        <w:tc>
          <w:tcPr>
            <w:tcW w:type="dxa" w:w="3135"/>
            <w:shd w:val="clear" w:color="auto" w:fill="DDEBF7"/>
          </w:tcPr>
          <w:p>
            <w:r>
              <w:rPr>
                <w:rFonts w:ascii="Meiryo UI" w:hAnsi="Meiryo UI"/>
                <w:sz w:val="18"/>
              </w:rPr>
              <w:t>北関東ドミナント。SM業態多様化</w:t>
            </w:r>
          </w:p>
        </w:tc>
      </w:tr>
      <w:tr>
        <w:tc>
          <w:tcPr>
            <w:tcW w:type="dxa" w:w="3135"/>
          </w:tcPr>
          <w:p>
            <w:r>
              <w:rPr>
                <w:rFonts w:ascii="Meiryo UI" w:hAnsi="Meiryo UI"/>
                <w:sz w:val="18"/>
              </w:rPr>
              <w:t>マックスバリュ関東</w:t>
            </w:r>
          </w:p>
        </w:tc>
        <w:tc>
          <w:tcPr>
            <w:tcW w:type="dxa" w:w="3135"/>
          </w:tcPr>
          <w:p>
            <w:r>
              <w:rPr>
                <w:rFonts w:ascii="Meiryo UI" w:hAnsi="Meiryo UI"/>
                <w:sz w:val="18"/>
              </w:rPr>
              <w:t>¥50,000M前後</w:t>
            </w:r>
          </w:p>
        </w:tc>
        <w:tc>
          <w:tcPr>
            <w:tcW w:type="dxa" w:w="3135"/>
          </w:tcPr>
          <w:p>
            <w:r>
              <w:rPr>
                <w:rFonts w:ascii="Meiryo UI" w:hAnsi="Meiryo UI"/>
                <w:sz w:val="18"/>
              </w:rPr>
              <w:t>イオンPB（トップバリュ）依存度高</w:t>
            </w:r>
          </w:p>
        </w:tc>
      </w:tr>
      <w:tr>
        <w:tc>
          <w:tcPr>
            <w:tcW w:type="dxa" w:w="3135"/>
            <w:shd w:val="clear" w:color="auto" w:fill="DDEBF7"/>
          </w:tcPr>
          <w:p>
            <w:r>
              <w:rPr>
                <w:rFonts w:ascii="Meiryo UI" w:hAnsi="Meiryo UI"/>
                <w:sz w:val="18"/>
              </w:rPr>
              <w:t>その他（EC・デリ等）</w:t>
            </w:r>
          </w:p>
        </w:tc>
        <w:tc>
          <w:tcPr>
            <w:tcW w:type="dxa" w:w="3135"/>
            <w:shd w:val="clear" w:color="auto" w:fill="DDEBF7"/>
          </w:tcPr>
          <w:p>
            <w:r>
              <w:rPr>
                <w:rFonts w:ascii="Meiryo UI" w:hAnsi="Meiryo UI"/>
                <w:sz w:val="18"/>
              </w:rPr>
              <w:t>¥2,000M程度</w:t>
            </w:r>
          </w:p>
        </w:tc>
        <w:tc>
          <w:tcPr>
            <w:tcW w:type="dxa" w:w="3135"/>
            <w:shd w:val="clear" w:color="auto" w:fill="DDEBF7"/>
          </w:tcPr>
          <w:p>
            <w:r>
              <w:rPr>
                <w:rFonts w:ascii="Meiryo UI" w:hAnsi="Meiryo UI"/>
                <w:sz w:val="18"/>
              </w:rPr>
              <w:t>小規模だが成長軸</w:t>
            </w:r>
          </w:p>
        </w:tc>
      </w:tr>
    </w:tbl>
    <w:p/>
    <w:p>
      <w:r>
        <w:rPr>
          <w:rFonts w:ascii="Meiryo UI" w:hAnsi="Meiryo UI"/>
          <w:sz w:val="20"/>
        </w:rPr>
        <w:t>&gt; 注記: 売上高合算¥247,825Mは持株会社連結ベース。前年比▲10.1%の要因は後述（③参照）。</w:t>
      </w:r>
    </w:p>
    <w:p/>
    <w:p>
      <w:pPr>
        <w:pStyle w:val="Heading3"/>
      </w:pPr>
      <w:r>
        <w:rPr>
          <w:rFonts w:ascii="Meiryo UI" w:hAnsi="Meiryo UI"/>
          <w:color w:val="2E74B5"/>
        </w:rPr>
        <w:t>1.3 株主構成・イオングループ関係</w:t>
      </w:r>
    </w:p>
    <w:p/>
    <w:p>
      <w:pPr>
        <w:pStyle w:val="ListBullet"/>
      </w:pPr>
      <w:r>
        <w:rPr>
          <w:rFonts w:ascii="Meiryo UI" w:hAnsi="Meiryo UI"/>
          <w:sz w:val="20"/>
        </w:rPr>
        <w:t>イオン（8267）: 持株比率 約52〜55%（連結子会社）</w:t>
      </w:r>
    </w:p>
    <w:p>
      <w:pPr>
        <w:pStyle w:val="ListBullet"/>
      </w:pPr>
      <w:r>
        <w:rPr>
          <w:rFonts w:ascii="Meiryo UI" w:hAnsi="Meiryo UI"/>
          <w:sz w:val="20"/>
        </w:rPr>
        <w:t>東証プライム上場・浮動株比率は比較的低水準</w:t>
      </w:r>
    </w:p>
    <w:p>
      <w:pPr>
        <w:pStyle w:val="ListBullet"/>
      </w:pPr>
      <w:r>
        <w:rPr>
          <w:rFonts w:ascii="Meiryo UI" w:hAnsi="Meiryo UI"/>
          <w:sz w:val="20"/>
        </w:rPr>
        <w:t>イオンとの関係はシナジー源泉であると同時に完全子会社化リスクの温床</w:t>
      </w:r>
    </w:p>
    <w:p/>
    <w:p>
      <w:pPr>
        <w:pStyle w:val="Heading3"/>
      </w:pPr>
      <w:r>
        <w:rPr>
          <w:rFonts w:ascii="Meiryo UI" w:hAnsi="Meiryo UI"/>
          <w:color w:val="2E74B5"/>
        </w:rPr>
        <w:t>1.4 直近カタリスト整理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2026-04-07本決算：営業利益+29%サプライズ</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純利益赤転（▲¥1,317M）</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来期計画¥10,000M（コンセンサス比+25%）</w:t>
            </w:r>
          </w:p>
        </w:tc>
        <w:tc>
          <w:tcPr>
            <w:tcW w:type="dxa" w:w="3135"/>
          </w:tcPr>
          <w:p>
            <w:r>
              <w:rPr>
                <w:rFonts w:ascii="Meiryo UI" w:hAnsi="Meiryo UI"/>
                <w:sz w:val="18"/>
              </w:rPr>
              <w:t>強気サプライズ</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食品インフレ継続（WTI$114.82、金$4,680）→コスト圧力継続</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イオングループ仕入れ共同化深化余地</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TOB・完全子会社化思惑</w:t>
            </w:r>
          </w:p>
        </w:tc>
        <w:tc>
          <w:tcPr>
            <w:tcW w:type="dxa" w:w="3135"/>
            <w:shd w:val="clear" w:color="auto" w:fill="DDEBF7"/>
          </w:tcPr>
          <w:p>
            <w:r>
              <w:rPr>
                <w:rFonts w:ascii="Meiryo UI" w:hAnsi="Meiryo UI"/>
                <w:sz w:val="18"/>
              </w:rPr>
              <w:t>潜在的ポジティブ</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2. 社長指示重点分析（最優先セクション）</w:t>
      </w:r>
    </w:p>
    <w:p/>
    <w:p>
      <w:pPr>
        <w:pStyle w:val="Heading3"/>
      </w:pPr>
      <w:r>
        <w:rPr>
          <w:rFonts w:ascii="Meiryo UI" w:hAnsi="Meiryo UI"/>
          <w:color w:val="2E74B5"/>
        </w:rPr>
        <w:t>① 本日決算の詳細分析</w:t>
      </w:r>
    </w:p>
    <w:p/>
    <w:p>
      <w:pPr>
        <w:pStyle w:val="Heading4"/>
      </w:pPr>
      <w:r>
        <w:rPr>
          <w:rFonts w:ascii="Meiryo UI" w:hAnsi="Meiryo UI"/>
          <w:color w:val="2E74B5"/>
        </w:rPr>
        <w:t>1-A. 決算数値の全体像</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FY2026実績</w:t>
            </w:r>
          </w:p>
        </w:tc>
        <w:tc>
          <w:tcPr>
            <w:tcW w:type="dxa" w:w="1568"/>
            <w:shd w:val="clear" w:color="auto" w:fill="2E74B5"/>
          </w:tcPr>
          <w:p>
            <w:r>
              <w:rPr>
                <w:rFonts w:ascii="Meiryo UI" w:hAnsi="Meiryo UI"/>
                <w:b/>
                <w:color w:val="FFFFFF"/>
                <w:sz w:val="18"/>
              </w:rPr>
              <w:t>FY2025実績</w:t>
            </w:r>
          </w:p>
        </w:tc>
        <w:tc>
          <w:tcPr>
            <w:tcW w:type="dxa" w:w="1568"/>
            <w:shd w:val="clear" w:color="auto" w:fill="2E74B5"/>
          </w:tcPr>
          <w:p>
            <w:r>
              <w:rPr>
                <w:rFonts w:ascii="Meiryo UI" w:hAnsi="Meiryo UI"/>
                <w:b/>
                <w:color w:val="FFFFFF"/>
                <w:sz w:val="18"/>
              </w:rPr>
              <w:t>前年比</w:t>
            </w:r>
          </w:p>
        </w:tc>
        <w:tc>
          <w:tcPr>
            <w:tcW w:type="dxa" w:w="1568"/>
            <w:shd w:val="clear" w:color="auto" w:fill="2E74B5"/>
          </w:tcPr>
          <w:p>
            <w:r>
              <w:rPr>
                <w:rFonts w:ascii="Meiryo UI" w:hAnsi="Meiryo UI"/>
                <w:b/>
                <w:color w:val="FFFFFF"/>
                <w:sz w:val="18"/>
              </w:rPr>
              <w:t>QUICKコンセンサス</w:t>
            </w:r>
          </w:p>
        </w:tc>
        <w:tc>
          <w:tcPr>
            <w:tcW w:type="dxa" w:w="1568"/>
            <w:shd w:val="clear" w:color="auto" w:fill="2E74B5"/>
          </w:tcPr>
          <w:p>
            <w:r>
              <w:rPr>
                <w:rFonts w:ascii="Meiryo UI" w:hAnsi="Meiryo UI"/>
                <w:b/>
                <w:color w:val="FFFFFF"/>
                <w:sz w:val="18"/>
              </w:rPr>
              <w:t>コンセンサス比</w:t>
            </w:r>
          </w:p>
        </w:tc>
      </w:tr>
      <w:tr>
        <w:tc>
          <w:tcPr>
            <w:tcW w:type="dxa" w:w="1568"/>
          </w:tcPr>
          <w:p>
            <w:r>
              <w:rPr>
                <w:rFonts w:ascii="Meiryo UI" w:hAnsi="Meiryo UI"/>
                <w:sz w:val="18"/>
              </w:rPr>
              <w:t>売上高</w:t>
            </w:r>
          </w:p>
        </w:tc>
        <w:tc>
          <w:tcPr>
            <w:tcW w:type="dxa" w:w="1568"/>
          </w:tcPr>
          <w:p>
            <w:r>
              <w:rPr>
                <w:rFonts w:ascii="Meiryo UI" w:hAnsi="Meiryo UI"/>
                <w:sz w:val="18"/>
              </w:rPr>
              <w:t>¥247,825M</w:t>
            </w:r>
          </w:p>
        </w:tc>
        <w:tc>
          <w:tcPr>
            <w:tcW w:type="dxa" w:w="1568"/>
          </w:tcPr>
          <w:p>
            <w:r>
              <w:rPr>
                <w:rFonts w:ascii="Meiryo UI" w:hAnsi="Meiryo UI"/>
                <w:sz w:val="18"/>
              </w:rPr>
              <w:t>¥275,800M（推計）</w:t>
            </w:r>
          </w:p>
        </w:tc>
        <w:tc>
          <w:tcPr>
            <w:tcW w:type="dxa" w:w="1568"/>
          </w:tcPr>
          <w:p>
            <w:r>
              <w:rPr>
                <w:rFonts w:ascii="Meiryo UI" w:hAnsi="Meiryo UI"/>
                <w:sz w:val="18"/>
              </w:rPr>
              <w:t>▲10.1%</w:t>
            </w:r>
          </w:p>
        </w:tc>
        <w:tc>
          <w:tcPr>
            <w:tcW w:type="dxa" w:w="1568"/>
          </w:tcPr>
          <w:p>
            <w:r>
              <w:rPr>
                <w:rFonts w:ascii="Meiryo UI" w:hAnsi="Meiryo UI"/>
                <w:sz w:val="18"/>
              </w:rPr>
              <w:t>¥248,073M</w:t>
            </w:r>
          </w:p>
        </w:tc>
        <w:tc>
          <w:tcPr>
            <w:tcW w:type="dxa" w:w="1568"/>
          </w:tcPr>
          <w:p>
            <w:r>
              <w:rPr>
                <w:rFonts w:ascii="Meiryo UI" w:hAnsi="Meiryo UI"/>
                <w:sz w:val="18"/>
              </w:rPr>
              <w:t>▲0.1%</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¥4,666M</w:t>
            </w:r>
          </w:p>
        </w:tc>
        <w:tc>
          <w:tcPr>
            <w:tcW w:type="dxa" w:w="1568"/>
            <w:shd w:val="clear" w:color="auto" w:fill="DDEBF7"/>
          </w:tcPr>
          <w:p>
            <w:r>
              <w:rPr>
                <w:rFonts w:ascii="Meiryo UI" w:hAnsi="Meiryo UI"/>
                <w:sz w:val="18"/>
              </w:rPr>
              <w:t>¥7,038M（推計）</w:t>
            </w:r>
          </w:p>
        </w:tc>
        <w:tc>
          <w:tcPr>
            <w:tcW w:type="dxa" w:w="1568"/>
            <w:shd w:val="clear" w:color="auto" w:fill="DDEBF7"/>
          </w:tcPr>
          <w:p>
            <w:r>
              <w:rPr>
                <w:rFonts w:ascii="Meiryo UI" w:hAnsi="Meiryo UI"/>
                <w:sz w:val="18"/>
              </w:rPr>
              <w:t>▲33.7%</w:t>
            </w:r>
          </w:p>
        </w:tc>
        <w:tc>
          <w:tcPr>
            <w:tcW w:type="dxa" w:w="1568"/>
            <w:shd w:val="clear" w:color="auto" w:fill="DDEBF7"/>
          </w:tcPr>
          <w:p>
            <w:r>
              <w:rPr>
                <w:rFonts w:ascii="Meiryo UI" w:hAnsi="Meiryo UI"/>
                <w:sz w:val="18"/>
              </w:rPr>
              <w:t>¥3,616M</w:t>
            </w:r>
          </w:p>
        </w:tc>
        <w:tc>
          <w:tcPr>
            <w:tcW w:type="dxa" w:w="1568"/>
            <w:shd w:val="clear" w:color="auto" w:fill="DDEBF7"/>
          </w:tcPr>
          <w:p>
            <w:r>
              <w:rPr>
                <w:rFonts w:ascii="Meiryo UI" w:hAnsi="Meiryo UI"/>
                <w:sz w:val="18"/>
              </w:rPr>
              <w:t>+29.0% ✅</w:t>
            </w:r>
          </w:p>
        </w:tc>
      </w:tr>
      <w:tr>
        <w:tc>
          <w:tcPr>
            <w:tcW w:type="dxa" w:w="1568"/>
          </w:tcPr>
          <w:p>
            <w:r>
              <w:rPr>
                <w:rFonts w:ascii="Meiryo UI" w:hAnsi="Meiryo UI"/>
                <w:sz w:val="18"/>
              </w:rPr>
              <w:t>経常利益</w:t>
            </w:r>
          </w:p>
        </w:tc>
        <w:tc>
          <w:tcPr>
            <w:tcW w:type="dxa" w:w="1568"/>
          </w:tcPr>
          <w:p>
            <w:r>
              <w:rPr>
                <w:rFonts w:ascii="Meiryo UI" w:hAnsi="Meiryo UI"/>
                <w:sz w:val="18"/>
              </w:rPr>
              <w:t>¥4,712M</w:t>
            </w:r>
          </w:p>
        </w:tc>
        <w:tc>
          <w:tcPr>
            <w:tcW w:type="dxa" w:w="1568"/>
          </w:tcPr>
          <w:p>
            <w:r>
              <w:rPr>
                <w:rFonts w:ascii="Meiryo UI" w:hAnsi="Meiryo UI"/>
                <w:sz w:val="18"/>
              </w:rPr>
              <w:t>¥7,163M（推計）</w:t>
            </w:r>
          </w:p>
        </w:tc>
        <w:tc>
          <w:tcPr>
            <w:tcW w:type="dxa" w:w="1568"/>
          </w:tcPr>
          <w:p>
            <w:r>
              <w:rPr>
                <w:rFonts w:ascii="Meiryo UI" w:hAnsi="Meiryo UI"/>
                <w:sz w:val="18"/>
              </w:rPr>
              <w:t>▲34.2%</w:t>
            </w:r>
          </w:p>
        </w:tc>
        <w:tc>
          <w:tcPr>
            <w:tcW w:type="dxa" w:w="1568"/>
          </w:tcPr>
          <w:p>
            <w:r>
              <w:rPr>
                <w:rFonts w:ascii="Meiryo UI" w:hAnsi="Meiryo UI"/>
                <w:sz w:val="18"/>
              </w:rPr>
              <w:t>—</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純利益</w:t>
            </w:r>
          </w:p>
        </w:tc>
        <w:tc>
          <w:tcPr>
            <w:tcW w:type="dxa" w:w="1568"/>
            <w:shd w:val="clear" w:color="auto" w:fill="DDEBF7"/>
          </w:tcPr>
          <w:p>
            <w:r>
              <w:rPr>
                <w:rFonts w:ascii="Meiryo UI" w:hAnsi="Meiryo UI"/>
                <w:sz w:val="18"/>
              </w:rPr>
              <w:t>▲¥1,317M</w:t>
            </w:r>
          </w:p>
        </w:tc>
        <w:tc>
          <w:tcPr>
            <w:tcW w:type="dxa" w:w="1568"/>
            <w:shd w:val="clear" w:color="auto" w:fill="DDEBF7"/>
          </w:tcPr>
          <w:p>
            <w:r>
              <w:rPr>
                <w:rFonts w:ascii="Meiryo UI" w:hAnsi="Meiryo UI"/>
                <w:sz w:val="18"/>
              </w:rPr>
              <w:t>黒字（推計¥3,000M超）</w:t>
            </w:r>
          </w:p>
        </w:tc>
        <w:tc>
          <w:tcPr>
            <w:tcW w:type="dxa" w:w="1568"/>
            <w:shd w:val="clear" w:color="auto" w:fill="DDEBF7"/>
          </w:tcPr>
          <w:p>
            <w:r>
              <w:rPr>
                <w:rFonts w:ascii="Meiryo UI" w:hAnsi="Meiryo UI"/>
                <w:sz w:val="18"/>
              </w:rPr>
              <w:t>赤転 ❌</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bl>
    <w:p/>
    <w:p>
      <w:pPr>
        <w:pStyle w:val="Heading4"/>
      </w:pPr>
      <w:r>
        <w:rPr>
          <w:rFonts w:ascii="Meiryo UI" w:hAnsi="Meiryo UI"/>
          <w:color w:val="2E74B5"/>
        </w:rPr>
        <w:t>1-B. 【核心問い①】売上高▲10.1%なのに営業利益がコンセンサスを+29%上回った理由</w:t>
      </w:r>
    </w:p>
    <w:p/>
    <w:p>
      <w:r>
        <w:rPr>
          <w:rFonts w:ascii="Meiryo UI" w:hAnsi="Meiryo UI"/>
          <w:sz w:val="20"/>
        </w:rPr>
        <w:t>結論: コスト削減＋販管費圧縮が主因。売上減は「構造的縮小」ではなく「事業再編・不採算店舗整理」が大きい。</w:t>
      </w:r>
    </w:p>
    <w:p/>
    <w:p>
      <w:pPr>
        <w:shd w:val="clear" w:color="auto" w:fill="F2F2F2"/>
      </w:pPr>
      <w:r>
        <w:rPr>
          <w:rFonts w:ascii="Courier New" w:hAnsi="Courier New"/>
          <w:sz w:val="16"/>
        </w:rPr>
        <w:t>【売上高▲10.1%（▲¥27,975M）の要因分解（推計）】</w:t>
        <w:br/>
        <w:br/>
        <w:t>① 不採算店舗・非中核事業の整理・撤退   ▲¥15,000M〜▲¥18,000M</w:t>
        <w:br/>
        <w:t xml:space="preserve">   → マルエツ/カスミの老朽店閉鎖加速</w:t>
        <w:br/>
        <w:t xml:space="preserve">   → 一部テナント撤退・スクラップ&amp;ビルド</w:t>
        <w:br/>
        <w:t xml:space="preserve">   </w:t>
        <w:br/>
        <w:t>② 既存店売上の軟調（食品インフレ後の需要抑制）  ▲¥8,000M〜▲¥10,000M</w:t>
        <w:br/>
        <w:t xml:space="preserve">   → 消費者の節約志向・業務スーパー/ドンキへのシフト</w:t>
        <w:br/>
        <w:t xml:space="preserve">   → 客数減少（来店頻度低下）</w:t>
        <w:br/>
        <w:br/>
        <w:t>③ EC/デリバリー等の伸び（部分的相殺）   +¥2,000M前後</w:t>
      </w:r>
    </w:p>
    <w:p/>
    <w:p>
      <w:r>
        <w:rPr>
          <w:rFonts w:ascii="Meiryo UI" w:hAnsi="Meiryo UI"/>
          <w:sz w:val="20"/>
        </w:rPr>
        <w:t>なぜ売上が減ったのに営業利益がコンセンサスを大幅上回ったか：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定量インパクト（推計）</w:t>
            </w:r>
          </w:p>
        </w:tc>
        <w:tc>
          <w:tcPr>
            <w:tcW w:type="dxa" w:w="3135"/>
            <w:shd w:val="clear" w:color="auto" w:fill="2E74B5"/>
          </w:tcPr>
          <w:p>
            <w:r>
              <w:rPr>
                <w:rFonts w:ascii="Meiryo UI" w:hAnsi="Meiryo UI"/>
                <w:b/>
                <w:color w:val="FFFFFF"/>
                <w:sz w:val="18"/>
              </w:rPr>
              <w:t>性質</w:t>
            </w:r>
          </w:p>
        </w:tc>
      </w:tr>
      <w:tr>
        <w:tc>
          <w:tcPr>
            <w:tcW w:type="dxa" w:w="3135"/>
          </w:tcPr>
          <w:p>
            <w:r>
              <w:rPr>
                <w:rFonts w:ascii="Meiryo UI" w:hAnsi="Meiryo UI"/>
                <w:sz w:val="18"/>
              </w:rPr>
              <w:t>不採算店舗閉鎖による固定費削減</w:t>
            </w:r>
          </w:p>
        </w:tc>
        <w:tc>
          <w:tcPr>
            <w:tcW w:type="dxa" w:w="3135"/>
          </w:tcPr>
          <w:p>
            <w:r>
              <w:rPr>
                <w:rFonts w:ascii="Meiryo UI" w:hAnsi="Meiryo UI"/>
                <w:sz w:val="18"/>
              </w:rPr>
              <w:t>+¥600M〜+¥900M</w:t>
            </w:r>
          </w:p>
        </w:tc>
        <w:tc>
          <w:tcPr>
            <w:tcW w:type="dxa" w:w="3135"/>
          </w:tcPr>
          <w:p>
            <w:r>
              <w:rPr>
                <w:rFonts w:ascii="Meiryo UI" w:hAnsi="Meiryo UI"/>
                <w:sz w:val="18"/>
              </w:rPr>
              <w:t>構造的（一部継続）</w:t>
            </w:r>
          </w:p>
        </w:tc>
      </w:tr>
      <w:tr>
        <w:tc>
          <w:tcPr>
            <w:tcW w:type="dxa" w:w="3135"/>
            <w:shd w:val="clear" w:color="auto" w:fill="DDEBF7"/>
          </w:tcPr>
          <w:p>
            <w:r>
              <w:rPr>
                <w:rFonts w:ascii="Meiryo UI" w:hAnsi="Meiryo UI"/>
                <w:sz w:val="18"/>
              </w:rPr>
              <w:t>人件費・物流費の見直し（イオン共同化前倒し）</w:t>
            </w:r>
          </w:p>
        </w:tc>
        <w:tc>
          <w:tcPr>
            <w:tcW w:type="dxa" w:w="3135"/>
            <w:shd w:val="clear" w:color="auto" w:fill="DDEBF7"/>
          </w:tcPr>
          <w:p>
            <w:r>
              <w:rPr>
                <w:rFonts w:ascii="Meiryo UI" w:hAnsi="Meiryo UI"/>
                <w:sz w:val="18"/>
              </w:rPr>
              <w:t>+¥300M〜+¥500M</w:t>
            </w:r>
          </w:p>
        </w:tc>
        <w:tc>
          <w:tcPr>
            <w:tcW w:type="dxa" w:w="3135"/>
            <w:shd w:val="clear" w:color="auto" w:fill="DDEBF7"/>
          </w:tcPr>
          <w:p>
            <w:r>
              <w:rPr>
                <w:rFonts w:ascii="Meiryo UI" w:hAnsi="Meiryo UI"/>
                <w:sz w:val="18"/>
              </w:rPr>
              <w:t>構造的</w:t>
            </w:r>
          </w:p>
        </w:tc>
      </w:tr>
      <w:tr>
        <w:tc>
          <w:tcPr>
            <w:tcW w:type="dxa" w:w="3135"/>
          </w:tcPr>
          <w:p>
            <w:r>
              <w:rPr>
                <w:rFonts w:ascii="Meiryo UI" w:hAnsi="Meiryo UI"/>
                <w:sz w:val="18"/>
              </w:rPr>
              <w:t>仕入れ条件改善（イオンPB比率向上）</w:t>
            </w:r>
          </w:p>
        </w:tc>
        <w:tc>
          <w:tcPr>
            <w:tcW w:type="dxa" w:w="3135"/>
          </w:tcPr>
          <w:p>
            <w:r>
              <w:rPr>
                <w:rFonts w:ascii="Meiryo UI" w:hAnsi="Meiryo UI"/>
                <w:sz w:val="18"/>
              </w:rPr>
              <w:t>+¥200M〜+¥300M</w:t>
            </w:r>
          </w:p>
        </w:tc>
        <w:tc>
          <w:tcPr>
            <w:tcW w:type="dxa" w:w="3135"/>
          </w:tcPr>
          <w:p>
            <w:r>
              <w:rPr>
                <w:rFonts w:ascii="Meiryo UI" w:hAnsi="Meiryo UI"/>
                <w:sz w:val="18"/>
              </w:rPr>
              <w:t>構造的</w:t>
            </w:r>
          </w:p>
        </w:tc>
      </w:tr>
      <w:tr>
        <w:tc>
          <w:tcPr>
            <w:tcW w:type="dxa" w:w="3135"/>
            <w:shd w:val="clear" w:color="auto" w:fill="DDEBF7"/>
          </w:tcPr>
          <w:p>
            <w:r>
              <w:rPr>
                <w:rFonts w:ascii="Meiryo UI" w:hAnsi="Meiryo UI"/>
                <w:sz w:val="18"/>
              </w:rPr>
              <w:t>エネルギーコスト抑制（ヘッジ効果等）</w:t>
            </w:r>
          </w:p>
        </w:tc>
        <w:tc>
          <w:tcPr>
            <w:tcW w:type="dxa" w:w="3135"/>
            <w:shd w:val="clear" w:color="auto" w:fill="DDEBF7"/>
          </w:tcPr>
          <w:p>
            <w:r>
              <w:rPr>
                <w:rFonts w:ascii="Meiryo UI" w:hAnsi="Meiryo UI"/>
                <w:sz w:val="18"/>
              </w:rPr>
              <w:t>+¥100M〜+¥200M</w:t>
            </w:r>
          </w:p>
        </w:tc>
        <w:tc>
          <w:tcPr>
            <w:tcW w:type="dxa" w:w="3135"/>
            <w:shd w:val="clear" w:color="auto" w:fill="DDEBF7"/>
          </w:tcPr>
          <w:p>
            <w:r>
              <w:rPr>
                <w:rFonts w:ascii="Meiryo UI" w:hAnsi="Meiryo UI"/>
                <w:sz w:val="18"/>
              </w:rPr>
              <w:t>一時的</w:t>
            </w:r>
          </w:p>
        </w:tc>
      </w:tr>
      <w:tr>
        <w:tc>
          <w:tcPr>
            <w:tcW w:type="dxa" w:w="3135"/>
          </w:tcPr>
          <w:p>
            <w:r>
              <w:rPr>
                <w:rFonts w:ascii="Meiryo UI" w:hAnsi="Meiryo UI"/>
                <w:sz w:val="18"/>
              </w:rPr>
              <w:t>販管費の一時的抑制（広告費・投資抑制）</w:t>
            </w:r>
          </w:p>
        </w:tc>
        <w:tc>
          <w:tcPr>
            <w:tcW w:type="dxa" w:w="3135"/>
          </w:tcPr>
          <w:p>
            <w:r>
              <w:rPr>
                <w:rFonts w:ascii="Meiryo UI" w:hAnsi="Meiryo UI"/>
                <w:sz w:val="18"/>
              </w:rPr>
              <w:t>+¥200M〜+¥400M</w:t>
            </w:r>
          </w:p>
        </w:tc>
        <w:tc>
          <w:tcPr>
            <w:tcW w:type="dxa" w:w="3135"/>
          </w:tcPr>
          <w:p>
            <w:r>
              <w:rPr>
                <w:rFonts w:ascii="Meiryo UI" w:hAnsi="Meiryo UI"/>
                <w:sz w:val="18"/>
              </w:rPr>
              <w:t>一時的</w:t>
            </w:r>
          </w:p>
        </w:tc>
      </w:tr>
      <w:tr>
        <w:tc>
          <w:tcPr>
            <w:tcW w:type="dxa" w:w="3135"/>
            <w:shd w:val="clear" w:color="auto" w:fill="DDEBF7"/>
          </w:tcPr>
          <w:p>
            <w:r>
              <w:rPr>
                <w:rFonts w:ascii="Meiryo UI" w:hAnsi="Meiryo UI"/>
                <w:sz w:val="18"/>
              </w:rPr>
              <w:t>合計コンセンサス超過分</w:t>
            </w:r>
          </w:p>
        </w:tc>
        <w:tc>
          <w:tcPr>
            <w:tcW w:type="dxa" w:w="3135"/>
            <w:shd w:val="clear" w:color="auto" w:fill="DDEBF7"/>
          </w:tcPr>
          <w:p>
            <w:r>
              <w:rPr>
                <w:rFonts w:ascii="Meiryo UI" w:hAnsi="Meiryo UI"/>
                <w:sz w:val="18"/>
              </w:rPr>
              <w:t>+¥1,050M（=¥4,666M−¥3,616M）</w:t>
            </w:r>
          </w:p>
        </w:tc>
        <w:tc>
          <w:tcPr>
            <w:tcW w:type="dxa" w:w="3135"/>
            <w:shd w:val="clear" w:color="auto" w:fill="DDEBF7"/>
          </w:tcPr>
          <w:p>
            <w:r>
              <w:rPr>
                <w:rFonts w:ascii="Meiryo UI" w:hAnsi="Meiryo UI"/>
                <w:sz w:val="18"/>
              </w:rPr>
              <w:t>混在</w:t>
            </w:r>
          </w:p>
        </w:tc>
      </w:tr>
    </w:tbl>
    <w:p/>
    <w:p>
      <w:r>
        <w:rPr>
          <w:rFonts w:ascii="Meiryo UI" w:hAnsi="Meiryo UI"/>
          <w:sz w:val="20"/>
        </w:rPr>
        <w:t>&gt; 深井判断: 超過分の約60%が構造的コスト改善（店舗スリム化・イオングループ共同化）。残り40%は一時的抑制（広告費・資本的支出の繰延）と判断する。来期の収益改善基盤として評価可能だが、売上回復なき利益改善の持続には限界がある。</w:t>
      </w:r>
    </w:p>
    <w:p/>
    <w:p>
      <w:pPr>
        <w:pStyle w:val="Heading4"/>
      </w:pPr>
      <w:r>
        <w:rPr>
          <w:rFonts w:ascii="Meiryo UI" w:hAnsi="Meiryo UI"/>
          <w:color w:val="2E74B5"/>
        </w:rPr>
        <w:t>1-C. 【核心問い②】純利益が赤転した原因と一過性/継続性判断</w:t>
      </w:r>
    </w:p>
    <w:p/>
    <w:p>
      <w:r>
        <w:rPr>
          <w:rFonts w:ascii="Meiryo UI" w:hAnsi="Meiryo UI"/>
          <w:sz w:val="20"/>
        </w:rPr>
        <w:t>純利益▲¥1,317M（赤転）の構造：</w:t>
      </w:r>
    </w:p>
    <w:p/>
    <w:p>
      <w:pPr>
        <w:shd w:val="clear" w:color="auto" w:fill="F2F2F2"/>
      </w:pPr>
      <w:r>
        <w:rPr>
          <w:rFonts w:ascii="Courier New" w:hAnsi="Courier New"/>
          <w:sz w:val="16"/>
        </w:rPr>
        <w:t>営業利益         ¥4,666M</w:t>
        <w:br/>
        <w:t>経常利益         ¥4,712M  ← 営業外収益（受取配当等）が若干寄与</w:t>
        <w:br/>
        <w:t>特別損失（推計）  ▲¥8,000M〜▲¥9,000M</w:t>
        <w:br/>
        <w:t xml:space="preserve">  └ 内訳（推計）:</w:t>
        <w:br/>
        <w:t xml:space="preserve">    ① 減損損失（老朽店舗・のれん等）   ▲¥5,000M〜▲¥6,000M</w:t>
        <w:br/>
        <w:t xml:space="preserve">    ② 閉店関連費用・撤退費用           ▲¥1,500M〜▲¥2,000M</w:t>
        <w:br/>
        <w:t xml:space="preserve">    ③ 構造改革費用（早期退職優遇等）   ▲¥500M〜¥1,000M</w:t>
        <w:br/>
        <w:t xml:space="preserve">    ④ その他特別損失                   ▲¥500M前後</w:t>
        <w:br/>
        <w:t>税引前純利益（推計） ▲¥3,500M〜▲¥4,500M</w:t>
        <w:br/>
        <w:t>法人税等（繰延税金資産計上等）    +¥2,000M〜+¥3,000M</w:t>
        <w:br/>
        <w:t>純利益           ▲¥1,317M（赤転）</w:t>
      </w:r>
    </w:p>
    <w:p/>
    <w:p>
      <w:r>
        <w:rPr>
          <w:rFonts w:ascii="Meiryo UI" w:hAnsi="Meiryo UI"/>
          <w:sz w:val="20"/>
        </w:rPr>
        <w:t>一過性か継続リスクか：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損失項目</w:t>
            </w:r>
          </w:p>
        </w:tc>
        <w:tc>
          <w:tcPr>
            <w:tcW w:type="dxa" w:w="3135"/>
            <w:shd w:val="clear" w:color="auto" w:fill="2E74B5"/>
          </w:tcPr>
          <w:p>
            <w:r>
              <w:rPr>
                <w:rFonts w:ascii="Meiryo UI" w:hAnsi="Meiryo UI"/>
                <w:b/>
                <w:color w:val="FFFFFF"/>
                <w:sz w:val="18"/>
              </w:rPr>
              <w:t>性質</w:t>
            </w:r>
          </w:p>
        </w:tc>
        <w:tc>
          <w:tcPr>
            <w:tcW w:type="dxa" w:w="3135"/>
            <w:shd w:val="clear" w:color="auto" w:fill="2E74B5"/>
          </w:tcPr>
          <w:p>
            <w:r>
              <w:rPr>
                <w:rFonts w:ascii="Meiryo UI" w:hAnsi="Meiryo UI"/>
                <w:b/>
                <w:color w:val="FFFFFF"/>
                <w:sz w:val="18"/>
              </w:rPr>
              <w:t>継続リスク</w:t>
            </w:r>
          </w:p>
        </w:tc>
      </w:tr>
      <w:tr>
        <w:tc>
          <w:tcPr>
            <w:tcW w:type="dxa" w:w="3135"/>
          </w:tcPr>
          <w:p>
            <w:r>
              <w:rPr>
                <w:rFonts w:ascii="Meiryo UI" w:hAnsi="Meiryo UI"/>
                <w:sz w:val="18"/>
              </w:rPr>
              <w:t>店舗減損・閉鎖費用</w:t>
            </w:r>
          </w:p>
        </w:tc>
        <w:tc>
          <w:tcPr>
            <w:tcW w:type="dxa" w:w="3135"/>
          </w:tcPr>
          <w:p>
            <w:r>
              <w:rPr>
                <w:rFonts w:ascii="Meiryo UI" w:hAnsi="Meiryo UI"/>
                <w:sz w:val="18"/>
              </w:rPr>
              <w:t>一過性（FY2026に集中計上）</w:t>
            </w:r>
          </w:p>
        </w:tc>
        <w:tc>
          <w:tcPr>
            <w:tcW w:type="dxa" w:w="3135"/>
          </w:tcPr>
          <w:p>
            <w:r>
              <w:rPr>
                <w:rFonts w:ascii="Meiryo UI" w:hAnsi="Meiryo UI"/>
                <w:sz w:val="18"/>
              </w:rPr>
              <w:t>低〜中（残存老朽店舗次第）</w:t>
            </w:r>
          </w:p>
        </w:tc>
      </w:tr>
      <w:tr>
        <w:tc>
          <w:tcPr>
            <w:tcW w:type="dxa" w:w="3135"/>
            <w:shd w:val="clear" w:color="auto" w:fill="DDEBF7"/>
          </w:tcPr>
          <w:p>
            <w:r>
              <w:rPr>
                <w:rFonts w:ascii="Meiryo UI" w:hAnsi="Meiryo UI"/>
                <w:sz w:val="18"/>
              </w:rPr>
              <w:t>のれん償却</w:t>
            </w:r>
          </w:p>
        </w:tc>
        <w:tc>
          <w:tcPr>
            <w:tcW w:type="dxa" w:w="3135"/>
            <w:shd w:val="clear" w:color="auto" w:fill="DDEBF7"/>
          </w:tcPr>
          <w:p>
            <w:r>
              <w:rPr>
                <w:rFonts w:ascii="Meiryo UI" w:hAnsi="Meiryo UI"/>
                <w:sz w:val="18"/>
              </w:rPr>
              <w:t>継続的（毎期発生）</w:t>
            </w:r>
          </w:p>
        </w:tc>
        <w:tc>
          <w:tcPr>
            <w:tcW w:type="dxa" w:w="3135"/>
            <w:shd w:val="clear" w:color="auto" w:fill="DDEBF7"/>
          </w:tcPr>
          <w:p>
            <w:r>
              <w:rPr>
                <w:rFonts w:ascii="Meiryo UI" w:hAnsi="Meiryo UI"/>
                <w:sz w:val="18"/>
              </w:rPr>
              <w:t>中（残存のれん額による）</w:t>
            </w:r>
          </w:p>
        </w:tc>
      </w:tr>
      <w:tr>
        <w:tc>
          <w:tcPr>
            <w:tcW w:type="dxa" w:w="3135"/>
          </w:tcPr>
          <w:p>
            <w:r>
              <w:rPr>
                <w:rFonts w:ascii="Meiryo UI" w:hAnsi="Meiryo UI"/>
                <w:sz w:val="18"/>
              </w:rPr>
              <w:t>早期退職費用</w:t>
            </w:r>
          </w:p>
        </w:tc>
        <w:tc>
          <w:tcPr>
            <w:tcW w:type="dxa" w:w="3135"/>
          </w:tcPr>
          <w:p>
            <w:r>
              <w:rPr>
                <w:rFonts w:ascii="Meiryo UI" w:hAnsi="Meiryo UI"/>
                <w:sz w:val="18"/>
              </w:rPr>
              <w:t>一過性（構造改革の前払いコスト）</w:t>
            </w:r>
          </w:p>
        </w:tc>
        <w:tc>
          <w:tcPr>
            <w:tcW w:type="dxa" w:w="3135"/>
          </w:tcPr>
          <w:p>
            <w:r>
              <w:rPr>
                <w:rFonts w:ascii="Meiryo UI" w:hAnsi="Meiryo UI"/>
                <w:sz w:val="18"/>
              </w:rPr>
              <w:t>低（一巡すれば消滅）</w:t>
            </w:r>
          </w:p>
        </w:tc>
      </w:tr>
      <w:tr>
        <w:tc>
          <w:tcPr>
            <w:tcW w:type="dxa" w:w="3135"/>
            <w:shd w:val="clear" w:color="auto" w:fill="DDEBF7"/>
          </w:tcPr>
          <w:p>
            <w:r>
              <w:rPr>
                <w:rFonts w:ascii="Meiryo UI" w:hAnsi="Meiryo UI"/>
                <w:sz w:val="18"/>
              </w:rPr>
              <w:t>繰延税金資産取崩</w:t>
            </w:r>
          </w:p>
        </w:tc>
        <w:tc>
          <w:tcPr>
            <w:tcW w:type="dxa" w:w="3135"/>
            <w:shd w:val="clear" w:color="auto" w:fill="DDEBF7"/>
          </w:tcPr>
          <w:p>
            <w:r>
              <w:rPr>
                <w:rFonts w:ascii="Meiryo UI" w:hAnsi="Meiryo UI"/>
                <w:sz w:val="18"/>
              </w:rPr>
              <w:t>要注意（収益性低下時に発生）</w:t>
            </w:r>
          </w:p>
        </w:tc>
        <w:tc>
          <w:tcPr>
            <w:tcW w:type="dxa" w:w="3135"/>
            <w:shd w:val="clear" w:color="auto" w:fill="DDEBF7"/>
          </w:tcPr>
          <w:p>
            <w:r>
              <w:rPr>
                <w:rFonts w:ascii="Meiryo UI" w:hAnsi="Meiryo UI"/>
                <w:sz w:val="18"/>
              </w:rPr>
              <w:t>中（来期黒字確保が必要）</w:t>
            </w:r>
          </w:p>
        </w:tc>
      </w:tr>
    </w:tbl>
    <w:p/>
    <w:p>
      <w:r>
        <w:rPr>
          <w:rFonts w:ascii="Meiryo UI" w:hAnsi="Meiryo UI"/>
          <w:sz w:val="20"/>
        </w:rPr>
        <w:t>&gt; 深井判断: 純利益赤転は主に一過性の特別損失集中計上が原因。ただし、のれん残高の水準によっては継続的な下押し圧力もあり得る。来期¥150Mという薄利の純利益計画は、「特損の消滅」を前提とした保守的見積もりと解釈できる。一過性判断: 70%の確度で一過性。ただし残存のれん・追加減損リスクは継続監視必要。</w:t>
      </w:r>
    </w:p>
    <w:p/>
    <w:p>
      <w:r>
        <w:t>──────────────────────────────────────────────────</w:t>
      </w:r>
    </w:p>
    <w:p/>
    <w:p>
      <w:pPr>
        <w:pStyle w:val="Heading3"/>
      </w:pPr>
      <w:r>
        <w:rPr>
          <w:rFonts w:ascii="Meiryo UI" w:hAnsi="Meiryo UI"/>
          <w:color w:val="2E74B5"/>
        </w:rPr>
        <w:t>② 来期会社計画の信頼性検証（最重要）</w:t>
      </w:r>
    </w:p>
    <w:p/>
    <w:p>
      <w:pPr>
        <w:pStyle w:val="Heading4"/>
      </w:pPr>
      <w:r>
        <w:rPr>
          <w:rFonts w:ascii="Meiryo UI" w:hAnsi="Meiryo UI"/>
          <w:color w:val="2E74B5"/>
        </w:rPr>
        <w:t>2-A. 計画数値の全体像</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FY2026実績</w:t>
            </w:r>
          </w:p>
        </w:tc>
        <w:tc>
          <w:tcPr>
            <w:tcW w:type="dxa" w:w="1568"/>
            <w:shd w:val="clear" w:color="auto" w:fill="2E74B5"/>
          </w:tcPr>
          <w:p>
            <w:r>
              <w:rPr>
                <w:rFonts w:ascii="Meiryo UI" w:hAnsi="Meiryo UI"/>
                <w:b/>
                <w:color w:val="FFFFFF"/>
                <w:sz w:val="18"/>
              </w:rPr>
              <w:t>FY2027会社計画</w:t>
            </w:r>
          </w:p>
        </w:tc>
        <w:tc>
          <w:tcPr>
            <w:tcW w:type="dxa" w:w="1568"/>
            <w:shd w:val="clear" w:color="auto" w:fill="2E74B5"/>
          </w:tcPr>
          <w:p>
            <w:r>
              <w:rPr>
                <w:rFonts w:ascii="Meiryo UI" w:hAnsi="Meiryo UI"/>
                <w:b/>
                <w:color w:val="FFFFFF"/>
                <w:sz w:val="18"/>
              </w:rPr>
              <w:t>変化率</w:t>
            </w:r>
          </w:p>
        </w:tc>
        <w:tc>
          <w:tcPr>
            <w:tcW w:type="dxa" w:w="1568"/>
            <w:shd w:val="clear" w:color="auto" w:fill="2E74B5"/>
          </w:tcPr>
          <w:p>
            <w:r>
              <w:rPr>
                <w:rFonts w:ascii="Meiryo UI" w:hAnsi="Meiryo UI"/>
                <w:b/>
                <w:color w:val="FFFFFF"/>
                <w:sz w:val="18"/>
              </w:rPr>
              <w:t>QUICKコンセンサス</w:t>
            </w:r>
          </w:p>
        </w:tc>
        <w:tc>
          <w:tcPr>
            <w:tcW w:type="dxa" w:w="1568"/>
            <w:shd w:val="clear" w:color="auto" w:fill="2E74B5"/>
          </w:tcPr>
          <w:p>
            <w:r>
              <w:rPr>
                <w:rFonts w:ascii="Meiryo UI" w:hAnsi="Meiryo UI"/>
                <w:b/>
                <w:color w:val="FFFFFF"/>
                <w:sz w:val="18"/>
              </w:rPr>
              <w:t>計画/コンセンサス</w:t>
            </w:r>
          </w:p>
        </w:tc>
      </w:tr>
      <w:tr>
        <w:tc>
          <w:tcPr>
            <w:tcW w:type="dxa" w:w="1568"/>
          </w:tcPr>
          <w:p>
            <w:r>
              <w:rPr>
                <w:rFonts w:ascii="Meiryo UI" w:hAnsi="Meiryo UI"/>
                <w:sz w:val="18"/>
              </w:rPr>
              <w:t>売上高</w:t>
            </w:r>
          </w:p>
        </w:tc>
        <w:tc>
          <w:tcPr>
            <w:tcW w:type="dxa" w:w="1568"/>
          </w:tcPr>
          <w:p>
            <w:r>
              <w:rPr>
                <w:rFonts w:ascii="Meiryo UI" w:hAnsi="Meiryo UI"/>
                <w:sz w:val="18"/>
              </w:rPr>
              <w:t>¥247,825M</w:t>
            </w:r>
          </w:p>
        </w:tc>
        <w:tc>
          <w:tcPr>
            <w:tcW w:type="dxa" w:w="1568"/>
          </w:tcPr>
          <w:p>
            <w:r>
              <w:rPr>
                <w:rFonts w:ascii="Meiryo UI" w:hAnsi="Meiryo UI"/>
                <w:sz w:val="18"/>
              </w:rPr>
              <w:t>¥1,133,200M ⚠️</w:t>
            </w:r>
          </w:p>
        </w:tc>
        <w:tc>
          <w:tcPr>
            <w:tcW w:type="dxa" w:w="1568"/>
          </w:tcPr>
          <w:p>
            <w:r>
              <w:rPr>
                <w:rFonts w:ascii="Meiryo UI" w:hAnsi="Meiryo UI"/>
                <w:sz w:val="18"/>
              </w:rPr>
              <w:t>+357%</w:t>
            </w:r>
          </w:p>
        </w:tc>
        <w:tc>
          <w:tcPr>
            <w:tcW w:type="dxa" w:w="1568"/>
          </w:tcPr>
          <w:p>
            <w:r>
              <w:rPr>
                <w:rFonts w:ascii="Meiryo UI" w:hAnsi="Meiryo UI"/>
                <w:sz w:val="18"/>
              </w:rPr>
              <w:t>¥1,103,000M</w:t>
            </w:r>
          </w:p>
        </w:tc>
        <w:tc>
          <w:tcPr>
            <w:tcW w:type="dxa" w:w="1568"/>
          </w:tcPr>
          <w:p>
            <w:r>
              <w:rPr>
                <w:rFonts w:ascii="Meiryo UI" w:hAnsi="Meiryo UI"/>
                <w:sz w:val="18"/>
              </w:rPr>
              <w:t>+2.7%</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¥4,666M</w:t>
            </w:r>
          </w:p>
        </w:tc>
        <w:tc>
          <w:tcPr>
            <w:tcW w:type="dxa" w:w="1568"/>
            <w:shd w:val="clear" w:color="auto" w:fill="DDEBF7"/>
          </w:tcPr>
          <w:p>
            <w:r>
              <w:rPr>
                <w:rFonts w:ascii="Meiryo UI" w:hAnsi="Meiryo UI"/>
                <w:sz w:val="18"/>
              </w:rPr>
              <w:t>¥10,000M</w:t>
            </w:r>
          </w:p>
        </w:tc>
        <w:tc>
          <w:tcPr>
            <w:tcW w:type="dxa" w:w="1568"/>
            <w:shd w:val="clear" w:color="auto" w:fill="DDEBF7"/>
          </w:tcPr>
          <w:p>
            <w:r>
              <w:rPr>
                <w:rFonts w:ascii="Meiryo UI" w:hAnsi="Meiryo UI"/>
                <w:sz w:val="18"/>
              </w:rPr>
              <w:t>+114%</w:t>
            </w:r>
          </w:p>
        </w:tc>
        <w:tc>
          <w:tcPr>
            <w:tcW w:type="dxa" w:w="1568"/>
            <w:shd w:val="clear" w:color="auto" w:fill="DDEBF7"/>
          </w:tcPr>
          <w:p>
            <w:r>
              <w:rPr>
                <w:rFonts w:ascii="Meiryo UI" w:hAnsi="Meiryo UI"/>
                <w:sz w:val="18"/>
              </w:rPr>
              <w:t>¥8,000M</w:t>
            </w:r>
          </w:p>
        </w:tc>
        <w:tc>
          <w:tcPr>
            <w:tcW w:type="dxa" w:w="1568"/>
            <w:shd w:val="clear" w:color="auto" w:fill="DDEBF7"/>
          </w:tcPr>
          <w:p>
            <w:r>
              <w:rPr>
                <w:rFonts w:ascii="Meiryo UI" w:hAnsi="Meiryo UI"/>
                <w:sz w:val="18"/>
              </w:rPr>
              <w:t>+25.0%</w:t>
            </w:r>
          </w:p>
        </w:tc>
      </w:tr>
      <w:tr>
        <w:tc>
          <w:tcPr>
            <w:tcW w:type="dxa" w:w="1568"/>
          </w:tcPr>
          <w:p>
            <w:r>
              <w:rPr>
                <w:rFonts w:ascii="Meiryo UI" w:hAnsi="Meiryo UI"/>
                <w:sz w:val="18"/>
              </w:rPr>
              <w:t>経常利益</w:t>
            </w:r>
          </w:p>
        </w:tc>
        <w:tc>
          <w:tcPr>
            <w:tcW w:type="dxa" w:w="1568"/>
          </w:tcPr>
          <w:p>
            <w:r>
              <w:rPr>
                <w:rFonts w:ascii="Meiryo UI" w:hAnsi="Meiryo UI"/>
                <w:sz w:val="18"/>
              </w:rPr>
              <w:t>¥4,712M</w:t>
            </w:r>
          </w:p>
        </w:tc>
        <w:tc>
          <w:tcPr>
            <w:tcW w:type="dxa" w:w="1568"/>
          </w:tcPr>
          <w:p>
            <w:r>
              <w:rPr>
                <w:rFonts w:ascii="Meiryo UI" w:hAnsi="Meiryo UI"/>
                <w:sz w:val="18"/>
              </w:rPr>
              <w:t>¥9,600M</w:t>
            </w:r>
          </w:p>
        </w:tc>
        <w:tc>
          <w:tcPr>
            <w:tcW w:type="dxa" w:w="1568"/>
          </w:tcPr>
          <w:p>
            <w:r>
              <w:rPr>
                <w:rFonts w:ascii="Meiryo UI" w:hAnsi="Meiryo UI"/>
                <w:sz w:val="18"/>
              </w:rPr>
              <w:t>+104%</w:t>
            </w:r>
          </w:p>
        </w:tc>
        <w:tc>
          <w:tcPr>
            <w:tcW w:type="dxa" w:w="1568"/>
          </w:tcPr>
          <w:p>
            <w:r>
              <w:rPr>
                <w:rFonts w:ascii="Meiryo UI" w:hAnsi="Meiryo UI"/>
                <w:sz w:val="18"/>
              </w:rPr>
              <w:t>—</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純利益</w:t>
            </w:r>
          </w:p>
        </w:tc>
        <w:tc>
          <w:tcPr>
            <w:tcW w:type="dxa" w:w="1568"/>
            <w:shd w:val="clear" w:color="auto" w:fill="DDEBF7"/>
          </w:tcPr>
          <w:p>
            <w:r>
              <w:rPr>
                <w:rFonts w:ascii="Meiryo UI" w:hAnsi="Meiryo UI"/>
                <w:sz w:val="18"/>
              </w:rPr>
              <w:t>▲¥1,317M</w:t>
            </w:r>
          </w:p>
        </w:tc>
        <w:tc>
          <w:tcPr>
            <w:tcW w:type="dxa" w:w="1568"/>
            <w:shd w:val="clear" w:color="auto" w:fill="DDEBF7"/>
          </w:tcPr>
          <w:p>
            <w:r>
              <w:rPr>
                <w:rFonts w:ascii="Meiryo UI" w:hAnsi="Meiryo UI"/>
                <w:sz w:val="18"/>
              </w:rPr>
              <w:t>¥150M</w:t>
            </w:r>
          </w:p>
        </w:tc>
        <w:tc>
          <w:tcPr>
            <w:tcW w:type="dxa" w:w="1568"/>
            <w:shd w:val="clear" w:color="auto" w:fill="DDEBF7"/>
          </w:tcPr>
          <w:p>
            <w:r>
              <w:rPr>
                <w:rFonts w:ascii="Meiryo UI" w:hAnsi="Meiryo UI"/>
                <w:sz w:val="18"/>
              </w:rPr>
              <w:t>黒字転換</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bl>
    <w:p/>
    <w:p>
      <w:r>
        <w:rPr>
          <w:rFonts w:ascii="Meiryo UI" w:hAnsi="Meiryo UI"/>
          <w:sz w:val="20"/>
        </w:rPr>
        <w:t>&gt; ⚠️ 重要注記（売上高について）: 来期売上高計画¥1,133,200Mは今期¥247,825Mから+357%という異常値である。この数値はセグメント別の売上高を単純合算（内部取引消去前）しているか、または会社側の開示フォーマット変更（持株会社ベースから事業会社合算ベースへの変更）である可能性が高い。連結売上高の実態は¥300,000M〜¥380,000M前後と推計され、本分析では実態売上高を¥340,000M（前年比+37%、事業規模拡大・業態統合フル寄与ベース）と仮置きして分析を進める。</w:t>
      </w:r>
    </w:p>
    <w:p/>
    <w:p>
      <w:pPr>
        <w:pStyle w:val="Heading4"/>
      </w:pPr>
      <w:r>
        <w:rPr>
          <w:rFonts w:ascii="Meiryo UI" w:hAnsi="Meiryo UI"/>
          <w:color w:val="2E74B5"/>
        </w:rPr>
        <w:t>2-B. 営業利益+114%計画の達成可能性：定量分解</w:t>
      </w:r>
    </w:p>
    <w:p/>
    <w:p>
      <w:r>
        <w:rPr>
          <w:rFonts w:ascii="Meiryo UI" w:hAnsi="Meiryo UI"/>
          <w:sz w:val="20"/>
        </w:rPr>
        <w:t>¥4,666M → ¥10,000M（+¥5,334M）の達成に必要な条件：</w:t>
      </w:r>
    </w:p>
    <w:p/>
    <w:p>
      <w:pPr>
        <w:shd w:val="clear" w:color="auto" w:fill="F2F2F2"/>
      </w:pPr>
      <w:r>
        <w:rPr>
          <w:rFonts w:ascii="Courier New" w:hAnsi="Courier New"/>
          <w:sz w:val="16"/>
        </w:rPr>
        <w:t>【ブリッジ分析（増益要因の定量推計）】</w:t>
        <w:br/>
        <w:br/>
        <w:t>FY2026実績営業利益                          ¥4,666M</w:t>
        <w:br/>
        <w:br/>
        <w:t>① 特別要因・一時的抑制の剥落（ポジティブ）</w:t>
        <w:br/>
        <w:t xml:space="preserve">  前期一時的コスト抑制の反動（▲調整）     ▲¥400M〜▲¥600M</w:t>
        <w:br/>
        <w:t xml:space="preserve">  </w:t>
        <w:br/>
        <w:t>② 店舗整理効果の通年化（ポジティブ）</w:t>
        <w:br/>
        <w:t xml:space="preserve">  不採算店閉鎖による固定費削減通年寄与     +¥800M〜+¥1,200M</w:t>
        <w:br/>
        <w:t xml:space="preserve">  </w:t>
        <w:br/>
        <w:t>③ 売上回復による限界利益増（必須条件）</w:t>
        <w:br/>
        <w:t xml:space="preserve">  既存店売上回復（食品インフレ価格転嫁）   +¥1,500M〜+¥2,500M</w:t>
        <w:br/>
        <w:t xml:space="preserve">  新店・スクラップ&amp;ビルド後の新店寄与     +¥500M〜+¥800M</w:t>
        <w:br/>
        <w:t xml:space="preserve">  </w:t>
        <w:br/>
        <w:t>④ イオングループシナジー深化</w:t>
        <w:br/>
        <w:t xml:space="preserve">  仕入れ共同化・物流共有追加効果           +¥800M〜+¥1,200M</w:t>
        <w:br/>
        <w:t xml:space="preserve">  トップバリュPB拡販による粗利改善         +¥400M〜+¥600M</w:t>
        <w:br/>
        <w:t xml:space="preserve">  </w:t>
        <w:br/>
        <w:t>⑤ 人件費・エネルギーコスト                ▲¥500M〜▲¥800M</w:t>
        <w:br/>
        <w:t xml:space="preserve">  （食品インフレ→エネルギー高継続→コスト圧力）</w:t>
        <w:br/>
        <w:t xml:space="preserve">  </w:t>
        <w:br/>
        <w:t>⑥ その他（IT投資・広告費正常化等）        ▲¥300M〜▲¥500M</w:t>
        <w:br/>
        <w:br/>
        <w:t>FY2027計画営業利益達成レンジ（推計）      ¥7,700M〜¥10,400M</w:t>
        <w:br/>
        <w:t>会社計画¥10,000M達成確率（深井推計）         40〜45%</w:t>
        <w:br/>
        <w:t>コンセンサス¥8,000M達成確率（深井推計）      65〜70%</w:t>
      </w:r>
    </w:p>
    <w:p/>
    <w:p>
      <w:pPr>
        <w:pStyle w:val="Heading4"/>
      </w:pPr>
      <w:r>
        <w:rPr>
          <w:rFonts w:ascii="Meiryo UI" w:hAnsi="Meiryo UI"/>
          <w:color w:val="2E74B5"/>
        </w:rPr>
        <w:t>2-C. 達成に必要な前提条件の定量整理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必要条件</w:t>
            </w:r>
          </w:p>
        </w:tc>
        <w:tc>
          <w:tcPr>
            <w:tcW w:type="dxa" w:w="3135"/>
            <w:shd w:val="clear" w:color="auto" w:fill="2E74B5"/>
          </w:tcPr>
          <w:p>
            <w:r>
              <w:rPr>
                <w:rFonts w:ascii="Meiryo UI" w:hAnsi="Meiryo UI"/>
                <w:b/>
                <w:color w:val="FFFFFF"/>
                <w:sz w:val="18"/>
              </w:rPr>
              <w:t>定量目標</w:t>
            </w:r>
          </w:p>
        </w:tc>
        <w:tc>
          <w:tcPr>
            <w:tcW w:type="dxa" w:w="3135"/>
            <w:shd w:val="clear" w:color="auto" w:fill="2E74B5"/>
          </w:tcPr>
          <w:p>
            <w:r>
              <w:rPr>
                <w:rFonts w:ascii="Meiryo UI" w:hAnsi="Meiryo UI"/>
                <w:b/>
                <w:color w:val="FFFFFF"/>
                <w:sz w:val="18"/>
              </w:rPr>
              <w:t>現実性評価</w:t>
            </w:r>
          </w:p>
        </w:tc>
      </w:tr>
      <w:tr>
        <w:tc>
          <w:tcPr>
            <w:tcW w:type="dxa" w:w="3135"/>
          </w:tcPr>
          <w:p>
            <w:r>
              <w:rPr>
                <w:rFonts w:ascii="Meiryo UI" w:hAnsi="Meiryo UI"/>
                <w:sz w:val="18"/>
              </w:rPr>
              <w:t>既存店売上高前年比</w:t>
            </w:r>
          </w:p>
        </w:tc>
        <w:tc>
          <w:tcPr>
            <w:tcW w:type="dxa" w:w="3135"/>
          </w:tcPr>
          <w:p>
            <w:r>
              <w:rPr>
                <w:rFonts w:ascii="Meiryo UI" w:hAnsi="Meiryo UI"/>
                <w:sz w:val="18"/>
              </w:rPr>
              <w:t>+3〜+5%（食品インフレ価格転嫁）</w:t>
            </w:r>
          </w:p>
        </w:tc>
        <w:tc>
          <w:tcPr>
            <w:tcW w:type="dxa" w:w="3135"/>
          </w:tcPr>
          <w:p>
            <w:r>
              <w:rPr>
                <w:rFonts w:ascii="Meiryo UI" w:hAnsi="Meiryo UI"/>
                <w:sz w:val="18"/>
              </w:rPr>
              <w:t>◎（食品インフレ環境では達成可能）</w:t>
            </w:r>
          </w:p>
        </w:tc>
      </w:tr>
      <w:tr>
        <w:tc>
          <w:tcPr>
            <w:tcW w:type="dxa" w:w="3135"/>
            <w:shd w:val="clear" w:color="auto" w:fill="DDEBF7"/>
          </w:tcPr>
          <w:p>
            <w:r>
              <w:rPr>
                <w:rFonts w:ascii="Meiryo UI" w:hAnsi="Meiryo UI"/>
                <w:sz w:val="18"/>
              </w:rPr>
              <w:t>粗利率改善</w:t>
            </w:r>
          </w:p>
        </w:tc>
        <w:tc>
          <w:tcPr>
            <w:tcW w:type="dxa" w:w="3135"/>
            <w:shd w:val="clear" w:color="auto" w:fill="DDEBF7"/>
          </w:tcPr>
          <w:p>
            <w:r>
              <w:rPr>
                <w:rFonts w:ascii="Meiryo UI" w:hAnsi="Meiryo UI"/>
                <w:sz w:val="18"/>
              </w:rPr>
              <w:t>現状比+0.3〜0.5%pt</w:t>
            </w:r>
          </w:p>
        </w:tc>
        <w:tc>
          <w:tcPr>
            <w:tcW w:type="dxa" w:w="3135"/>
            <w:shd w:val="clear" w:color="auto" w:fill="DDEBF7"/>
          </w:tcPr>
          <w:p>
            <w:r>
              <w:rPr>
                <w:rFonts w:ascii="Meiryo UI" w:hAnsi="Meiryo UI"/>
                <w:sz w:val="18"/>
              </w:rPr>
              <w:t>△（コスト圧力との綱引き）</w:t>
            </w:r>
          </w:p>
        </w:tc>
      </w:tr>
      <w:tr>
        <w:tc>
          <w:tcPr>
            <w:tcW w:type="dxa" w:w="3135"/>
          </w:tcPr>
          <w:p>
            <w:r>
              <w:rPr>
                <w:rFonts w:ascii="Meiryo UI" w:hAnsi="Meiryo UI"/>
                <w:sz w:val="18"/>
              </w:rPr>
              <w:t>販管費率低下</w:t>
            </w:r>
          </w:p>
        </w:tc>
        <w:tc>
          <w:tcPr>
            <w:tcW w:type="dxa" w:w="3135"/>
          </w:tcPr>
          <w:p>
            <w:r>
              <w:rPr>
                <w:rFonts w:ascii="Meiryo UI" w:hAnsi="Meiryo UI"/>
                <w:sz w:val="18"/>
              </w:rPr>
              <w:t>現状比▲0.8〜1.0%pt</w:t>
            </w:r>
          </w:p>
        </w:tc>
        <w:tc>
          <w:tcPr>
            <w:tcW w:type="dxa" w:w="3135"/>
          </w:tcPr>
          <w:p>
            <w:r>
              <w:rPr>
                <w:rFonts w:ascii="Meiryo UI" w:hAnsi="Meiryo UI"/>
                <w:sz w:val="18"/>
              </w:rPr>
              <w:t>○（店舗スリム化通年化で達成可能）</w:t>
            </w:r>
          </w:p>
        </w:tc>
      </w:tr>
      <w:tr>
        <w:tc>
          <w:tcPr>
            <w:tcW w:type="dxa" w:w="3135"/>
            <w:shd w:val="clear" w:color="auto" w:fill="DDEBF7"/>
          </w:tcPr>
          <w:p>
            <w:r>
              <w:rPr>
                <w:rFonts w:ascii="Meiryo UI" w:hAnsi="Meiryo UI"/>
                <w:sz w:val="18"/>
              </w:rPr>
              <w:t>イオンシナジー積み増し</w:t>
            </w:r>
          </w:p>
        </w:tc>
        <w:tc>
          <w:tcPr>
            <w:tcW w:type="dxa" w:w="3135"/>
            <w:shd w:val="clear" w:color="auto" w:fill="DDEBF7"/>
          </w:tcPr>
          <w:p>
            <w:r>
              <w:rPr>
                <w:rFonts w:ascii="Meiryo UI" w:hAnsi="Meiryo UI"/>
                <w:sz w:val="18"/>
              </w:rPr>
              <w:t>+¥1,000M以上</w:t>
            </w:r>
          </w:p>
        </w:tc>
        <w:tc>
          <w:tcPr>
            <w:tcW w:type="dxa" w:w="3135"/>
            <w:shd w:val="clear" w:color="auto" w:fill="DDEBF7"/>
          </w:tcPr>
          <w:p>
            <w:r>
              <w:rPr>
                <w:rFonts w:ascii="Meiryo UI" w:hAnsi="Meiryo UI"/>
                <w:sz w:val="18"/>
              </w:rPr>
              <w:t>△（実現には12〜18ヶ月のリードタイム）</w:t>
            </w:r>
          </w:p>
        </w:tc>
      </w:tr>
      <w:tr>
        <w:tc>
          <w:tcPr>
            <w:tcW w:type="dxa" w:w="3135"/>
          </w:tcPr>
          <w:p>
            <w:r>
              <w:rPr>
                <w:rFonts w:ascii="Meiryo UI" w:hAnsi="Meiryo UI"/>
                <w:sz w:val="18"/>
              </w:rPr>
              <w:t>新店寄与（純増）</w:t>
            </w:r>
          </w:p>
        </w:tc>
        <w:tc>
          <w:tcPr>
            <w:tcW w:type="dxa" w:w="3135"/>
          </w:tcPr>
          <w:p>
            <w:r>
              <w:rPr>
                <w:rFonts w:ascii="Meiryo UI" w:hAnsi="Meiryo UI"/>
                <w:sz w:val="18"/>
              </w:rPr>
              <w:t>5〜8店舗の黒字化</w:t>
            </w:r>
          </w:p>
        </w:tc>
        <w:tc>
          <w:tcPr>
            <w:tcW w:type="dxa" w:w="3135"/>
          </w:tcPr>
          <w:p>
            <w:r>
              <w:rPr>
                <w:rFonts w:ascii="Meiryo UI" w:hAnsi="Meiryo UI"/>
                <w:sz w:val="18"/>
              </w:rPr>
              <w:t>○（スクラップ&amp;ビルド後の稼働想定）</w:t>
            </w:r>
          </w:p>
        </w:tc>
      </w:tr>
    </w:tbl>
    <w:p/>
    <w:p>
      <w:pPr>
        <w:pStyle w:val="Heading4"/>
      </w:pPr>
      <w:r>
        <w:rPr>
          <w:rFonts w:ascii="Meiryo UI" w:hAnsi="Meiryo UI"/>
          <w:color w:val="2E74B5"/>
        </w:rPr>
        <w:t>2-D. 過去の会社計画達成率パターン</w:t>
      </w:r>
    </w:p>
    <w:p/>
    <w:p>
      <w:r>
        <w:rPr>
          <w:rFonts w:ascii="Meiryo UI" w:hAnsi="Meiryo UI"/>
          <w:sz w:val="20"/>
        </w:rPr>
        <w:t>一般的なスーパーマーケット持株会社の計画達成率パターンと、USMH過去の傾向（業界知識ベース）を以下に整理する：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w:t>
            </w:r>
          </w:p>
        </w:tc>
        <w:tc>
          <w:tcPr>
            <w:tcW w:type="dxa" w:w="3135"/>
            <w:shd w:val="clear" w:color="auto" w:fill="2E74B5"/>
          </w:tcPr>
          <w:p>
            <w:r>
              <w:rPr>
                <w:rFonts w:ascii="Meiryo UI" w:hAnsi="Meiryo UI"/>
                <w:b/>
                <w:color w:val="FFFFFF"/>
                <w:sz w:val="18"/>
              </w:rPr>
              <w:t>計画パターン</w:t>
            </w:r>
          </w:p>
        </w:tc>
        <w:tc>
          <w:tcPr>
            <w:tcW w:type="dxa" w:w="3135"/>
            <w:shd w:val="clear" w:color="auto" w:fill="2E74B5"/>
          </w:tcPr>
          <w:p>
            <w:r>
              <w:rPr>
                <w:rFonts w:ascii="Meiryo UI" w:hAnsi="Meiryo UI"/>
                <w:b/>
                <w:color w:val="FFFFFF"/>
                <w:sz w:val="18"/>
              </w:rPr>
              <w:t>達成率傾向</w:t>
            </w:r>
          </w:p>
        </w:tc>
      </w:tr>
      <w:tr>
        <w:tc>
          <w:tcPr>
            <w:tcW w:type="dxa" w:w="3135"/>
          </w:tcPr>
          <w:p>
            <w:r>
              <w:rPr>
                <w:rFonts w:ascii="Meiryo UI" w:hAnsi="Meiryo UI"/>
                <w:sz w:val="18"/>
              </w:rPr>
              <w:t>通常期</w:t>
            </w:r>
          </w:p>
        </w:tc>
        <w:tc>
          <w:tcPr>
            <w:tcW w:type="dxa" w:w="3135"/>
          </w:tcPr>
          <w:p>
            <w:r>
              <w:rPr>
                <w:rFonts w:ascii="Meiryo UI" w:hAnsi="Meiryo UI"/>
                <w:sz w:val="18"/>
              </w:rPr>
              <w:t>やや保守的（コンセンサス±10%以内）</w:t>
            </w:r>
          </w:p>
        </w:tc>
        <w:tc>
          <w:tcPr>
            <w:tcW w:type="dxa" w:w="3135"/>
          </w:tcPr>
          <w:p>
            <w:r>
              <w:rPr>
                <w:rFonts w:ascii="Meiryo UI" w:hAnsi="Meiryo UI"/>
                <w:sz w:val="18"/>
              </w:rPr>
              <w:t>85〜95%達成</w:t>
            </w:r>
          </w:p>
        </w:tc>
      </w:tr>
      <w:tr>
        <w:tc>
          <w:tcPr>
            <w:tcW w:type="dxa" w:w="3135"/>
            <w:shd w:val="clear" w:color="auto" w:fill="DDEBF7"/>
          </w:tcPr>
          <w:p>
            <w:r>
              <w:rPr>
                <w:rFonts w:ascii="Meiryo UI" w:hAnsi="Meiryo UI"/>
                <w:sz w:val="18"/>
              </w:rPr>
              <w:t>構造改革期（今回）</w:t>
            </w:r>
          </w:p>
        </w:tc>
        <w:tc>
          <w:tcPr>
            <w:tcW w:type="dxa" w:w="3135"/>
            <w:shd w:val="clear" w:color="auto" w:fill="DDEBF7"/>
          </w:tcPr>
          <w:p>
            <w:r>
              <w:rPr>
                <w:rFonts w:ascii="Meiryo UI" w:hAnsi="Meiryo UI"/>
                <w:sz w:val="18"/>
              </w:rPr>
              <w:t>強気（コンセンサス+25%超）</w:t>
            </w:r>
          </w:p>
        </w:tc>
        <w:tc>
          <w:tcPr>
            <w:tcW w:type="dxa" w:w="3135"/>
            <w:shd w:val="clear" w:color="auto" w:fill="DDEBF7"/>
          </w:tcPr>
          <w:p>
            <w:r>
              <w:rPr>
                <w:rFonts w:ascii="Meiryo UI" w:hAnsi="Meiryo UI"/>
                <w:sz w:val="18"/>
              </w:rPr>
              <w:t>60〜75%達成が業界平均</w:t>
            </w:r>
          </w:p>
        </w:tc>
      </w:tr>
      <w:tr>
        <w:tc>
          <w:tcPr>
            <w:tcW w:type="dxa" w:w="3135"/>
          </w:tcPr>
          <w:p>
            <w:r>
              <w:rPr>
                <w:rFonts w:ascii="Meiryo UI" w:hAnsi="Meiryo UI"/>
                <w:sz w:val="18"/>
              </w:rPr>
              <w:t>前回構造改革期（2018〜2019）</w:t>
            </w:r>
          </w:p>
        </w:tc>
        <w:tc>
          <w:tcPr>
            <w:tcW w:type="dxa" w:w="3135"/>
          </w:tcPr>
          <w:p>
            <w:r>
              <w:rPr>
                <w:rFonts w:ascii="Meiryo UI" w:hAnsi="Meiryo UI"/>
                <w:sz w:val="18"/>
              </w:rPr>
              <w:t>強気計画</w:t>
            </w:r>
          </w:p>
        </w:tc>
        <w:tc>
          <w:tcPr>
            <w:tcW w:type="dxa" w:w="3135"/>
          </w:tcPr>
          <w:p>
            <w:r>
              <w:rPr>
                <w:rFonts w:ascii="Meiryo UI" w:hAnsi="Meiryo UI"/>
                <w:sz w:val="18"/>
              </w:rPr>
              <w:t>80%前後達成（業界参照）</w:t>
            </w:r>
          </w:p>
        </w:tc>
      </w:tr>
    </w:tbl>
    <w:p/>
    <w:p>
      <w:r>
        <w:rPr>
          <w:rFonts w:ascii="Meiryo UI" w:hAnsi="Meiryo UI"/>
          <w:sz w:val="20"/>
        </w:rPr>
        <w:t>&gt; 深井判断: 今回の¥10,000M計画は「構造改革後の正常化ベース」として会社が示した上限シナリオと解釈すべき。コンセンサス¥8,000Mへの収束確率（65〜70%）が現実的な中央値。¥10,000M達成は40〜45%と評価し、BUY判断のトリガーはQ1進捗（¥2,500M以上）確認後とする。</w:t>
      </w:r>
    </w:p>
    <w:p/>
    <w:p>
      <w:r>
        <w:t>──────────────────────────────────────────────────</w:t>
      </w:r>
    </w:p>
    <w:p/>
    <w:p>
      <w:pPr>
        <w:pStyle w:val="Heading3"/>
      </w:pPr>
      <w:r>
        <w:rPr>
          <w:rFonts w:ascii="Meiryo UI" w:hAnsi="Meiryo UI"/>
          <w:color w:val="2E74B5"/>
        </w:rPr>
        <w:t>③ 食品インフレ・価格転嫁局面での収益構造</w:t>
      </w:r>
    </w:p>
    <w:p/>
    <w:p>
      <w:pPr>
        <w:pStyle w:val="Heading4"/>
      </w:pPr>
      <w:r>
        <w:rPr>
          <w:rFonts w:ascii="Meiryo UI" w:hAnsi="Meiryo UI"/>
          <w:color w:val="2E74B5"/>
        </w:rPr>
        <w:t>3-A. ホルムズ危機→食品価格連鎖のメカニズム</w:t>
      </w:r>
    </w:p>
    <w:p/>
    <w:p>
      <w:pPr>
        <w:shd w:val="clear" w:color="auto" w:fill="F2F2F2"/>
      </w:pPr>
      <w:r>
        <w:rPr>
          <w:rFonts w:ascii="Courier New" w:hAnsi="Courier New"/>
          <w:sz w:val="16"/>
        </w:rPr>
        <w:t>【ホルムズ危機→スーパーマーケット収益への連鎖】</w:t>
        <w:br/>
        <w:br/>
        <w:t>WTI $114.82/bbl（+推計+40〜50%高）</w:t>
        <w:br/>
        <w:t xml:space="preserve">    ↓</w:t>
        <w:br/>
        <w:t>① 農業用燃料・肥料価格高騰（天然ガス$2.80は比較的落ち着き→</w:t>
        <w:br/>
        <w:t xml:space="preserve">   ただしナフサ・石油化学系肥料は油価連動で高騰）</w:t>
        <w:br/>
        <w:t xml:space="preserve">    ↓</w:t>
        <w:br/>
        <w:t>② 食品原材料コスト上昇（小麦・大豆・食用油→加工食品）</w:t>
        <w:br/>
        <w:t xml:space="preserve">    ↓</w:t>
        <w:br/>
        <w:t>③ 農産物・畜産物価格上昇（飼料高騰）</w:t>
        <w:br/>
        <w:t xml:space="preserve">    ↓</w:t>
        <w:br/>
        <w:t>④ スーパーの仕入れコスト上昇（▲粗利圧迫）</w:t>
        <w:br/>
        <w:br/>
        <w:t>【スーパーマーケットへの影響：価格転嫁のタイムラグ】</w:t>
        <w:br/>
        <w:br/>
        <w:t>仕入れコスト上昇（即時）</w:t>
        <w:br/>
        <w:t xml:space="preserve">    ↓ 2〜4ヶ月のタイムラグ</w:t>
        <w:br/>
        <w:t>店頭価格値上げ（消費者への転嫁）</w:t>
        <w:br/>
        <w:t xml:space="preserve">    ↓</w:t>
        <w:br/>
        <w:t>客数減（ショック初期：3〜6ヶ月）</w:t>
        <w:br/>
        <w:t xml:space="preserve">    ↓</w:t>
        <w:br/>
        <w:t>客単価上昇・売上高増（転嫁定着後：6〜12ヶ月）</w:t>
        <w:br/>
        <w:t xml:space="preserve">    ↓</w:t>
        <w:br/>
        <w:t>粗利率の回復（転嫁完了後：12〜18ヶ月）</w:t>
      </w:r>
    </w:p>
    <w:p/>
    <w:p>
      <w:pPr>
        <w:pStyle w:val="Heading4"/>
      </w:pPr>
      <w:r>
        <w:rPr>
          <w:rFonts w:ascii="Meiryo UI" w:hAnsi="Meiryo UI"/>
          <w:color w:val="2E74B5"/>
        </w:rPr>
        <w:t>3-B. 食品インフレ環境でのスーパー収益変化（過去事例）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局面</w:t>
            </w:r>
          </w:p>
        </w:tc>
        <w:tc>
          <w:tcPr>
            <w:tcW w:type="dxa" w:w="1881"/>
            <w:shd w:val="clear" w:color="auto" w:fill="2E74B5"/>
          </w:tcPr>
          <w:p>
            <w:r>
              <w:rPr>
                <w:rFonts w:ascii="Meiryo UI" w:hAnsi="Meiryo UI"/>
                <w:b/>
                <w:color w:val="FFFFFF"/>
                <w:sz w:val="18"/>
              </w:rPr>
              <w:t>事例</w:t>
            </w:r>
          </w:p>
        </w:tc>
        <w:tc>
          <w:tcPr>
            <w:tcW w:type="dxa" w:w="1881"/>
            <w:shd w:val="clear" w:color="auto" w:fill="2E74B5"/>
          </w:tcPr>
          <w:p>
            <w:r>
              <w:rPr>
                <w:rFonts w:ascii="Meiryo UI" w:hAnsi="Meiryo UI"/>
                <w:b/>
                <w:color w:val="FFFFFF"/>
                <w:sz w:val="18"/>
              </w:rPr>
              <w:t>売上変化</w:t>
            </w:r>
          </w:p>
        </w:tc>
        <w:tc>
          <w:tcPr>
            <w:tcW w:type="dxa" w:w="1881"/>
            <w:shd w:val="clear" w:color="auto" w:fill="2E74B5"/>
          </w:tcPr>
          <w:p>
            <w:r>
              <w:rPr>
                <w:rFonts w:ascii="Meiryo UI" w:hAnsi="Meiryo UI"/>
                <w:b/>
                <w:color w:val="FFFFFF"/>
                <w:sz w:val="18"/>
              </w:rPr>
              <w:t>粗利率変化</w:t>
            </w:r>
          </w:p>
        </w:tc>
        <w:tc>
          <w:tcPr>
            <w:tcW w:type="dxa" w:w="1881"/>
            <w:shd w:val="clear" w:color="auto" w:fill="2E74B5"/>
          </w:tcPr>
          <w:p>
            <w:r>
              <w:rPr>
                <w:rFonts w:ascii="Meiryo UI" w:hAnsi="Meiryo UI"/>
                <w:b/>
                <w:color w:val="FFFFFF"/>
                <w:sz w:val="18"/>
              </w:rPr>
              <w:t>営業利益変化</w:t>
            </w:r>
          </w:p>
        </w:tc>
      </w:tr>
      <w:tr>
        <w:tc>
          <w:tcPr>
            <w:tcW w:type="dxa" w:w="1881"/>
          </w:tcPr>
          <w:p>
            <w:r>
              <w:rPr>
                <w:rFonts w:ascii="Meiryo UI" w:hAnsi="Meiryo UI"/>
                <w:sz w:val="18"/>
              </w:rPr>
              <w:t>インフレ初期（仕入高騰・転嫁遅れ）</w:t>
            </w:r>
          </w:p>
        </w:tc>
        <w:tc>
          <w:tcPr>
            <w:tcW w:type="dxa" w:w="1881"/>
          </w:tcPr>
          <w:p>
            <w:r>
              <w:rPr>
                <w:rFonts w:ascii="Meiryo UI" w:hAnsi="Meiryo UI"/>
                <w:sz w:val="18"/>
              </w:rPr>
              <w:t>2021〜2022年</w:t>
            </w:r>
          </w:p>
        </w:tc>
        <w:tc>
          <w:tcPr>
            <w:tcW w:type="dxa" w:w="1881"/>
          </w:tcPr>
          <w:p>
            <w:r>
              <w:rPr>
                <w:rFonts w:ascii="Meiryo UI" w:hAnsi="Meiryo UI"/>
                <w:sz w:val="18"/>
              </w:rPr>
              <w:t>+1〜+3%</w:t>
            </w:r>
          </w:p>
        </w:tc>
        <w:tc>
          <w:tcPr>
            <w:tcW w:type="dxa" w:w="1881"/>
          </w:tcPr>
          <w:p>
            <w:r>
              <w:rPr>
                <w:rFonts w:ascii="Meiryo UI" w:hAnsi="Meiryo UI"/>
                <w:sz w:val="18"/>
              </w:rPr>
              <w:t>▲0.5〜▲1.0%pt</w:t>
            </w:r>
          </w:p>
        </w:tc>
        <w:tc>
          <w:tcPr>
            <w:tcW w:type="dxa" w:w="1881"/>
          </w:tcPr>
          <w:p>
            <w:r>
              <w:rPr>
                <w:rFonts w:ascii="Meiryo UI" w:hAnsi="Meiryo UI"/>
                <w:sz w:val="18"/>
              </w:rPr>
              <w:t>▲20〜▲40%</w:t>
            </w:r>
          </w:p>
        </w:tc>
      </w:tr>
      <w:tr>
        <w:tc>
          <w:tcPr>
            <w:tcW w:type="dxa" w:w="1881"/>
            <w:shd w:val="clear" w:color="auto" w:fill="DDEBF7"/>
          </w:tcPr>
          <w:p>
            <w:r>
              <w:rPr>
                <w:rFonts w:ascii="Meiryo UI" w:hAnsi="Meiryo UI"/>
                <w:sz w:val="18"/>
              </w:rPr>
              <w:t>転嫁定着期（価格上昇×客単価↑）</w:t>
            </w:r>
          </w:p>
        </w:tc>
        <w:tc>
          <w:tcPr>
            <w:tcW w:type="dxa" w:w="1881"/>
            <w:shd w:val="clear" w:color="auto" w:fill="DDEBF7"/>
          </w:tcPr>
          <w:p>
            <w:r>
              <w:rPr>
                <w:rFonts w:ascii="Meiryo UI" w:hAnsi="Meiryo UI"/>
                <w:sz w:val="18"/>
              </w:rPr>
              <w:t>2023〜2024年</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横ばい〜+0.3%pt</w:t>
            </w:r>
          </w:p>
        </w:tc>
        <w:tc>
          <w:tcPr>
            <w:tcW w:type="dxa" w:w="1881"/>
            <w:shd w:val="clear" w:color="auto" w:fill="DDEBF7"/>
          </w:tcPr>
          <w:p>
            <w:r>
              <w:rPr>
                <w:rFonts w:ascii="Meiryo UI" w:hAnsi="Meiryo UI"/>
                <w:sz w:val="18"/>
              </w:rPr>
              <w:t>+10〜+30%</w:t>
            </w:r>
          </w:p>
        </w:tc>
      </w:tr>
      <w:tr>
        <w:tc>
          <w:tcPr>
            <w:tcW w:type="dxa" w:w="1881"/>
          </w:tcPr>
          <w:p>
            <w:r>
              <w:rPr>
                <w:rFonts w:ascii="Meiryo UI" w:hAnsi="Meiryo UI"/>
                <w:sz w:val="18"/>
              </w:rPr>
              <w:t>インフレ高止まり期（今回想定）</w:t>
            </w:r>
          </w:p>
        </w:tc>
        <w:tc>
          <w:tcPr>
            <w:tcW w:type="dxa" w:w="1881"/>
          </w:tcPr>
          <w:p>
            <w:r>
              <w:rPr>
                <w:rFonts w:ascii="Meiryo UI" w:hAnsi="Meiryo UI"/>
                <w:sz w:val="18"/>
              </w:rPr>
              <w:t>2025〜2026年（推計）</w:t>
            </w:r>
          </w:p>
        </w:tc>
        <w:tc>
          <w:tcPr>
            <w:tcW w:type="dxa" w:w="1881"/>
          </w:tcPr>
          <w:p>
            <w:r>
              <w:rPr>
                <w:rFonts w:ascii="Meiryo UI" w:hAnsi="Meiryo UI"/>
                <w:sz w:val="18"/>
              </w:rPr>
              <w:t>+2〜+5%</w:t>
            </w:r>
          </w:p>
        </w:tc>
        <w:tc>
          <w:tcPr>
            <w:tcW w:type="dxa" w:w="1881"/>
          </w:tcPr>
          <w:p>
            <w:r>
              <w:rPr>
                <w:rFonts w:ascii="Meiryo UI" w:hAnsi="Meiryo UI"/>
                <w:sz w:val="18"/>
              </w:rPr>
              <w:t>+0.2〜+0.5%pt</w:t>
            </w:r>
          </w:p>
        </w:tc>
        <w:tc>
          <w:tcPr>
            <w:tcW w:type="dxa" w:w="1881"/>
          </w:tcPr>
          <w:p>
            <w:r>
              <w:rPr>
                <w:rFonts w:ascii="Meiryo UI" w:hAnsi="Meiryo UI"/>
                <w:sz w:val="18"/>
              </w:rPr>
              <w:t>+15〜+40%</w:t>
            </w:r>
          </w:p>
        </w:tc>
      </w:tr>
    </w:tbl>
    <w:p/>
    <w:p>
      <w:r>
        <w:rPr>
          <w:rFonts w:ascii="Meiryo UI" w:hAnsi="Meiryo UI"/>
          <w:sz w:val="20"/>
        </w:rPr>
        <w:t>&gt; FY2026の▲10.1%売上減は「店舗整理・縮小」が主因であり、既存店ベースでは食品インフレによる客単価上昇（推計+2〜3%）がプラスに働いていたと推測される。FY2027はスリム化後の事業体制で食品インフレの恩恵を受けやすい構造となっており、売上回復+粗利率改善の同時実現が来期計画の核心シナリオ。</w:t>
      </w:r>
    </w:p>
    <w:p/>
    <w:p>
      <w:pPr>
        <w:pStyle w:val="Heading4"/>
      </w:pPr>
      <w:r>
        <w:rPr>
          <w:rFonts w:ascii="Meiryo UI" w:hAnsi="Meiryo UI"/>
          <w:color w:val="2E74B5"/>
        </w:rPr>
        <w:t>3-C. ブランド別価格競争力・差別化戦略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ブランド</w:t>
            </w:r>
          </w:p>
        </w:tc>
        <w:tc>
          <w:tcPr>
            <w:tcW w:type="dxa" w:w="2351"/>
            <w:shd w:val="clear" w:color="auto" w:fill="2E74B5"/>
          </w:tcPr>
          <w:p>
            <w:r>
              <w:rPr>
                <w:rFonts w:ascii="Meiryo UI" w:hAnsi="Meiryo UI"/>
                <w:b/>
                <w:color w:val="FFFFFF"/>
                <w:sz w:val="18"/>
              </w:rPr>
              <w:t>価格ポジション</w:t>
            </w:r>
          </w:p>
        </w:tc>
        <w:tc>
          <w:tcPr>
            <w:tcW w:type="dxa" w:w="2351"/>
            <w:shd w:val="clear" w:color="auto" w:fill="2E74B5"/>
          </w:tcPr>
          <w:p>
            <w:r>
              <w:rPr>
                <w:rFonts w:ascii="Meiryo UI" w:hAnsi="Meiryo UI"/>
                <w:b/>
                <w:color w:val="FFFFFF"/>
                <w:sz w:val="18"/>
              </w:rPr>
              <w:t>食品インフレ耐性</w:t>
            </w:r>
          </w:p>
        </w:tc>
        <w:tc>
          <w:tcPr>
            <w:tcW w:type="dxa" w:w="2351"/>
            <w:shd w:val="clear" w:color="auto" w:fill="2E74B5"/>
          </w:tcPr>
          <w:p>
            <w:r>
              <w:rPr>
                <w:rFonts w:ascii="Meiryo UI" w:hAnsi="Meiryo UI"/>
                <w:b/>
                <w:color w:val="FFFFFF"/>
                <w:sz w:val="18"/>
              </w:rPr>
              <w:t>差別化軸</w:t>
            </w:r>
          </w:p>
        </w:tc>
      </w:tr>
      <w:tr>
        <w:tc>
          <w:tcPr>
            <w:tcW w:type="dxa" w:w="2351"/>
          </w:tcPr>
          <w:p>
            <w:r>
              <w:rPr>
                <w:rFonts w:ascii="Meiryo UI" w:hAnsi="Meiryo UI"/>
                <w:sz w:val="18"/>
              </w:rPr>
              <w:t>マルエツ</w:t>
            </w:r>
          </w:p>
        </w:tc>
        <w:tc>
          <w:tcPr>
            <w:tcW w:type="dxa" w:w="2351"/>
          </w:tcPr>
          <w:p>
            <w:r>
              <w:rPr>
                <w:rFonts w:ascii="Meiryo UI" w:hAnsi="Meiryo UI"/>
                <w:sz w:val="18"/>
              </w:rPr>
              <w:t>ミドル〜プレミアム</w:t>
            </w:r>
          </w:p>
        </w:tc>
        <w:tc>
          <w:tcPr>
            <w:tcW w:type="dxa" w:w="2351"/>
          </w:tcPr>
          <w:p>
            <w:r>
              <w:rPr>
                <w:rFonts w:ascii="Meiryo UI" w:hAnsi="Meiryo UI"/>
                <w:sz w:val="18"/>
              </w:rPr>
              <w:t>◎高（都市型・高客単価）</w:t>
            </w:r>
          </w:p>
        </w:tc>
        <w:tc>
          <w:tcPr>
            <w:tcW w:type="dxa" w:w="2351"/>
          </w:tcPr>
          <w:p>
            <w:r>
              <w:rPr>
                <w:rFonts w:ascii="Meiryo UI" w:hAnsi="Meiryo UI"/>
                <w:sz w:val="18"/>
              </w:rPr>
              <w:t>利便性・都市近接・惣菜強化</w:t>
            </w:r>
          </w:p>
        </w:tc>
      </w:tr>
      <w:tr>
        <w:tc>
          <w:tcPr>
            <w:tcW w:type="dxa" w:w="2351"/>
            <w:shd w:val="clear" w:color="auto" w:fill="DDEBF7"/>
          </w:tcPr>
          <w:p>
            <w:r>
              <w:rPr>
                <w:rFonts w:ascii="Meiryo UI" w:hAnsi="Meiryo UI"/>
                <w:sz w:val="18"/>
              </w:rPr>
              <w:t>カスミ</w:t>
            </w:r>
          </w:p>
        </w:tc>
        <w:tc>
          <w:tcPr>
            <w:tcW w:type="dxa" w:w="2351"/>
            <w:shd w:val="clear" w:color="auto" w:fill="DDEBF7"/>
          </w:tcPr>
          <w:p>
            <w:r>
              <w:rPr>
                <w:rFonts w:ascii="Meiryo UI" w:hAnsi="Meiryo UI"/>
                <w:sz w:val="18"/>
              </w:rPr>
              <w:t>ミドル</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北関東ドミナント・地域密着</w:t>
            </w:r>
          </w:p>
        </w:tc>
      </w:tr>
      <w:tr>
        <w:tc>
          <w:tcPr>
            <w:tcW w:type="dxa" w:w="2351"/>
          </w:tcPr>
          <w:p>
            <w:r>
              <w:rPr>
                <w:rFonts w:ascii="Meiryo UI" w:hAnsi="Meiryo UI"/>
                <w:sz w:val="18"/>
              </w:rPr>
              <w:t>マックスバリュ関東</w:t>
            </w:r>
          </w:p>
        </w:tc>
        <w:tc>
          <w:tcPr>
            <w:tcW w:type="dxa" w:w="2351"/>
          </w:tcPr>
          <w:p>
            <w:r>
              <w:rPr>
                <w:rFonts w:ascii="Meiryo UI" w:hAnsi="Meiryo UI"/>
                <w:sz w:val="18"/>
              </w:rPr>
              <w:t>ロー〜ミドル</w:t>
            </w:r>
          </w:p>
        </w:tc>
        <w:tc>
          <w:tcPr>
            <w:tcW w:type="dxa" w:w="2351"/>
          </w:tcPr>
          <w:p>
            <w:r>
              <w:rPr>
                <w:rFonts w:ascii="Meiryo UI" w:hAnsi="Meiryo UI"/>
                <w:sz w:val="18"/>
              </w:rPr>
              <w:t>△中低（価格敏感層多い）</w:t>
            </w:r>
          </w:p>
        </w:tc>
        <w:tc>
          <w:tcPr>
            <w:tcW w:type="dxa" w:w="2351"/>
          </w:tcPr>
          <w:p>
            <w:r>
              <w:rPr>
                <w:rFonts w:ascii="Meiryo UI" w:hAnsi="Meiryo UI"/>
                <w:sz w:val="18"/>
              </w:rPr>
              <w:t>トップバリュPB・EDLP志向</w:t>
            </w:r>
          </w:p>
        </w:tc>
      </w:tr>
    </w:tbl>
    <w:p/>
    <w:p>
      <w:r>
        <w:rPr>
          <w:rFonts w:ascii="Meiryo UI" w:hAnsi="Meiryo UI"/>
          <w:sz w:val="20"/>
        </w:rPr>
        <w:t>食品インフレ環境での勝ち組はマルエツ（高所得者層・都市部・価格転嫁受容性高）。マックスバリュ関東は業務スーパー・ドンキとの競合激化リスク大。</w:t>
      </w:r>
    </w:p>
    <w:p/>
    <w:p>
      <w:r>
        <w:t>──────────────────────────────────────────────────</w:t>
      </w:r>
    </w:p>
    <w:p/>
    <w:p>
      <w:pPr>
        <w:pStyle w:val="Heading3"/>
      </w:pPr>
      <w:r>
        <w:rPr>
          <w:rFonts w:ascii="Meiryo UI" w:hAnsi="Meiryo UI"/>
          <w:color w:val="2E74B5"/>
        </w:rPr>
        <w:t>④ イオングループシナジーの評価</w:t>
      </w:r>
    </w:p>
    <w:p/>
    <w:p>
      <w:pPr>
        <w:pStyle w:val="Heading4"/>
      </w:pPr>
      <w:r>
        <w:rPr>
          <w:rFonts w:ascii="Meiryo UI" w:hAnsi="Meiryo UI"/>
          <w:color w:val="2E74B5"/>
        </w:rPr>
        <w:t>4-A. 現在のシナジー効果</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シナジー項目</w:t>
            </w:r>
          </w:p>
        </w:tc>
        <w:tc>
          <w:tcPr>
            <w:tcW w:type="dxa" w:w="3135"/>
            <w:shd w:val="clear" w:color="auto" w:fill="2E74B5"/>
          </w:tcPr>
          <w:p>
            <w:r>
              <w:rPr>
                <w:rFonts w:ascii="Meiryo UI" w:hAnsi="Meiryo UI"/>
                <w:b/>
                <w:color w:val="FFFFFF"/>
                <w:sz w:val="18"/>
              </w:rPr>
              <w:t>推計効果（年間）</w:t>
            </w:r>
          </w:p>
        </w:tc>
        <w:tc>
          <w:tcPr>
            <w:tcW w:type="dxa" w:w="3135"/>
            <w:shd w:val="clear" w:color="auto" w:fill="2E74B5"/>
          </w:tcPr>
          <w:p>
            <w:r>
              <w:rPr>
                <w:rFonts w:ascii="Meiryo UI" w:hAnsi="Meiryo UI"/>
                <w:b/>
                <w:color w:val="FFFFFF"/>
                <w:sz w:val="18"/>
              </w:rPr>
              <w:t>現状進捗</w:t>
            </w:r>
          </w:p>
        </w:tc>
      </w:tr>
      <w:tr>
        <w:tc>
          <w:tcPr>
            <w:tcW w:type="dxa" w:w="3135"/>
          </w:tcPr>
          <w:p>
            <w:r>
              <w:rPr>
                <w:rFonts w:ascii="Meiryo UI" w:hAnsi="Meiryo UI"/>
                <w:sz w:val="18"/>
              </w:rPr>
              <w:t>仕入れ共同化（イオン経由一括調達）</w:t>
            </w:r>
          </w:p>
        </w:tc>
        <w:tc>
          <w:tcPr>
            <w:tcW w:type="dxa" w:w="3135"/>
          </w:tcPr>
          <w:p>
            <w:r>
              <w:rPr>
                <w:rFonts w:ascii="Meiryo UI" w:hAnsi="Meiryo UI"/>
                <w:sz w:val="18"/>
              </w:rPr>
              <w:t>+¥1,500M〜+¥2,000M</w:t>
            </w:r>
          </w:p>
        </w:tc>
        <w:tc>
          <w:tcPr>
            <w:tcW w:type="dxa" w:w="3135"/>
          </w:tcPr>
          <w:p>
            <w:r>
              <w:rPr>
                <w:rFonts w:ascii="Meiryo UI" w:hAnsi="Meiryo UI"/>
                <w:sz w:val="18"/>
              </w:rPr>
              <w:t>実施済み（60〜70%）</w:t>
            </w:r>
          </w:p>
        </w:tc>
      </w:tr>
      <w:tr>
        <w:tc>
          <w:tcPr>
            <w:tcW w:type="dxa" w:w="3135"/>
            <w:shd w:val="clear" w:color="auto" w:fill="DDEBF7"/>
          </w:tcPr>
          <w:p>
            <w:r>
              <w:rPr>
                <w:rFonts w:ascii="Meiryo UI" w:hAnsi="Meiryo UI"/>
                <w:sz w:val="18"/>
              </w:rPr>
              <w:t>物流共有（DCセンター共同利用）</w:t>
            </w:r>
          </w:p>
        </w:tc>
        <w:tc>
          <w:tcPr>
            <w:tcW w:type="dxa" w:w="3135"/>
            <w:shd w:val="clear" w:color="auto" w:fill="DDEBF7"/>
          </w:tcPr>
          <w:p>
            <w:r>
              <w:rPr>
                <w:rFonts w:ascii="Meiryo UI" w:hAnsi="Meiryo UI"/>
                <w:sz w:val="18"/>
              </w:rPr>
              <w:t>+¥300M〜+¥500M</w:t>
            </w:r>
          </w:p>
        </w:tc>
        <w:tc>
          <w:tcPr>
            <w:tcW w:type="dxa" w:w="3135"/>
            <w:shd w:val="clear" w:color="auto" w:fill="DDEBF7"/>
          </w:tcPr>
          <w:p>
            <w:r>
              <w:rPr>
                <w:rFonts w:ascii="Meiryo UI" w:hAnsi="Meiryo UI"/>
                <w:sz w:val="18"/>
              </w:rPr>
              <w:t>部分実施</w:t>
            </w:r>
          </w:p>
        </w:tc>
      </w:tr>
      <w:tr>
        <w:tc>
          <w:tcPr>
            <w:tcW w:type="dxa" w:w="3135"/>
          </w:tcPr>
          <w:p>
            <w:r>
              <w:rPr>
                <w:rFonts w:ascii="Meiryo UI" w:hAnsi="Meiryo UI"/>
                <w:sz w:val="18"/>
              </w:rPr>
              <w:t>トップバリュPB（粗利率+3〜5%pt）</w:t>
            </w:r>
          </w:p>
        </w:tc>
        <w:tc>
          <w:tcPr>
            <w:tcW w:type="dxa" w:w="3135"/>
          </w:tcPr>
          <w:p>
            <w:r>
              <w:rPr>
                <w:rFonts w:ascii="Meiryo UI" w:hAnsi="Meiryo UI"/>
                <w:sz w:val="18"/>
              </w:rPr>
              <w:t>+¥800M〜+¥1,200M</w:t>
            </w:r>
          </w:p>
        </w:tc>
        <w:tc>
          <w:tcPr>
            <w:tcW w:type="dxa" w:w="3135"/>
          </w:tcPr>
          <w:p>
            <w:r>
              <w:rPr>
                <w:rFonts w:ascii="Meiryo UI" w:hAnsi="Meiryo UI"/>
                <w:sz w:val="18"/>
              </w:rPr>
              <w:t>実施中（売上比率25〜30%推計）</w:t>
            </w:r>
          </w:p>
        </w:tc>
      </w:tr>
      <w:tr>
        <w:tc>
          <w:tcPr>
            <w:tcW w:type="dxa" w:w="3135"/>
            <w:shd w:val="clear" w:color="auto" w:fill="DDEBF7"/>
          </w:tcPr>
          <w:p>
            <w:r>
              <w:rPr>
                <w:rFonts w:ascii="Meiryo UI" w:hAnsi="Meiryo UI"/>
                <w:sz w:val="18"/>
              </w:rPr>
              <w:t>IT/システム共通化</w:t>
            </w:r>
          </w:p>
        </w:tc>
        <w:tc>
          <w:tcPr>
            <w:tcW w:type="dxa" w:w="3135"/>
            <w:shd w:val="clear" w:color="auto" w:fill="DDEBF7"/>
          </w:tcPr>
          <w:p>
            <w:r>
              <w:rPr>
                <w:rFonts w:ascii="Meiryo UI" w:hAnsi="Meiryo UI"/>
                <w:sz w:val="18"/>
              </w:rPr>
              <w:t>+¥200M〜+¥300M</w:t>
            </w:r>
          </w:p>
        </w:tc>
        <w:tc>
          <w:tcPr>
            <w:tcW w:type="dxa" w:w="3135"/>
            <w:shd w:val="clear" w:color="auto" w:fill="DDEBF7"/>
          </w:tcPr>
          <w:p>
            <w:r>
              <w:rPr>
                <w:rFonts w:ascii="Meiryo UI" w:hAnsi="Meiryo UI"/>
                <w:sz w:val="18"/>
              </w:rPr>
              <w:t>進行中</w:t>
            </w:r>
          </w:p>
        </w:tc>
      </w:tr>
      <w:tr>
        <w:tc>
          <w:tcPr>
            <w:tcW w:type="dxa" w:w="3135"/>
          </w:tcPr>
          <w:p>
            <w:r>
              <w:rPr>
                <w:rFonts w:ascii="Meiryo UI" w:hAnsi="Meiryo UI"/>
                <w:sz w:val="18"/>
              </w:rPr>
              <w:t>合計（推計）</w:t>
            </w:r>
          </w:p>
        </w:tc>
        <w:tc>
          <w:tcPr>
            <w:tcW w:type="dxa" w:w="3135"/>
          </w:tcPr>
          <w:p>
            <w:r>
              <w:rPr>
                <w:rFonts w:ascii="Meiryo UI" w:hAnsi="Meiryo UI"/>
                <w:sz w:val="18"/>
              </w:rPr>
              <w:t>+¥2,800M〜+¥4,000M/年</w:t>
            </w:r>
          </w:p>
        </w:tc>
        <w:tc>
          <w:tcPr>
            <w:tcW w:type="dxa" w:w="3135"/>
          </w:tcPr>
          <w:p>
            <w:r>
              <w:rPr>
                <w:rFonts w:ascii="Meiryo UI" w:hAnsi="Meiryo UI"/>
                <w:sz w:val="18"/>
              </w:rPr>
              <w:t>稼働率70〜75%</w:t>
            </w:r>
          </w:p>
        </w:tc>
      </w:tr>
    </w:tbl>
    <w:p/>
    <w:p>
      <w:pPr>
        <w:pStyle w:val="Heading4"/>
      </w:pPr>
      <w:r>
        <w:rPr>
          <w:rFonts w:ascii="Meiryo UI" w:hAnsi="Meiryo UI"/>
          <w:color w:val="2E74B5"/>
        </w:rPr>
        <w:t>4-B. 深化余地（FY2027〜2028想定）</w:t>
      </w:r>
    </w:p>
    <w:p/>
    <w:p>
      <w:pPr>
        <w:shd w:val="clear" w:color="auto" w:fill="F2F2F2"/>
      </w:pPr>
      <w:r>
        <w:rPr>
          <w:rFonts w:ascii="Courier New" w:hAnsi="Courier New"/>
          <w:sz w:val="16"/>
        </w:rPr>
        <w:t>現状シナジー: ¥2,800M〜¥4,000M（稼働率70〜75%）</w:t>
        <w:br/>
        <w:t xml:space="preserve">    ↓ 未実施分の実現</w:t>
        <w:br/>
        <w:t>追加余地: +¥800M〜+¥1,200M</w:t>
        <w:br/>
        <w:t xml:space="preserve">  ① 物流センター統合完了       +¥300M〜+¥400M</w:t>
        <w:br/>
        <w:t xml:space="preserve">  ② 青果・鮮魚共同調達拡大     +¥200M〜+¥300M</w:t>
        <w:br/>
        <w:t xml:space="preserve">  ③ PB比率35%以上への引上げ   +¥300M〜+¥500M</w:t>
        <w:br/>
        <w:t>完全稼働時シナジー: ¥3,600M〜¥5,200M/年</w:t>
      </w:r>
    </w:p>
    <w:p/>
    <w:p>
      <w:pPr>
        <w:pStyle w:val="Heading4"/>
      </w:pPr>
      <w:r>
        <w:rPr>
          <w:rFonts w:ascii="Meiryo UI" w:hAnsi="Meiryo UI"/>
          <w:color w:val="2E74B5"/>
        </w:rPr>
        <w:t>4-C. イオンによるTOB・完全子会社化リスク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確率（深井推計）</w:t>
            </w:r>
          </w:p>
        </w:tc>
        <w:tc>
          <w:tcPr>
            <w:tcW w:type="dxa" w:w="2351"/>
            <w:shd w:val="clear" w:color="auto" w:fill="2E74B5"/>
          </w:tcPr>
          <w:p>
            <w:r>
              <w:rPr>
                <w:rFonts w:ascii="Meiryo UI" w:hAnsi="Meiryo UI"/>
                <w:b/>
                <w:color w:val="FFFFFF"/>
                <w:sz w:val="18"/>
              </w:rPr>
              <w:t>想定プレミアム</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TOB実施（2〜3年以内）</w:t>
            </w:r>
          </w:p>
        </w:tc>
        <w:tc>
          <w:tcPr>
            <w:tcW w:type="dxa" w:w="2351"/>
          </w:tcPr>
          <w:p>
            <w:r>
              <w:rPr>
                <w:rFonts w:ascii="Meiryo UI" w:hAnsi="Meiryo UI"/>
                <w:sz w:val="18"/>
              </w:rPr>
              <w:t>25〜35%</w:t>
            </w:r>
          </w:p>
        </w:tc>
        <w:tc>
          <w:tcPr>
            <w:tcW w:type="dxa" w:w="2351"/>
          </w:tcPr>
          <w:p>
            <w:r>
              <w:rPr>
                <w:rFonts w:ascii="Meiryo UI" w:hAnsi="Meiryo UI"/>
                <w:sz w:val="18"/>
              </w:rPr>
              <w:t>+20〜+35%（¥1,120〜¥1,260）</w:t>
            </w:r>
          </w:p>
        </w:tc>
        <w:tc>
          <w:tcPr>
            <w:tcW w:type="dxa" w:w="2351"/>
          </w:tcPr>
          <w:p>
            <w:r>
              <w:rPr>
                <w:rFonts w:ascii="Meiryo UI" w:hAnsi="Meiryo UI"/>
                <w:sz w:val="18"/>
              </w:rPr>
              <w:t>大幅ポジティブ</w:t>
            </w:r>
          </w:p>
        </w:tc>
      </w:tr>
      <w:tr>
        <w:tc>
          <w:tcPr>
            <w:tcW w:type="dxa" w:w="2351"/>
            <w:shd w:val="clear" w:color="auto" w:fill="DDEBF7"/>
          </w:tcPr>
          <w:p>
            <w:r>
              <w:rPr>
                <w:rFonts w:ascii="Meiryo UI" w:hAnsi="Meiryo UI"/>
                <w:sz w:val="18"/>
              </w:rPr>
              <w:t>TOB検討・観測報道</w:t>
            </w:r>
          </w:p>
        </w:tc>
        <w:tc>
          <w:tcPr>
            <w:tcW w:type="dxa" w:w="2351"/>
            <w:shd w:val="clear" w:color="auto" w:fill="DDEBF7"/>
          </w:tcPr>
          <w:p>
            <w:r>
              <w:rPr>
                <w:rFonts w:ascii="Meiryo UI" w:hAnsi="Meiryo UI"/>
                <w:sz w:val="18"/>
              </w:rPr>
              <w:t>20〜30%</w:t>
            </w:r>
          </w:p>
        </w:tc>
        <w:tc>
          <w:tcPr>
            <w:tcW w:type="dxa" w:w="2351"/>
            <w:shd w:val="clear" w:color="auto" w:fill="DDEBF7"/>
          </w:tcPr>
          <w:p>
            <w:r>
              <w:rPr>
                <w:rFonts w:ascii="Meiryo UI" w:hAnsi="Meiryo UI"/>
                <w:sz w:val="18"/>
              </w:rPr>
              <w:t>期待先行で+10〜15%</w:t>
            </w:r>
          </w:p>
        </w:tc>
        <w:tc>
          <w:tcPr>
            <w:tcW w:type="dxa" w:w="2351"/>
            <w:shd w:val="clear" w:color="auto" w:fill="DDEBF7"/>
          </w:tcPr>
          <w:p>
            <w:r>
              <w:rPr>
                <w:rFonts w:ascii="Meiryo UI" w:hAnsi="Meiryo UI"/>
                <w:sz w:val="18"/>
              </w:rPr>
              <w:t>中程度ポジティブ</w:t>
            </w:r>
          </w:p>
        </w:tc>
      </w:tr>
      <w:tr>
        <w:tc>
          <w:tcPr>
            <w:tcW w:type="dxa" w:w="2351"/>
          </w:tcPr>
          <w:p>
            <w:r>
              <w:rPr>
                <w:rFonts w:ascii="Meiryo UI" w:hAnsi="Meiryo UI"/>
                <w:sz w:val="18"/>
              </w:rPr>
              <w:t>現状維持（上場継続）</w:t>
            </w:r>
          </w:p>
        </w:tc>
        <w:tc>
          <w:tcPr>
            <w:tcW w:type="dxa" w:w="2351"/>
          </w:tcPr>
          <w:p>
            <w:r>
              <w:rPr>
                <w:rFonts w:ascii="Meiryo UI" w:hAnsi="Meiryo UI"/>
                <w:sz w:val="18"/>
              </w:rPr>
              <w:t>40〜50%</w:t>
            </w:r>
          </w:p>
        </w:tc>
        <w:tc>
          <w:tcPr>
            <w:tcW w:type="dxa" w:w="2351"/>
          </w:tcPr>
          <w:p>
            <w:r>
              <w:rPr>
                <w:rFonts w:ascii="Meiryo UI" w:hAnsi="Meiryo UI"/>
                <w:sz w:val="18"/>
              </w:rPr>
              <w:t>—</w:t>
            </w:r>
          </w:p>
        </w:tc>
        <w:tc>
          <w:tcPr>
            <w:tcW w:type="dxa" w:w="2351"/>
          </w:tcPr>
          <w:p>
            <w:r>
              <w:rPr>
                <w:rFonts w:ascii="Meiryo UI" w:hAnsi="Meiryo UI"/>
                <w:sz w:val="18"/>
              </w:rPr>
              <w:t>中立</w:t>
            </w:r>
          </w:p>
        </w:tc>
      </w:tr>
    </w:tbl>
    <w:p/>
    <w:p>
      <w:r>
        <w:rPr>
          <w:rFonts w:ascii="Meiryo UI" w:hAnsi="Meiryo UI"/>
          <w:sz w:val="20"/>
        </w:rPr>
        <w:t>&gt; 深井コメント: イオンは近年、傘下上場子会社の完全子会社化を積極推進（イオンリテール統合等の歴史あり）。USMHがPBR0.92倍と純資産割れ水準にある今は、TOBコストが低く実施しやすい環境。完全子会社化思惑はダウンサイドを限定する"保険"として機能す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直近FY実績（FY2026/2月期）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実績値</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業界平均比較</w:t>
            </w:r>
          </w:p>
        </w:tc>
      </w:tr>
      <w:tr>
        <w:tc>
          <w:tcPr>
            <w:tcW w:type="dxa" w:w="2351"/>
          </w:tcPr>
          <w:p>
            <w:r>
              <w:rPr>
                <w:rFonts w:ascii="Meiryo UI" w:hAnsi="Meiryo UI"/>
                <w:sz w:val="18"/>
              </w:rPr>
              <w:t>売上高</w:t>
            </w:r>
          </w:p>
        </w:tc>
        <w:tc>
          <w:tcPr>
            <w:tcW w:type="dxa" w:w="2351"/>
          </w:tcPr>
          <w:p>
            <w:r>
              <w:rPr>
                <w:rFonts w:ascii="Meiryo UI" w:hAnsi="Meiryo UI"/>
                <w:sz w:val="18"/>
              </w:rPr>
              <w:t>¥247,825M</w:t>
            </w:r>
          </w:p>
        </w:tc>
        <w:tc>
          <w:tcPr>
            <w:tcW w:type="dxa" w:w="2351"/>
          </w:tcPr>
          <w:p>
            <w:r>
              <w:rPr>
                <w:rFonts w:ascii="Meiryo UI" w:hAnsi="Meiryo UI"/>
                <w:sz w:val="18"/>
              </w:rPr>
              <w:t>▲10.1%</w:t>
            </w:r>
          </w:p>
        </w:tc>
        <w:tc>
          <w:tcPr>
            <w:tcW w:type="dxa" w:w="2351"/>
          </w:tcPr>
          <w:p>
            <w:r>
              <w:rPr>
                <w:rFonts w:ascii="Meiryo UI" w:hAnsi="Meiryo UI"/>
                <w:sz w:val="18"/>
              </w:rPr>
              <w:t>店舗整理要因</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¥4,666M</w:t>
            </w:r>
          </w:p>
        </w:tc>
        <w:tc>
          <w:tcPr>
            <w:tcW w:type="dxa" w:w="2351"/>
            <w:shd w:val="clear" w:color="auto" w:fill="DDEBF7"/>
          </w:tcPr>
          <w:p>
            <w:r>
              <w:rPr>
                <w:rFonts w:ascii="Meiryo UI" w:hAnsi="Meiryo UI"/>
                <w:sz w:val="18"/>
              </w:rPr>
              <w:t>▲33.7%</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営業利益率</w:t>
            </w:r>
          </w:p>
        </w:tc>
        <w:tc>
          <w:tcPr>
            <w:tcW w:type="dxa" w:w="2351"/>
          </w:tcPr>
          <w:p>
            <w:r>
              <w:rPr>
                <w:rFonts w:ascii="Meiryo UI" w:hAnsi="Meiryo UI"/>
                <w:sz w:val="18"/>
              </w:rPr>
              <w:t>1.88%</w:t>
            </w:r>
          </w:p>
        </w:tc>
        <w:tc>
          <w:tcPr>
            <w:tcW w:type="dxa" w:w="2351"/>
          </w:tcPr>
          <w:p>
            <w:r>
              <w:rPr>
                <w:rFonts w:ascii="Meiryo UI" w:hAnsi="Meiryo UI"/>
                <w:sz w:val="18"/>
              </w:rPr>
              <w:t>▲1.0%pt</w:t>
            </w:r>
          </w:p>
        </w:tc>
        <w:tc>
          <w:tcPr>
            <w:tcW w:type="dxa" w:w="2351"/>
          </w:tcPr>
          <w:p>
            <w:r>
              <w:rPr>
                <w:rFonts w:ascii="Meiryo UI" w:hAnsi="Meiryo UI"/>
                <w:sz w:val="18"/>
              </w:rPr>
              <w:t>業界平均1.5〜2.5%（中位）</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¥4,712M</w:t>
            </w:r>
          </w:p>
        </w:tc>
        <w:tc>
          <w:tcPr>
            <w:tcW w:type="dxa" w:w="2351"/>
            <w:shd w:val="clear" w:color="auto" w:fill="DDEBF7"/>
          </w:tcPr>
          <w:p>
            <w:r>
              <w:rPr>
                <w:rFonts w:ascii="Meiryo UI" w:hAnsi="Meiryo UI"/>
                <w:sz w:val="18"/>
              </w:rPr>
              <w:t>▲34.2%</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純利益</w:t>
            </w:r>
          </w:p>
        </w:tc>
        <w:tc>
          <w:tcPr>
            <w:tcW w:type="dxa" w:w="2351"/>
          </w:tcPr>
          <w:p>
            <w:r>
              <w:rPr>
                <w:rFonts w:ascii="Meiryo UI" w:hAnsi="Meiryo UI"/>
                <w:sz w:val="18"/>
              </w:rPr>
              <w:t>▲¥1,317M</w:t>
            </w:r>
          </w:p>
        </w:tc>
        <w:tc>
          <w:tcPr>
            <w:tcW w:type="dxa" w:w="2351"/>
          </w:tcPr>
          <w:p>
            <w:r>
              <w:rPr>
                <w:rFonts w:ascii="Meiryo UI" w:hAnsi="Meiryo UI"/>
                <w:sz w:val="18"/>
              </w:rPr>
              <w:t>赤転</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¥16（yfinance値）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BPS</w:t>
            </w:r>
          </w:p>
        </w:tc>
        <w:tc>
          <w:tcPr>
            <w:tcW w:type="dxa" w:w="2351"/>
          </w:tcPr>
          <w:p>
            <w:r>
              <w:rPr>
                <w:rFonts w:ascii="Meiryo UI" w:hAnsi="Meiryo UI"/>
                <w:sz w:val="18"/>
              </w:rPr>
              <w:t>¥1,014（yfinance値）</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1.0%（yfinance値）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業界平均5〜8%（低位）</w:t>
            </w:r>
          </w:p>
        </w:tc>
      </w:tr>
    </w:tbl>
    <w:p/>
    <w:p>
      <w:pPr>
        <w:pStyle w:val="Heading3"/>
      </w:pPr>
      <w:r>
        <w:rPr>
          <w:rFonts w:ascii="Meiryo UI" w:hAnsi="Meiryo UI"/>
          <w:color w:val="2E74B5"/>
        </w:rPr>
        <w:t>3.2 バリュエーション指標（リアルタイム値）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現在株価</w:t>
            </w:r>
          </w:p>
        </w:tc>
        <w:tc>
          <w:tcPr>
            <w:tcW w:type="dxa" w:w="3135"/>
          </w:tcPr>
          <w:p>
            <w:r>
              <w:rPr>
                <w:rFonts w:ascii="Meiryo UI" w:hAnsi="Meiryo UI"/>
                <w:sz w:val="18"/>
              </w:rPr>
              <w:t>¥934</w:t>
            </w:r>
          </w:p>
        </w:tc>
        <w:tc>
          <w:tcPr>
            <w:tcW w:type="dxa" w:w="3135"/>
          </w:tcPr>
          <w:p>
            <w:r>
              <w:rPr>
                <w:rFonts w:ascii="Meiryo UI" w:hAnsi="Meiryo UI"/>
                <w:sz w:val="18"/>
              </w:rPr>
              <w:t>2026-04-07 16:09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0.92倍</w:t>
            </w:r>
          </w:p>
        </w:tc>
        <w:tc>
          <w:tcPr>
            <w:tcW w:type="dxa" w:w="3135"/>
            <w:shd w:val="clear" w:color="auto" w:fill="DDEBF7"/>
          </w:tcPr>
          <w:p>
            <w:r>
              <w:rPr>
                <w:rFonts w:ascii="Meiryo UI" w:hAnsi="Meiryo UI"/>
                <w:sz w:val="18"/>
              </w:rPr>
              <w:t>純資産割れ → 理論的下値サポート</w:t>
            </w:r>
          </w:p>
        </w:tc>
      </w:tr>
      <w:tr>
        <w:tc>
          <w:tcPr>
            <w:tcW w:type="dxa" w:w="3135"/>
          </w:tcPr>
          <w:p>
            <w:r>
              <w:rPr>
                <w:rFonts w:ascii="Meiryo UI" w:hAnsi="Meiryo UI"/>
                <w:sz w:val="18"/>
              </w:rPr>
              <w:t>BPS</w:t>
            </w:r>
          </w:p>
        </w:tc>
        <w:tc>
          <w:tcPr>
            <w:tcW w:type="dxa" w:w="3135"/>
          </w:tcPr>
          <w:p>
            <w:r>
              <w:rPr>
                <w:rFonts w:ascii="Meiryo UI" w:hAnsi="Meiryo UI"/>
                <w:sz w:val="18"/>
              </w:rPr>
              <w:t>¥1,014</w:t>
            </w:r>
          </w:p>
        </w:tc>
        <w:tc>
          <w:tcPr>
            <w:tcW w:type="dxa" w:w="3135"/>
          </w:tcPr>
          <w:p>
            <w:r>
              <w:rPr>
                <w:rFonts w:ascii="Meiryo UI" w:hAnsi="Meiryo UI"/>
                <w:sz w:val="18"/>
              </w:rPr>
              <w:t>現在株価比+8.6%のバッファ</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58.7倍</w:t>
            </w:r>
          </w:p>
        </w:tc>
        <w:tc>
          <w:tcPr>
            <w:tcW w:type="dxa" w:w="3135"/>
            <w:shd w:val="clear" w:color="auto" w:fill="DDEBF7"/>
          </w:tcPr>
          <w:p>
            <w:r>
              <w:rPr>
                <w:rFonts w:ascii="Meiryo UI" w:hAnsi="Meiryo UI"/>
                <w:sz w:val="18"/>
              </w:rPr>
              <w:t>EPS¥16ベース → 非常に高い（特損後の低EPS要因）</w:t>
            </w:r>
          </w:p>
        </w:tc>
      </w:tr>
      <w:tr>
        <w:tc>
          <w:tcPr>
            <w:tcW w:type="dxa" w:w="3135"/>
          </w:tcPr>
          <w:p>
            <w:r>
              <w:rPr>
                <w:rFonts w:ascii="Meiryo UI" w:hAnsi="Meiryo UI"/>
                <w:sz w:val="18"/>
              </w:rPr>
              <w:t>ROE</w:t>
            </w:r>
          </w:p>
        </w:tc>
        <w:tc>
          <w:tcPr>
            <w:tcW w:type="dxa" w:w="3135"/>
          </w:tcPr>
          <w:p>
            <w:r>
              <w:rPr>
                <w:rFonts w:ascii="Meiryo UI" w:hAnsi="Meiryo UI"/>
                <w:sz w:val="18"/>
              </w:rPr>
              <w:t>1.0%</w:t>
            </w:r>
          </w:p>
        </w:tc>
        <w:tc>
          <w:tcPr>
            <w:tcW w:type="dxa" w:w="3135"/>
          </w:tcPr>
          <w:p>
            <w:r>
              <w:rPr>
                <w:rFonts w:ascii="Meiryo UI" w:hAnsi="Meiryo UI"/>
                <w:sz w:val="18"/>
              </w:rPr>
              <w:t>超低位 → 来期改善必須</w:t>
            </w:r>
          </w:p>
        </w:tc>
      </w:tr>
    </w:tbl>
    <w:p/>
    <w:p>
      <w:r>
        <w:rPr>
          <w:rFonts w:ascii="Meiryo UI" w:hAnsi="Meiryo UI"/>
          <w:sz w:val="20"/>
        </w:rPr>
        <w:t>&gt; PER 58.7倍について: EPS¥16は純利益赤転直後（特損集中計上後）の実質的な低水準EPS。来期純利益¥150M（EPS≒¥2.5換算）では更に高PERとなる。PERはFY2027以降の正常化利益（¥3,000M〜¥5,000M、EPS¥50〜¥83）を前提とした先行指標として読む必要がある。</w:t>
      </w:r>
    </w:p>
    <w:p/>
    <w:p>
      <w:pPr>
        <w:pStyle w:val="Heading3"/>
      </w:pPr>
      <w:r>
        <w:rPr>
          <w:rFonts w:ascii="Meiryo UI" w:hAnsi="Meiryo UI"/>
          <w:color w:val="2E74B5"/>
        </w:rPr>
        <w:t>3.3 財務健全性指標（推計）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25〜30%（推計）</w:t>
            </w:r>
          </w:p>
        </w:tc>
        <w:tc>
          <w:tcPr>
            <w:tcW w:type="dxa" w:w="3135"/>
          </w:tcPr>
          <w:p>
            <w:r>
              <w:rPr>
                <w:rFonts w:ascii="Meiryo UI" w:hAnsi="Meiryo UI"/>
                <w:sz w:val="18"/>
              </w:rPr>
              <w:t>スーパー業界標準水準</w:t>
            </w:r>
          </w:p>
        </w:tc>
      </w:tr>
      <w:tr>
        <w:tc>
          <w:tcPr>
            <w:tcW w:type="dxa" w:w="3135"/>
            <w:shd w:val="clear" w:color="auto" w:fill="DDEBF7"/>
          </w:tcPr>
          <w:p>
            <w:r>
              <w:rPr>
                <w:rFonts w:ascii="Meiryo UI" w:hAnsi="Meiryo UI"/>
                <w:sz w:val="18"/>
              </w:rPr>
              <w:t>有利子負債（推計）</w:t>
            </w:r>
          </w:p>
        </w:tc>
        <w:tc>
          <w:tcPr>
            <w:tcW w:type="dxa" w:w="3135"/>
            <w:shd w:val="clear" w:color="auto" w:fill="DDEBF7"/>
          </w:tcPr>
          <w:p>
            <w:r>
              <w:rPr>
                <w:rFonts w:ascii="Meiryo UI" w:hAnsi="Meiryo UI"/>
                <w:sz w:val="18"/>
              </w:rPr>
              <w:t>¥60,000M〜¥80,000M</w:t>
            </w:r>
          </w:p>
        </w:tc>
        <w:tc>
          <w:tcPr>
            <w:tcW w:type="dxa" w:w="3135"/>
            <w:shd w:val="clear" w:color="auto" w:fill="DDEBF7"/>
          </w:tcPr>
          <w:p>
            <w:r>
              <w:rPr>
                <w:rFonts w:ascii="Meiryo UI" w:hAnsi="Meiryo UI"/>
                <w:sz w:val="18"/>
              </w:rPr>
              <w:t>店舗賃借・設備投資起因</w:t>
            </w:r>
          </w:p>
        </w:tc>
      </w:tr>
      <w:tr>
        <w:tc>
          <w:tcPr>
            <w:tcW w:type="dxa" w:w="3135"/>
          </w:tcPr>
          <w:p>
            <w:r>
              <w:rPr>
                <w:rFonts w:ascii="Meiryo UI" w:hAnsi="Meiryo UI"/>
                <w:sz w:val="18"/>
              </w:rPr>
              <w:t>ネットキャッシュ/デット</w:t>
            </w:r>
          </w:p>
        </w:tc>
        <w:tc>
          <w:tcPr>
            <w:tcW w:type="dxa" w:w="3135"/>
          </w:tcPr>
          <w:p>
            <w:r>
              <w:rPr>
                <w:rFonts w:ascii="Meiryo UI" w:hAnsi="Meiryo UI"/>
                <w:sz w:val="18"/>
              </w:rPr>
              <w:t>ネットデット（推計▲¥20,000M〜▲¥40,000M）</w:t>
            </w:r>
          </w:p>
        </w:tc>
        <w:tc>
          <w:tcPr>
            <w:tcW w:type="dxa" w:w="3135"/>
          </w:tcPr>
          <w:p>
            <w:r>
              <w:rPr>
                <w:rFonts w:ascii="Meiryo UI" w:hAnsi="Meiryo UI"/>
                <w:sz w:val="18"/>
              </w:rPr>
              <w:t>標準的</w:t>
            </w:r>
          </w:p>
        </w:tc>
      </w:tr>
      <w:tr>
        <w:tc>
          <w:tcPr>
            <w:tcW w:type="dxa" w:w="3135"/>
            <w:shd w:val="clear" w:color="auto" w:fill="DDEBF7"/>
          </w:tcPr>
          <w:p>
            <w:r>
              <w:rPr>
                <w:rFonts w:ascii="Meiryo UI" w:hAnsi="Meiryo UI"/>
                <w:sz w:val="18"/>
              </w:rPr>
              <w:t>配当（FY2026推計）</w:t>
            </w:r>
          </w:p>
        </w:tc>
        <w:tc>
          <w:tcPr>
            <w:tcW w:type="dxa" w:w="3135"/>
            <w:shd w:val="clear" w:color="auto" w:fill="DDEBF7"/>
          </w:tcPr>
          <w:p>
            <w:r>
              <w:rPr>
                <w:rFonts w:ascii="Meiryo UI" w:hAnsi="Meiryo UI"/>
                <w:sz w:val="18"/>
              </w:rPr>
              <w:t>¥8〜¥10/株（純利益赤転→減配リスク）</w:t>
            </w:r>
          </w:p>
        </w:tc>
        <w:tc>
          <w:tcPr>
            <w:tcW w:type="dxa" w:w="3135"/>
            <w:shd w:val="clear" w:color="auto" w:fill="DDEBF7"/>
          </w:tcPr>
          <w:p>
            <w:r>
              <w:rPr>
                <w:rFonts w:ascii="Meiryo UI" w:hAnsi="Meiryo UI"/>
                <w:sz w:val="18"/>
              </w:rPr>
              <w:t>要注意</w:t>
            </w:r>
          </w:p>
        </w:tc>
      </w:tr>
      <w:tr>
        <w:tc>
          <w:tcPr>
            <w:tcW w:type="dxa" w:w="3135"/>
          </w:tcPr>
          <w:p>
            <w:r>
              <w:rPr>
                <w:rFonts w:ascii="Meiryo UI" w:hAnsi="Meiryo UI"/>
                <w:sz w:val="18"/>
              </w:rPr>
              <w:t>配当利回り（¥934ベース）</w:t>
            </w:r>
          </w:p>
        </w:tc>
        <w:tc>
          <w:tcPr>
            <w:tcW w:type="dxa" w:w="3135"/>
          </w:tcPr>
          <w:p>
            <w:r>
              <w:rPr>
                <w:rFonts w:ascii="Meiryo UI" w:hAnsi="Meiryo UI"/>
                <w:sz w:val="18"/>
              </w:rPr>
              <w:t>0.85〜1.07%</w:t>
            </w:r>
          </w:p>
        </w:tc>
        <w:tc>
          <w:tcPr>
            <w:tcW w:type="dxa" w:w="3135"/>
          </w:tcPr>
          <w:p>
            <w:r>
              <w:rPr>
                <w:rFonts w:ascii="Meiryo UI" w:hAnsi="Meiryo UI"/>
                <w:sz w:val="18"/>
              </w:rPr>
              <w:t>低位</w:t>
            </w:r>
          </w:p>
        </w:tc>
      </w:tr>
    </w:tbl>
    <w:p/>
    <w:p>
      <w:pPr>
        <w:pStyle w:val="Heading4"/>
      </w:pPr>
      <w:r>
        <w:rPr>
          <w:rFonts w:ascii="Meiryo UI" w:hAnsi="Meiryo UI"/>
          <w:color w:val="2E74B5"/>
        </w:rPr>
        <w:t>配当政策への影響（減配リスク評価）</w:t>
      </w:r>
    </w:p>
    <w:p/>
    <w:p>
      <w:pPr>
        <w:shd w:val="clear" w:color="auto" w:fill="F2F2F2"/>
      </w:pPr>
      <w:r>
        <w:rPr>
          <w:rFonts w:ascii="Courier New" w:hAnsi="Courier New"/>
          <w:sz w:val="16"/>
        </w:rPr>
        <w:t>純利益赤転後の配当政策リスク:</w:t>
        <w:br/>
        <w:t xml:space="preserve">  ├── 通常: 純利益赤転 → 配当維持困難 → 減配または無配リスク</w:t>
        <w:br/>
        <w:t xml:space="preserve">  ├── ただし: イオン筆頭株主 → 株主還元維持の圧力あり（上場維持のため）</w:t>
        <w:br/>
        <w:t xml:space="preserve">  ├── 来期計画¥150Mの薄利 → 配当性向が過大になるリスク</w:t>
        <w:br/>
        <w:t xml:space="preserve">  └── 深井判断: 減配リスク中程度（50%）。無配リスク低（20%）。</w:t>
      </w:r>
    </w:p>
    <w:p/>
    <w:p>
      <w:r>
        <w:t>──────────────────────────────────────────────────</w:t>
      </w:r>
    </w:p>
    <w:p/>
    <w:p>
      <w:pPr>
        <w:pStyle w:val="Heading2"/>
      </w:pPr>
      <w:r>
        <w:rPr>
          <w:rFonts w:ascii="Meiryo UI" w:hAnsi="Meiryo UI"/>
          <w:color w:val="2E74B5"/>
        </w:rPr>
        <w:t>4. 不動産含み益NAV算出（⑥）</w:t>
      </w:r>
    </w:p>
    <w:p/>
    <w:p>
      <w:pPr>
        <w:pStyle w:val="Heading3"/>
      </w:pPr>
      <w:r>
        <w:rPr>
          <w:rFonts w:ascii="Meiryo UI" w:hAnsi="Meiryo UI"/>
          <w:color w:val="2E74B5"/>
        </w:rPr>
        <w:t>4.1 保有不動産の概要</w:t>
      </w:r>
    </w:p>
    <w:p/>
    <w:p>
      <w:r>
        <w:rPr>
          <w:rFonts w:ascii="Meiryo UI" w:hAnsi="Meiryo UI"/>
          <w:sz w:val="20"/>
        </w:rPr>
        <w:t>USMHグループは首都圏・北関東を中心に自社保有物件と賃借物件を混在して運営している。スーパーマーケット業界の平均的な保有比率は店舗数の20〜30%が自社保有と推定。</w:t>
      </w:r>
    </w:p>
    <w:p/>
    <w:p>
      <w:pPr>
        <w:pStyle w:val="Heading3"/>
      </w:pPr>
      <w:r>
        <w:rPr>
          <w:rFonts w:ascii="Meiryo UI" w:hAnsi="Meiryo UI"/>
          <w:color w:val="2E74B5"/>
        </w:rPr>
        <w:t>4.2 NAV推計プロセス</w:t>
      </w:r>
    </w:p>
    <w:p/>
    <w:p>
      <w:pPr>
        <w:shd w:val="clear" w:color="auto" w:fill="F2F2F2"/>
      </w:pPr>
      <w:r>
        <w:rPr>
          <w:rFonts w:ascii="Courier New" w:hAnsi="Courier New"/>
          <w:sz w:val="16"/>
        </w:rPr>
        <w:t>【保有店舗・土地の簿価 vs 時価推計】</w:t>
        <w:br/>
        <w:br/>
        <w:t>■ 対象エリアと時価評価倍率（路線価・取引事例ベース）</w:t>
        <w:br/>
        <w:t xml:space="preserve">  ① 東京都内（マルエツ中心）</w:t>
        <w:br/>
        <w:t xml:space="preserve">    簿価推計: ¥15,000M〜¥20,000M</w:t>
        <w:br/>
        <w:t xml:space="preserve">    時価倍率: 2.0〜3.0倍（都心・副都心立地の地価高騰）</w:t>
        <w:br/>
        <w:t xml:space="preserve">    時価推計: ¥30,000M〜¥60,000M</w:t>
        <w:br/>
        <w:t xml:space="preserve">    含み益:   +¥15,000M〜+¥40,000M</w:t>
        <w:br/>
        <w:br/>
        <w:t xml:space="preserve">  ② 神奈川・埼玉・千葉（マルエツ・MV関東）</w:t>
        <w:br/>
        <w:t xml:space="preserve">    簿価推計: ¥10,000M〜¥15,000M</w:t>
        <w:br/>
        <w:t xml:space="preserve">    時価倍率: 1.3〜1.8倍（郊外住宅地・駅前）</w:t>
        <w:br/>
        <w:t xml:space="preserve">    時価推計: ¥13,000M〜¥27,000M</w:t>
        <w:br/>
        <w:t xml:space="preserve">    含み益:   +¥3,000M〜+¥12,000M</w:t>
        <w:br/>
        <w:br/>
        <w:t xml:space="preserve">  ③ 茨城・栃木・群馬（カスミ中心）</w:t>
        <w:br/>
        <w:t xml:space="preserve">    簿価推計: ¥8,000M〜¥12,000M</w:t>
        <w:br/>
        <w:t xml:space="preserve">    時価倍率: 0.9〜1.2倍（地方・商圏縮小懸念）</w:t>
        <w:br/>
        <w:t xml:space="preserve">    時価推計: ¥7,200M〜¥14,400M</w:t>
        <w:br/>
        <w:t xml:space="preserve">    含み益:   ▲¥800M〜+¥2,400M</w:t>
        <w:br/>
        <w:br/>
        <w:t xml:space="preserve">  ④ 物流センター・本社等</w:t>
        <w:br/>
        <w:t xml:space="preserve">    簿価推計: ¥5,000M〜¥8,000M</w:t>
        <w:br/>
        <w:t xml:space="preserve">    時価倍率: 1.2〜1.5倍</w:t>
        <w:br/>
        <w:t xml:space="preserve">    時価推計: ¥6,000M〜¥12,000M</w:t>
        <w:br/>
        <w:t xml:space="preserve">    含み益:   +¥1,000M〜+¥4,000M</w:t>
      </w:r>
    </w:p>
    <w:p/>
    <w:p>
      <w:pPr>
        <w:pStyle w:val="Heading3"/>
      </w:pPr>
      <w:r>
        <w:rPr>
          <w:rFonts w:ascii="Meiryo UI" w:hAnsi="Meiryo UI"/>
          <w:color w:val="2E74B5"/>
        </w:rPr>
        <w:t>4.3 NAV合計と1株あたり含み益</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保守推計</w:t>
            </w:r>
          </w:p>
        </w:tc>
        <w:tc>
          <w:tcPr>
            <w:tcW w:type="dxa" w:w="2351"/>
            <w:shd w:val="clear" w:color="auto" w:fill="2E74B5"/>
          </w:tcPr>
          <w:p>
            <w:r>
              <w:rPr>
                <w:rFonts w:ascii="Meiryo UI" w:hAnsi="Meiryo UI"/>
                <w:b/>
                <w:color w:val="FFFFFF"/>
                <w:sz w:val="18"/>
              </w:rPr>
              <w:t>中央値</w:t>
            </w:r>
          </w:p>
        </w:tc>
        <w:tc>
          <w:tcPr>
            <w:tcW w:type="dxa" w:w="2351"/>
            <w:shd w:val="clear" w:color="auto" w:fill="2E74B5"/>
          </w:tcPr>
          <w:p>
            <w:r>
              <w:rPr>
                <w:rFonts w:ascii="Meiryo UI" w:hAnsi="Meiryo UI"/>
                <w:b/>
                <w:color w:val="FFFFFF"/>
                <w:sz w:val="18"/>
              </w:rPr>
              <w:t>楽観推計</w:t>
            </w:r>
          </w:p>
        </w:tc>
      </w:tr>
      <w:tr>
        <w:tc>
          <w:tcPr>
            <w:tcW w:type="dxa" w:w="2351"/>
          </w:tcPr>
          <w:p>
            <w:r>
              <w:rPr>
                <w:rFonts w:ascii="Meiryo UI" w:hAnsi="Meiryo UI"/>
                <w:sz w:val="18"/>
              </w:rPr>
              <w:t>不動産含み益（税前）</w:t>
            </w:r>
          </w:p>
        </w:tc>
        <w:tc>
          <w:tcPr>
            <w:tcW w:type="dxa" w:w="2351"/>
          </w:tcPr>
          <w:p>
            <w:r>
              <w:rPr>
                <w:rFonts w:ascii="Meiryo UI" w:hAnsi="Meiryo UI"/>
                <w:sz w:val="18"/>
              </w:rPr>
              <w:t>+¥18,200M</w:t>
            </w:r>
          </w:p>
        </w:tc>
        <w:tc>
          <w:tcPr>
            <w:tcW w:type="dxa" w:w="2351"/>
          </w:tcPr>
          <w:p>
            <w:r>
              <w:rPr>
                <w:rFonts w:ascii="Meiryo UI" w:hAnsi="Meiryo UI"/>
                <w:sz w:val="18"/>
              </w:rPr>
              <w:t>+¥30,000M</w:t>
            </w:r>
          </w:p>
        </w:tc>
        <w:tc>
          <w:tcPr>
            <w:tcW w:type="dxa" w:w="2351"/>
          </w:tcPr>
          <w:p>
            <w:r>
              <w:rPr>
                <w:rFonts w:ascii="Meiryo UI" w:hAnsi="Meiryo UI"/>
                <w:sz w:val="18"/>
              </w:rPr>
              <w:t>+¥58,400M</w:t>
            </w:r>
          </w:p>
        </w:tc>
      </w:tr>
      <w:tr>
        <w:tc>
          <w:tcPr>
            <w:tcW w:type="dxa" w:w="2351"/>
            <w:shd w:val="clear" w:color="auto" w:fill="DDEBF7"/>
          </w:tcPr>
          <w:p>
            <w:r>
              <w:rPr>
                <w:rFonts w:ascii="Meiryo UI" w:hAnsi="Meiryo UI"/>
                <w:sz w:val="18"/>
              </w:rPr>
              <w:t>税効果（▲30%）</w:t>
            </w:r>
          </w:p>
        </w:tc>
        <w:tc>
          <w:tcPr>
            <w:tcW w:type="dxa" w:w="2351"/>
            <w:shd w:val="clear" w:color="auto" w:fill="DDEBF7"/>
          </w:tcPr>
          <w:p>
            <w:r>
              <w:rPr>
                <w:rFonts w:ascii="Meiryo UI" w:hAnsi="Meiryo UI"/>
                <w:sz w:val="18"/>
              </w:rPr>
              <w:t>▲¥5,460M</w:t>
            </w:r>
          </w:p>
        </w:tc>
        <w:tc>
          <w:tcPr>
            <w:tcW w:type="dxa" w:w="2351"/>
            <w:shd w:val="clear" w:color="auto" w:fill="DDEBF7"/>
          </w:tcPr>
          <w:p>
            <w:r>
              <w:rPr>
                <w:rFonts w:ascii="Meiryo UI" w:hAnsi="Meiryo UI"/>
                <w:sz w:val="18"/>
              </w:rPr>
              <w:t>▲¥9,000M</w:t>
            </w:r>
          </w:p>
        </w:tc>
        <w:tc>
          <w:tcPr>
            <w:tcW w:type="dxa" w:w="2351"/>
            <w:shd w:val="clear" w:color="auto" w:fill="DDEBF7"/>
          </w:tcPr>
          <w:p>
            <w:r>
              <w:rPr>
                <w:rFonts w:ascii="Meiryo UI" w:hAnsi="Meiryo UI"/>
                <w:sz w:val="18"/>
              </w:rPr>
              <w:t>▲¥17,520M</w:t>
            </w:r>
          </w:p>
        </w:tc>
      </w:tr>
      <w:tr>
        <w:tc>
          <w:tcPr>
            <w:tcW w:type="dxa" w:w="2351"/>
          </w:tcPr>
          <w:p>
            <w:r>
              <w:rPr>
                <w:rFonts w:ascii="Meiryo UI" w:hAnsi="Meiryo UI"/>
                <w:sz w:val="18"/>
              </w:rPr>
              <w:t>税後含み益</w:t>
            </w:r>
          </w:p>
        </w:tc>
        <w:tc>
          <w:tcPr>
            <w:tcW w:type="dxa" w:w="2351"/>
          </w:tcPr>
          <w:p>
            <w:r>
              <w:rPr>
                <w:rFonts w:ascii="Meiryo UI" w:hAnsi="Meiryo UI"/>
                <w:sz w:val="18"/>
              </w:rPr>
              <w:t>+¥12,740M</w:t>
            </w:r>
          </w:p>
        </w:tc>
        <w:tc>
          <w:tcPr>
            <w:tcW w:type="dxa" w:w="2351"/>
          </w:tcPr>
          <w:p>
            <w:r>
              <w:rPr>
                <w:rFonts w:ascii="Meiryo UI" w:hAnsi="Meiryo UI"/>
                <w:sz w:val="18"/>
              </w:rPr>
              <w:t>+¥21,000M</w:t>
            </w:r>
          </w:p>
        </w:tc>
        <w:tc>
          <w:tcPr>
            <w:tcW w:type="dxa" w:w="2351"/>
          </w:tcPr>
          <w:p>
            <w:r>
              <w:rPr>
                <w:rFonts w:ascii="Meiryo UI" w:hAnsi="Meiryo UI"/>
                <w:sz w:val="18"/>
              </w:rPr>
              <w:t>+¥40,880M</w:t>
            </w:r>
          </w:p>
        </w:tc>
      </w:tr>
      <w:tr>
        <w:tc>
          <w:tcPr>
            <w:tcW w:type="dxa" w:w="2351"/>
            <w:shd w:val="clear" w:color="auto" w:fill="DDEBF7"/>
          </w:tcPr>
          <w:p>
            <w:r>
              <w:rPr>
                <w:rFonts w:ascii="Meiryo UI" w:hAnsi="Meiryo UI"/>
                <w:sz w:val="18"/>
              </w:rPr>
              <w:t>発行済株式数（推計）</w:t>
            </w:r>
          </w:p>
        </w:tc>
        <w:tc>
          <w:tcPr>
            <w:tcW w:type="dxa" w:w="2351"/>
            <w:shd w:val="clear" w:color="auto" w:fill="DDEBF7"/>
          </w:tcPr>
          <w:p>
            <w:r>
              <w:rPr>
                <w:rFonts w:ascii="Meiryo UI" w:hAnsi="Meiryo UI"/>
                <w:sz w:val="18"/>
              </w:rPr>
              <w:t>60,000千株</w:t>
            </w:r>
          </w:p>
        </w:tc>
        <w:tc>
          <w:tcPr>
            <w:tcW w:type="dxa" w:w="2351"/>
            <w:shd w:val="clear" w:color="auto" w:fill="DDEBF7"/>
          </w:tcPr>
          <w:p>
            <w:r>
              <w:rPr>
                <w:rFonts w:ascii="Meiryo UI" w:hAnsi="Meiryo UI"/>
                <w:sz w:val="18"/>
              </w:rPr>
              <w:t>60,000千株</w:t>
            </w:r>
          </w:p>
        </w:tc>
        <w:tc>
          <w:tcPr>
            <w:tcW w:type="dxa" w:w="2351"/>
            <w:shd w:val="clear" w:color="auto" w:fill="DDEBF7"/>
          </w:tcPr>
          <w:p>
            <w:r>
              <w:rPr>
                <w:rFonts w:ascii="Meiryo UI" w:hAnsi="Meiryo UI"/>
                <w:sz w:val="18"/>
              </w:rPr>
              <w:t>60,000千株</w:t>
            </w:r>
          </w:p>
        </w:tc>
      </w:tr>
      <w:tr>
        <w:tc>
          <w:tcPr>
            <w:tcW w:type="dxa" w:w="2351"/>
          </w:tcPr>
          <w:p>
            <w:r>
              <w:rPr>
                <w:rFonts w:ascii="Meiryo UI" w:hAnsi="Meiryo UI"/>
                <w:sz w:val="18"/>
              </w:rPr>
              <w:t>1株あたり含み益</w:t>
            </w:r>
          </w:p>
        </w:tc>
        <w:tc>
          <w:tcPr>
            <w:tcW w:type="dxa" w:w="2351"/>
          </w:tcPr>
          <w:p>
            <w:r>
              <w:rPr>
                <w:rFonts w:ascii="Meiryo UI" w:hAnsi="Meiryo UI"/>
                <w:sz w:val="18"/>
              </w:rPr>
              <w:t>+¥212</w:t>
            </w:r>
          </w:p>
        </w:tc>
        <w:tc>
          <w:tcPr>
            <w:tcW w:type="dxa" w:w="2351"/>
          </w:tcPr>
          <w:p>
            <w:r>
              <w:rPr>
                <w:rFonts w:ascii="Meiryo UI" w:hAnsi="Meiryo UI"/>
                <w:sz w:val="18"/>
              </w:rPr>
              <w:t>+¥350</w:t>
            </w:r>
          </w:p>
        </w:tc>
        <w:tc>
          <w:tcPr>
            <w:tcW w:type="dxa" w:w="2351"/>
          </w:tcPr>
          <w:p>
            <w:r>
              <w:rPr>
                <w:rFonts w:ascii="Meiryo UI" w:hAnsi="Meiryo UI"/>
                <w:sz w:val="18"/>
              </w:rPr>
              <w:t>+¥681</w:t>
            </w:r>
          </w:p>
        </w:tc>
      </w:tr>
    </w:tbl>
    <w:p/>
    <w:p>
      <w:pPr>
        <w:pStyle w:val="Heading3"/>
      </w:pPr>
      <w:r>
        <w:rPr>
          <w:rFonts w:ascii="Meiryo UI" w:hAnsi="Meiryo UI"/>
          <w:color w:val="2E74B5"/>
        </w:rPr>
        <w:t>4.4 NAV調整後の実質BPS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財務BPS</w:t>
            </w:r>
          </w:p>
        </w:tc>
        <w:tc>
          <w:tcPr>
            <w:tcW w:type="dxa" w:w="2351"/>
            <w:shd w:val="clear" w:color="auto" w:fill="2E74B5"/>
          </w:tcPr>
          <w:p>
            <w:r>
              <w:rPr>
                <w:rFonts w:ascii="Meiryo UI" w:hAnsi="Meiryo UI"/>
                <w:b/>
                <w:color w:val="FFFFFF"/>
                <w:sz w:val="18"/>
              </w:rPr>
              <w:t>含み益/株</w:t>
            </w:r>
          </w:p>
        </w:tc>
        <w:tc>
          <w:tcPr>
            <w:tcW w:type="dxa" w:w="2351"/>
            <w:shd w:val="clear" w:color="auto" w:fill="2E74B5"/>
          </w:tcPr>
          <w:p>
            <w:r>
              <w:rPr>
                <w:rFonts w:ascii="Meiryo UI" w:hAnsi="Meiryo UI"/>
                <w:b/>
                <w:color w:val="FFFFFF"/>
                <w:sz w:val="18"/>
              </w:rPr>
              <w:t>NAV-BPS</w:t>
            </w:r>
          </w:p>
        </w:tc>
      </w:tr>
      <w:tr>
        <w:tc>
          <w:tcPr>
            <w:tcW w:type="dxa" w:w="2351"/>
          </w:tcPr>
          <w:p>
            <w:r>
              <w:rPr>
                <w:rFonts w:ascii="Meiryo UI" w:hAnsi="Meiryo UI"/>
                <w:sz w:val="18"/>
              </w:rPr>
              <w:t>保守</w:t>
            </w:r>
          </w:p>
        </w:tc>
        <w:tc>
          <w:tcPr>
            <w:tcW w:type="dxa" w:w="2351"/>
          </w:tcPr>
          <w:p>
            <w:r>
              <w:rPr>
                <w:rFonts w:ascii="Meiryo UI" w:hAnsi="Meiryo UI"/>
                <w:sz w:val="18"/>
              </w:rPr>
              <w:t>¥1,014</w:t>
            </w:r>
          </w:p>
        </w:tc>
        <w:tc>
          <w:tcPr>
            <w:tcW w:type="dxa" w:w="2351"/>
          </w:tcPr>
          <w:p>
            <w:r>
              <w:rPr>
                <w:rFonts w:ascii="Meiryo UI" w:hAnsi="Meiryo UI"/>
                <w:sz w:val="18"/>
              </w:rPr>
              <w:t>+¥212</w:t>
            </w:r>
          </w:p>
        </w:tc>
        <w:tc>
          <w:tcPr>
            <w:tcW w:type="dxa" w:w="2351"/>
          </w:tcPr>
          <w:p>
            <w:r>
              <w:rPr>
                <w:rFonts w:ascii="Meiryo UI" w:hAnsi="Meiryo UI"/>
                <w:sz w:val="18"/>
              </w:rPr>
              <w:t>¥1,226</w:t>
            </w:r>
          </w:p>
        </w:tc>
      </w:tr>
      <w:tr>
        <w:tc>
          <w:tcPr>
            <w:tcW w:type="dxa" w:w="2351"/>
            <w:shd w:val="clear" w:color="auto" w:fill="DDEBF7"/>
          </w:tcPr>
          <w:p>
            <w:r>
              <w:rPr>
                <w:rFonts w:ascii="Meiryo UI" w:hAnsi="Meiryo UI"/>
                <w:sz w:val="18"/>
              </w:rPr>
              <w:t>中央値</w:t>
            </w:r>
          </w:p>
        </w:tc>
        <w:tc>
          <w:tcPr>
            <w:tcW w:type="dxa" w:w="2351"/>
            <w:shd w:val="clear" w:color="auto" w:fill="DDEBF7"/>
          </w:tcPr>
          <w:p>
            <w:r>
              <w:rPr>
                <w:rFonts w:ascii="Meiryo UI" w:hAnsi="Meiryo UI"/>
                <w:sz w:val="18"/>
              </w:rPr>
              <w:t>¥1,014</w:t>
            </w:r>
          </w:p>
        </w:tc>
        <w:tc>
          <w:tcPr>
            <w:tcW w:type="dxa" w:w="2351"/>
            <w:shd w:val="clear" w:color="auto" w:fill="DDEBF7"/>
          </w:tcPr>
          <w:p>
            <w:r>
              <w:rPr>
                <w:rFonts w:ascii="Meiryo UI" w:hAnsi="Meiryo UI"/>
                <w:sz w:val="18"/>
              </w:rPr>
              <w:t>+¥350</w:t>
            </w:r>
          </w:p>
        </w:tc>
        <w:tc>
          <w:tcPr>
            <w:tcW w:type="dxa" w:w="2351"/>
            <w:shd w:val="clear" w:color="auto" w:fill="DDEBF7"/>
          </w:tcPr>
          <w:p>
            <w:r>
              <w:rPr>
                <w:rFonts w:ascii="Meiryo UI" w:hAnsi="Meiryo UI"/>
                <w:sz w:val="18"/>
              </w:rPr>
              <w:t>¥1,364</w:t>
            </w:r>
          </w:p>
        </w:tc>
      </w:tr>
      <w:tr>
        <w:tc>
          <w:tcPr>
            <w:tcW w:type="dxa" w:w="2351"/>
          </w:tcPr>
          <w:p>
            <w:r>
              <w:rPr>
                <w:rFonts w:ascii="Meiryo UI" w:hAnsi="Meiryo UI"/>
                <w:sz w:val="18"/>
              </w:rPr>
              <w:t>楽観</w:t>
            </w:r>
          </w:p>
        </w:tc>
        <w:tc>
          <w:tcPr>
            <w:tcW w:type="dxa" w:w="2351"/>
          </w:tcPr>
          <w:p>
            <w:r>
              <w:rPr>
                <w:rFonts w:ascii="Meiryo UI" w:hAnsi="Meiryo UI"/>
                <w:sz w:val="18"/>
              </w:rPr>
              <w:t>¥1,014</w:t>
            </w:r>
          </w:p>
        </w:tc>
        <w:tc>
          <w:tcPr>
            <w:tcW w:type="dxa" w:w="2351"/>
          </w:tcPr>
          <w:p>
            <w:r>
              <w:rPr>
                <w:rFonts w:ascii="Meiryo UI" w:hAnsi="Meiryo UI"/>
                <w:sz w:val="18"/>
              </w:rPr>
              <w:t>+¥681</w:t>
            </w:r>
          </w:p>
        </w:tc>
        <w:tc>
          <w:tcPr>
            <w:tcW w:type="dxa" w:w="2351"/>
          </w:tcPr>
          <w:p>
            <w:r>
              <w:rPr>
                <w:rFonts w:ascii="Meiryo UI" w:hAnsi="Meiryo UI"/>
                <w:sz w:val="18"/>
              </w:rPr>
              <w:t>¥1,695</w:t>
            </w:r>
          </w:p>
        </w:tc>
      </w:tr>
    </w:tbl>
    <w:p/>
    <w:p>
      <w:r>
        <w:rPr>
          <w:rFonts w:ascii="Meiryo UI" w:hAnsi="Meiryo UI"/>
          <w:sz w:val="20"/>
        </w:rPr>
        <w:t>&gt; 深井判断: 現在株価¥934はNAV中央値¥1,364比で▲31.5%のディスカウントで取引されており、不動産含み益を考慮すれば実質的な割安度は高い。ただし、含み益は流動性が低く（スーパーの立地は容易に売却できない）、NAVプレミアムの実現には時間を要する。</w:t>
      </w:r>
    </w:p>
    <w:p/>
    <w:p>
      <w:r>
        <w:t>──────────────────────────────────────────────────</w:t>
      </w:r>
    </w:p>
    <w:p/>
    <w:p>
      <w:pPr>
        <w:pStyle w:val="Heading2"/>
      </w:pPr>
      <w:r>
        <w:rPr>
          <w:rFonts w:ascii="Meiryo UI" w:hAnsi="Meiryo UI"/>
          <w:color w:val="2E74B5"/>
        </w:rPr>
        <w:t>5. DCFバリュエーション（⑦）</w:t>
      </w:r>
    </w:p>
    <w:p/>
    <w:p>
      <w:pPr>
        <w:pStyle w:val="Heading3"/>
      </w:pPr>
      <w:r>
        <w:rPr>
          <w:rFonts w:ascii="Meiryo UI" w:hAnsi="Meiryo UI"/>
          <w:color w:val="2E74B5"/>
        </w:rPr>
        <w:t>5.1 DCF前提条件</w:t>
      </w:r>
    </w:p>
    <w:p/>
    <w:p>
      <w:pPr>
        <w:pStyle w:val="Heading4"/>
      </w:pPr>
      <w:r>
        <w:rPr>
          <w:rFonts w:ascii="Meiryo UI" w:hAnsi="Meiryo UI"/>
          <w:color w:val="2E74B5"/>
        </w:rPr>
        <w:t>基本前提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2.429%</w:t>
            </w:r>
          </w:p>
        </w:tc>
        <w:tc>
          <w:tcPr>
            <w:tcW w:type="dxa" w:w="3135"/>
          </w:tcPr>
          <w:p>
            <w:r>
              <w:rPr>
                <w:rFonts w:ascii="Meiryo UI" w:hAnsi="Meiryo UI"/>
                <w:sz w:val="18"/>
              </w:rPr>
              <w:t>日本10年国債（財務省 R8.4.6）</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2025推計）</w:t>
            </w:r>
          </w:p>
        </w:tc>
      </w:tr>
      <w:tr>
        <w:tc>
          <w:tcPr>
            <w:tcW w:type="dxa" w:w="3135"/>
          </w:tcPr>
          <w:p>
            <w:r>
              <w:rPr>
                <w:rFonts w:ascii="Meiryo UI" w:hAnsi="Meiryo UI"/>
                <w:sz w:val="18"/>
              </w:rPr>
              <w:t>β（ベータ）</w:t>
            </w:r>
          </w:p>
        </w:tc>
        <w:tc>
          <w:tcPr>
            <w:tcW w:type="dxa" w:w="3135"/>
          </w:tcPr>
          <w:p>
            <w:r>
              <w:rPr>
                <w:rFonts w:ascii="Meiryo UI" w:hAnsi="Meiryo UI"/>
                <w:sz w:val="18"/>
              </w:rPr>
              <w:t>0.55</w:t>
            </w:r>
          </w:p>
        </w:tc>
        <w:tc>
          <w:tcPr>
            <w:tcW w:type="dxa" w:w="3135"/>
          </w:tcPr>
          <w:p>
            <w:r>
              <w:rPr>
                <w:rFonts w:ascii="Meiryo UI" w:hAnsi="Meiryo UI"/>
                <w:sz w:val="18"/>
              </w:rPr>
              <w:t>食品スーパー業界・ディフェンシブ銘柄（低β）</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2.429% + 0.55 × 5.5% = 5.45%</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実効税率（Tc）</w:t>
            </w:r>
          </w:p>
        </w:tc>
        <w:tc>
          <w:tcPr>
            <w:tcW w:type="dxa" w:w="3135"/>
          </w:tcPr>
          <w:p>
            <w:r>
              <w:rPr>
                <w:rFonts w:ascii="Meiryo UI" w:hAnsi="Meiryo UI"/>
                <w:sz w:val="18"/>
              </w:rPr>
              <w:t>30%</w:t>
            </w:r>
          </w:p>
        </w:tc>
        <w:tc>
          <w:tcPr>
            <w:tcW w:type="dxa" w:w="3135"/>
          </w:tcPr>
          <w:p>
            <w:r>
              <w:rPr>
                <w:rFonts w:ascii="Meiryo UI" w:hAnsi="Meiryo UI"/>
                <w:sz w:val="18"/>
              </w:rPr>
              <w:t>日本法人税標準</w:t>
            </w:r>
          </w:p>
        </w:tc>
      </w:tr>
      <w:tr>
        <w:tc>
          <w:tcPr>
            <w:tcW w:type="dxa" w:w="3135"/>
            <w:shd w:val="clear" w:color="auto" w:fill="DDEBF7"/>
          </w:tcPr>
          <w:p>
            <w:r>
              <w:rPr>
                <w:rFonts w:ascii="Meiryo UI" w:hAnsi="Meiryo UI"/>
                <w:sz w:val="18"/>
              </w:rPr>
              <w:t>負債コスト（Rd）</w:t>
            </w:r>
          </w:p>
        </w:tc>
        <w:tc>
          <w:tcPr>
            <w:tcW w:type="dxa" w:w="3135"/>
            <w:shd w:val="clear" w:color="auto" w:fill="DDEBF7"/>
          </w:tcPr>
          <w:p>
            <w:r>
              <w:rPr>
                <w:rFonts w:ascii="Meiryo UI" w:hAnsi="Meiryo UI"/>
                <w:sz w:val="18"/>
              </w:rPr>
              <w:t>1.8%</w:t>
            </w:r>
          </w:p>
        </w:tc>
        <w:tc>
          <w:tcPr>
            <w:tcW w:type="dxa" w:w="3135"/>
            <w:shd w:val="clear" w:color="auto" w:fill="DDEBF7"/>
          </w:tcPr>
          <w:p>
            <w:r>
              <w:rPr>
                <w:rFonts w:ascii="Meiryo UI" w:hAnsi="Meiryo UI"/>
                <w:sz w:val="18"/>
              </w:rPr>
              <w:t>スーパー業界・投資適格水準</w:t>
            </w:r>
          </w:p>
        </w:tc>
      </w:tr>
      <w:tr>
        <w:tc>
          <w:tcPr>
            <w:tcW w:type="dxa" w:w="3135"/>
          </w:tcPr>
          <w:p>
            <w:r>
              <w:rPr>
                <w:rFonts w:ascii="Meiryo UI" w:hAnsi="Meiryo UI"/>
                <w:sz w:val="18"/>
              </w:rPr>
              <w:t>D/(D+E)</w:t>
            </w:r>
          </w:p>
        </w:tc>
        <w:tc>
          <w:tcPr>
            <w:tcW w:type="dxa" w:w="3135"/>
          </w:tcPr>
          <w:p>
            <w:r>
              <w:rPr>
                <w:rFonts w:ascii="Meiryo UI" w:hAnsi="Meiryo UI"/>
                <w:sz w:val="18"/>
              </w:rPr>
              <w:t>55%</w:t>
            </w:r>
          </w:p>
        </w:tc>
        <w:tc>
          <w:tcPr>
            <w:tcW w:type="dxa" w:w="3135"/>
          </w:tcPr>
          <w:p>
            <w:r>
              <w:rPr>
                <w:rFonts w:ascii="Meiryo UI" w:hAnsi="Meiryo UI"/>
                <w:sz w:val="18"/>
              </w:rPr>
              <w:t>スーパー業界標準（賃借債務含む）</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45%</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45% × 5.45% + 55% × 1.8% × (1-0.30)</w:t>
            </w:r>
          </w:p>
        </w:tc>
        <w:tc>
          <w:tcPr>
            <w:tcW w:type="dxa" w:w="3135"/>
          </w:tcPr>
          <w:p>
            <w:r>
              <w:rPr>
                <w:rFonts w:ascii="Meiryo UI" w:hAnsi="Meiryo UI"/>
                <w:sz w:val="18"/>
              </w:rPr>
            </w:r>
          </w:p>
        </w:tc>
      </w:tr>
      <w:tr>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 2.45% + 0.693% = 3.14%</w:t>
            </w:r>
          </w:p>
        </w:tc>
        <w:tc>
          <w:tcPr>
            <w:tcW w:type="dxa" w:w="3135"/>
            <w:shd w:val="clear" w:color="auto" w:fill="DDEBF7"/>
          </w:tcPr>
          <w:p>
            <w:r>
              <w:rPr>
                <w:rFonts w:ascii="Meiryo UI" w:hAnsi="Meiryo UI"/>
                <w:sz w:val="18"/>
              </w:rPr>
              <w:t>≒ 3.1%</w:t>
            </w:r>
          </w:p>
        </w:tc>
      </w:tr>
      <w:tr>
        <w:tc>
          <w:tcPr>
            <w:tcW w:type="dxa" w:w="3135"/>
          </w:tcPr>
          <w:p>
            <w:r>
              <w:rPr>
                <w:rFonts w:ascii="Meiryo UI" w:hAnsi="Meiryo UI"/>
                <w:sz w:val="18"/>
              </w:rPr>
              <w:t>ターミナル成長率（g）</w:t>
            </w:r>
          </w:p>
        </w:tc>
        <w:tc>
          <w:tcPr>
            <w:tcW w:type="dxa" w:w="3135"/>
          </w:tcPr>
          <w:p>
            <w:r>
              <w:rPr>
                <w:rFonts w:ascii="Meiryo UI" w:hAnsi="Meiryo UI"/>
                <w:sz w:val="18"/>
              </w:rPr>
              <w:t>0.5%</w:t>
            </w:r>
          </w:p>
        </w:tc>
        <w:tc>
          <w:tcPr>
            <w:tcW w:type="dxa" w:w="3135"/>
          </w:tcPr>
          <w:p>
            <w:r>
              <w:rPr>
                <w:rFonts w:ascii="Meiryo UI" w:hAnsi="Meiryo UI"/>
                <w:sz w:val="18"/>
              </w:rPr>
              <w:t>食品スーパー成熟市場（人口減少考慮）</w:t>
            </w:r>
          </w:p>
        </w:tc>
      </w:tr>
    </w:tbl>
    <w:p/>
    <w:p>
      <w:pPr>
        <w:shd w:val="clear" w:color="auto" w:fill="F2F2F2"/>
      </w:pPr>
      <w:r>
        <w:rPr>
          <w:rFonts w:ascii="Courier New" w:hAnsi="Courier New"/>
          <w:sz w:val="16"/>
        </w:rPr>
        <w:t>WACC計算詳細:</w:t>
        <w:br/>
        <w:t xml:space="preserve">  Re = 2.429% + 0.55 × 5.5% = 2.429% + 3.025% = 5.454%</w:t>
        <w:br/>
        <w:t xml:space="preserve">  Rd×(1-Tc) = 1.8% × 0.70 = 1.26%</w:t>
        <w:br/>
        <w:t xml:space="preserve">  WACC = 0.45 × 5.454% + 0.55 × 1.26%</w:t>
        <w:br/>
        <w:t xml:space="preserve">       = 2.454% + 0.693%</w:t>
        <w:br/>
        <w:t xml:space="preserve">       = 3.147% ≈ 3.15%</w:t>
      </w:r>
    </w:p>
    <w:p/>
    <w:p>
      <w:pPr>
        <w:pStyle w:val="Heading3"/>
      </w:pPr>
      <w:r>
        <w:rPr>
          <w:rFonts w:ascii="Meiryo UI" w:hAnsi="Meiryo UI"/>
          <w:color w:val="2E74B5"/>
        </w:rPr>
        <w:t>5.2 FCF推計の前提</w:t>
      </w:r>
    </w:p>
    <w:p/>
    <w:p>
      <w:r>
        <w:rPr>
          <w:rFonts w:ascii="Meiryo UI" w:hAnsi="Meiryo UI"/>
          <w:sz w:val="20"/>
        </w:rPr>
        <w:t>EBITDAベースDCFアプローチ（FCF = EBIT×(1-tax) + D&amp;A - Capex - ΔWC）</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推計方法</w:t>
            </w:r>
          </w:p>
        </w:tc>
      </w:tr>
      <w:tr>
        <w:tc>
          <w:tcPr>
            <w:tcW w:type="dxa" w:w="4703"/>
          </w:tcPr>
          <w:p>
            <w:r>
              <w:rPr>
                <w:rFonts w:ascii="Meiryo UI" w:hAnsi="Meiryo UI"/>
                <w:sz w:val="18"/>
              </w:rPr>
              <w:t>営業利益（EBIT）</w:t>
            </w:r>
          </w:p>
        </w:tc>
        <w:tc>
          <w:tcPr>
            <w:tcW w:type="dxa" w:w="4703"/>
          </w:tcPr>
          <w:p>
            <w:r>
              <w:rPr>
                <w:rFonts w:ascii="Meiryo UI" w:hAnsi="Meiryo UI"/>
                <w:sz w:val="18"/>
              </w:rPr>
              <w:t>シナリオ別（下記3ケース）</w:t>
            </w:r>
          </w:p>
        </w:tc>
      </w:tr>
      <w:tr>
        <w:tc>
          <w:tcPr>
            <w:tcW w:type="dxa" w:w="4703"/>
            <w:shd w:val="clear" w:color="auto" w:fill="DDEBF7"/>
          </w:tcPr>
          <w:p>
            <w:r>
              <w:rPr>
                <w:rFonts w:ascii="Meiryo UI" w:hAnsi="Meiryo UI"/>
                <w:sz w:val="18"/>
              </w:rPr>
              <w:t>D&amp;A（減価償却）</w:t>
            </w:r>
          </w:p>
        </w:tc>
        <w:tc>
          <w:tcPr>
            <w:tcW w:type="dxa" w:w="4703"/>
            <w:shd w:val="clear" w:color="auto" w:fill="DDEBF7"/>
          </w:tcPr>
          <w:p>
            <w:r>
              <w:rPr>
                <w:rFonts w:ascii="Meiryo UI" w:hAnsi="Meiryo UI"/>
                <w:sz w:val="18"/>
              </w:rPr>
              <w:t>売上の2.0%（スーパー業界標準）</w:t>
            </w:r>
          </w:p>
        </w:tc>
      </w:tr>
      <w:tr>
        <w:tc>
          <w:tcPr>
            <w:tcW w:type="dxa" w:w="4703"/>
          </w:tcPr>
          <w:p>
            <w:r>
              <w:rPr>
                <w:rFonts w:ascii="Meiryo UI" w:hAnsi="Meiryo UI"/>
                <w:sz w:val="18"/>
              </w:rPr>
              <w:t>Capex</w:t>
            </w:r>
          </w:p>
        </w:tc>
        <w:tc>
          <w:tcPr>
            <w:tcW w:type="dxa" w:w="4703"/>
          </w:tcPr>
          <w:p>
            <w:r>
              <w:rPr>
                <w:rFonts w:ascii="Meiryo UI" w:hAnsi="Meiryo UI"/>
                <w:sz w:val="18"/>
              </w:rPr>
              <w:t>売上の1.5〜2.0%（スクラップ&amp;ビルド投資）</w:t>
            </w:r>
          </w:p>
        </w:tc>
      </w:tr>
      <w:tr>
        <w:tc>
          <w:tcPr>
            <w:tcW w:type="dxa" w:w="4703"/>
            <w:shd w:val="clear" w:color="auto" w:fill="DDEBF7"/>
          </w:tcPr>
          <w:p>
            <w:r>
              <w:rPr>
                <w:rFonts w:ascii="Meiryo UI" w:hAnsi="Meiryo UI"/>
                <w:sz w:val="18"/>
              </w:rPr>
              <w:t>ΔWC</w:t>
            </w:r>
          </w:p>
        </w:tc>
        <w:tc>
          <w:tcPr>
            <w:tcW w:type="dxa" w:w="4703"/>
            <w:shd w:val="clear" w:color="auto" w:fill="DDEBF7"/>
          </w:tcPr>
          <w:p>
            <w:r>
              <w:rPr>
                <w:rFonts w:ascii="Meiryo UI" w:hAnsi="Meiryo UI"/>
                <w:sz w:val="18"/>
              </w:rPr>
              <w:t>売上変化×0.5%（運転資本変化）</w:t>
            </w:r>
          </w:p>
        </w:tc>
      </w:tr>
    </w:tbl>
    <w:p/>
    <w:p>
      <w:pPr>
        <w:pStyle w:val="Heading3"/>
      </w:pPr>
      <w:r>
        <w:rPr>
          <w:rFonts w:ascii="Meiryo UI" w:hAnsi="Meiryo UI"/>
          <w:color w:val="2E74B5"/>
        </w:rPr>
        <w:t>5.3 シナリオA: 来期計画達成シナリオ（営業利益¥10,000M）</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売上高（M）</w:t>
            </w:r>
          </w:p>
        </w:tc>
        <w:tc>
          <w:tcPr>
            <w:tcW w:type="dxa" w:w="1344"/>
            <w:shd w:val="clear" w:color="auto" w:fill="2E74B5"/>
          </w:tcPr>
          <w:p>
            <w:r>
              <w:rPr>
                <w:rFonts w:ascii="Meiryo UI" w:hAnsi="Meiryo UI"/>
                <w:b/>
                <w:color w:val="FFFFFF"/>
                <w:sz w:val="18"/>
              </w:rPr>
              <w:t>営業利益（M）</w:t>
            </w:r>
          </w:p>
        </w:tc>
        <w:tc>
          <w:tcPr>
            <w:tcW w:type="dxa" w:w="1344"/>
            <w:shd w:val="clear" w:color="auto" w:fill="2E74B5"/>
          </w:tcPr>
          <w:p>
            <w:r>
              <w:rPr>
                <w:rFonts w:ascii="Meiryo UI" w:hAnsi="Meiryo UI"/>
                <w:b/>
                <w:color w:val="FFFFFF"/>
                <w:sz w:val="18"/>
              </w:rPr>
              <w:t>EBIT×(1-T)（M）</w:t>
            </w:r>
          </w:p>
        </w:tc>
        <w:tc>
          <w:tcPr>
            <w:tcW w:type="dxa" w:w="1344"/>
            <w:shd w:val="clear" w:color="auto" w:fill="2E74B5"/>
          </w:tcPr>
          <w:p>
            <w:r>
              <w:rPr>
                <w:rFonts w:ascii="Meiryo UI" w:hAnsi="Meiryo UI"/>
                <w:b/>
                <w:color w:val="FFFFFF"/>
                <w:sz w:val="18"/>
              </w:rPr>
              <w:t>D&amp;A（M）</w:t>
            </w:r>
          </w:p>
        </w:tc>
        <w:tc>
          <w:tcPr>
            <w:tcW w:type="dxa" w:w="1344"/>
            <w:shd w:val="clear" w:color="auto" w:fill="2E74B5"/>
          </w:tcPr>
          <w:p>
            <w:r>
              <w:rPr>
                <w:rFonts w:ascii="Meiryo UI" w:hAnsi="Meiryo UI"/>
                <w:b/>
                <w:color w:val="FFFFFF"/>
                <w:sz w:val="18"/>
              </w:rPr>
              <w:t>Capex（M）</w:t>
            </w:r>
          </w:p>
        </w:tc>
        <w:tc>
          <w:tcPr>
            <w:tcW w:type="dxa" w:w="1344"/>
            <w:shd w:val="clear" w:color="auto" w:fill="2E74B5"/>
          </w:tcPr>
          <w:p>
            <w:r>
              <w:rPr>
                <w:rFonts w:ascii="Meiryo UI" w:hAnsi="Meiryo UI"/>
                <w:b/>
                <w:color w:val="FFFFFF"/>
                <w:sz w:val="18"/>
              </w:rPr>
              <w:t>FCF（M）</w:t>
            </w:r>
          </w:p>
        </w:tc>
      </w:tr>
      <w:tr>
        <w:tc>
          <w:tcPr>
            <w:tcW w:type="dxa" w:w="1344"/>
          </w:tcPr>
          <w:p>
            <w:r>
              <w:rPr>
                <w:rFonts w:ascii="Meiryo UI" w:hAnsi="Meiryo UI"/>
                <w:sz w:val="18"/>
              </w:rPr>
              <w:t>FY2027E</w:t>
            </w:r>
          </w:p>
        </w:tc>
        <w:tc>
          <w:tcPr>
            <w:tcW w:type="dxa" w:w="1344"/>
          </w:tcPr>
          <w:p>
            <w:r>
              <w:rPr>
                <w:rFonts w:ascii="Meiryo UI" w:hAnsi="Meiryo UI"/>
                <w:sz w:val="18"/>
              </w:rPr>
              <w:t>¥340,000</w:t>
            </w:r>
          </w:p>
        </w:tc>
        <w:tc>
          <w:tcPr>
            <w:tcW w:type="dxa" w:w="1344"/>
          </w:tcPr>
          <w:p>
            <w:r>
              <w:rPr>
                <w:rFonts w:ascii="Meiryo UI" w:hAnsi="Meiryo UI"/>
                <w:sz w:val="18"/>
              </w:rPr>
              <w:t>¥10,000</w:t>
            </w:r>
          </w:p>
        </w:tc>
        <w:tc>
          <w:tcPr>
            <w:tcW w:type="dxa" w:w="1344"/>
          </w:tcPr>
          <w:p>
            <w:r>
              <w:rPr>
                <w:rFonts w:ascii="Meiryo UI" w:hAnsi="Meiryo UI"/>
                <w:sz w:val="18"/>
              </w:rPr>
              <w:t>¥7,000</w:t>
            </w:r>
          </w:p>
        </w:tc>
        <w:tc>
          <w:tcPr>
            <w:tcW w:type="dxa" w:w="1344"/>
          </w:tcPr>
          <w:p>
            <w:r>
              <w:rPr>
                <w:rFonts w:ascii="Meiryo UI" w:hAnsi="Meiryo UI"/>
                <w:sz w:val="18"/>
              </w:rPr>
              <w:t>¥6,800</w:t>
            </w:r>
          </w:p>
        </w:tc>
        <w:tc>
          <w:tcPr>
            <w:tcW w:type="dxa" w:w="1344"/>
          </w:tcPr>
          <w:p>
            <w:r>
              <w:rPr>
                <w:rFonts w:ascii="Meiryo UI" w:hAnsi="Meiryo UI"/>
                <w:sz w:val="18"/>
              </w:rPr>
              <w:t>¥5,100</w:t>
            </w:r>
          </w:p>
        </w:tc>
        <w:tc>
          <w:tcPr>
            <w:tcW w:type="dxa" w:w="1344"/>
          </w:tcPr>
          <w:p>
            <w:r>
              <w:rPr>
                <w:rFonts w:ascii="Meiryo UI" w:hAnsi="Meiryo UI"/>
                <w:sz w:val="18"/>
              </w:rPr>
              <w:t>¥8,700</w:t>
            </w:r>
          </w:p>
        </w:tc>
      </w:tr>
      <w:tr>
        <w:tc>
          <w:tcPr>
            <w:tcW w:type="dxa" w:w="1344"/>
            <w:shd w:val="clear" w:color="auto" w:fill="DDEBF7"/>
          </w:tcPr>
          <w:p>
            <w:r>
              <w:rPr>
                <w:rFonts w:ascii="Meiryo UI" w:hAnsi="Meiryo UI"/>
                <w:sz w:val="18"/>
              </w:rPr>
              <w:t>FY2028E</w:t>
            </w:r>
          </w:p>
        </w:tc>
        <w:tc>
          <w:tcPr>
            <w:tcW w:type="dxa" w:w="1344"/>
            <w:shd w:val="clear" w:color="auto" w:fill="DDEBF7"/>
          </w:tcPr>
          <w:p>
            <w:r>
              <w:rPr>
                <w:rFonts w:ascii="Meiryo UI" w:hAnsi="Meiryo UI"/>
                <w:sz w:val="18"/>
              </w:rPr>
              <w:t>¥355,000</w:t>
            </w:r>
          </w:p>
        </w:tc>
        <w:tc>
          <w:tcPr>
            <w:tcW w:type="dxa" w:w="1344"/>
            <w:shd w:val="clear" w:color="auto" w:fill="DDEBF7"/>
          </w:tcPr>
          <w:p>
            <w:r>
              <w:rPr>
                <w:rFonts w:ascii="Meiryo UI" w:hAnsi="Meiryo UI"/>
                <w:sz w:val="18"/>
              </w:rPr>
              <w:t>¥11,500</w:t>
            </w:r>
          </w:p>
        </w:tc>
        <w:tc>
          <w:tcPr>
            <w:tcW w:type="dxa" w:w="1344"/>
            <w:shd w:val="clear" w:color="auto" w:fill="DDEBF7"/>
          </w:tcPr>
          <w:p>
            <w:r>
              <w:rPr>
                <w:rFonts w:ascii="Meiryo UI" w:hAnsi="Meiryo UI"/>
                <w:sz w:val="18"/>
              </w:rPr>
              <w:t>¥8,050</w:t>
            </w:r>
          </w:p>
        </w:tc>
        <w:tc>
          <w:tcPr>
            <w:tcW w:type="dxa" w:w="1344"/>
            <w:shd w:val="clear" w:color="auto" w:fill="DDEBF7"/>
          </w:tcPr>
          <w:p>
            <w:r>
              <w:rPr>
                <w:rFonts w:ascii="Meiryo UI" w:hAnsi="Meiryo UI"/>
                <w:sz w:val="18"/>
              </w:rPr>
              <w:t>¥7,100</w:t>
            </w:r>
          </w:p>
        </w:tc>
        <w:tc>
          <w:tcPr>
            <w:tcW w:type="dxa" w:w="1344"/>
            <w:shd w:val="clear" w:color="auto" w:fill="DDEBF7"/>
          </w:tcPr>
          <w:p>
            <w:r>
              <w:rPr>
                <w:rFonts w:ascii="Meiryo UI" w:hAnsi="Meiryo UI"/>
                <w:sz w:val="18"/>
              </w:rPr>
              <w:t>¥5,325</w:t>
            </w:r>
          </w:p>
        </w:tc>
        <w:tc>
          <w:tcPr>
            <w:tcW w:type="dxa" w:w="1344"/>
            <w:shd w:val="clear" w:color="auto" w:fill="DDEBF7"/>
          </w:tcPr>
          <w:p>
            <w:r>
              <w:rPr>
                <w:rFonts w:ascii="Meiryo UI" w:hAnsi="Meiryo UI"/>
                <w:sz w:val="18"/>
              </w:rPr>
              <w:t>¥9,825</w:t>
            </w:r>
          </w:p>
        </w:tc>
      </w:tr>
      <w:tr>
        <w:tc>
          <w:tcPr>
            <w:tcW w:type="dxa" w:w="1344"/>
          </w:tcPr>
          <w:p>
            <w:r>
              <w:rPr>
                <w:rFonts w:ascii="Meiryo UI" w:hAnsi="Meiryo UI"/>
                <w:sz w:val="18"/>
              </w:rPr>
              <w:t>FY2029E</w:t>
            </w:r>
          </w:p>
        </w:tc>
        <w:tc>
          <w:tcPr>
            <w:tcW w:type="dxa" w:w="1344"/>
          </w:tcPr>
          <w:p>
            <w:r>
              <w:rPr>
                <w:rFonts w:ascii="Meiryo UI" w:hAnsi="Meiryo UI"/>
                <w:sz w:val="18"/>
              </w:rPr>
              <w:t>¥365,000</w:t>
            </w:r>
          </w:p>
        </w:tc>
        <w:tc>
          <w:tcPr>
            <w:tcW w:type="dxa" w:w="1344"/>
          </w:tcPr>
          <w:p>
            <w:r>
              <w:rPr>
                <w:rFonts w:ascii="Meiryo UI" w:hAnsi="Meiryo UI"/>
                <w:sz w:val="18"/>
              </w:rPr>
              <w:t>¥12,500</w:t>
            </w:r>
          </w:p>
        </w:tc>
        <w:tc>
          <w:tcPr>
            <w:tcW w:type="dxa" w:w="1344"/>
          </w:tcPr>
          <w:p>
            <w:r>
              <w:rPr>
                <w:rFonts w:ascii="Meiryo UI" w:hAnsi="Meiryo UI"/>
                <w:sz w:val="18"/>
              </w:rPr>
              <w:t>¥8,750</w:t>
            </w:r>
          </w:p>
        </w:tc>
        <w:tc>
          <w:tcPr>
            <w:tcW w:type="dxa" w:w="1344"/>
          </w:tcPr>
          <w:p>
            <w:r>
              <w:rPr>
                <w:rFonts w:ascii="Meiryo UI" w:hAnsi="Meiryo UI"/>
                <w:sz w:val="18"/>
              </w:rPr>
              <w:t>¥7,300</w:t>
            </w:r>
          </w:p>
        </w:tc>
        <w:tc>
          <w:tcPr>
            <w:tcW w:type="dxa" w:w="1344"/>
          </w:tcPr>
          <w:p>
            <w:r>
              <w:rPr>
                <w:rFonts w:ascii="Meiryo UI" w:hAnsi="Meiryo UI"/>
                <w:sz w:val="18"/>
              </w:rPr>
              <w:t>¥5,475</w:t>
            </w:r>
          </w:p>
        </w:tc>
        <w:tc>
          <w:tcPr>
            <w:tcW w:type="dxa" w:w="1344"/>
          </w:tcPr>
          <w:p>
            <w:r>
              <w:rPr>
                <w:rFonts w:ascii="Meiryo UI" w:hAnsi="Meiryo UI"/>
                <w:sz w:val="18"/>
              </w:rPr>
              <w:t>¥10,575</w:t>
            </w:r>
          </w:p>
        </w:tc>
      </w:tr>
      <w:tr>
        <w:tc>
          <w:tcPr>
            <w:tcW w:type="dxa" w:w="1344"/>
            <w:shd w:val="clear" w:color="auto" w:fill="DDEBF7"/>
          </w:tcPr>
          <w:p>
            <w:r>
              <w:rPr>
                <w:rFonts w:ascii="Meiryo UI" w:hAnsi="Meiryo UI"/>
                <w:sz w:val="18"/>
              </w:rPr>
              <w:t>FY2030E</w:t>
            </w:r>
          </w:p>
        </w:tc>
        <w:tc>
          <w:tcPr>
            <w:tcW w:type="dxa" w:w="1344"/>
            <w:shd w:val="clear" w:color="auto" w:fill="DDEBF7"/>
          </w:tcPr>
          <w:p>
            <w:r>
              <w:rPr>
                <w:rFonts w:ascii="Meiryo UI" w:hAnsi="Meiryo UI"/>
                <w:sz w:val="18"/>
              </w:rPr>
              <w:t>¥372,000</w:t>
            </w:r>
          </w:p>
        </w:tc>
        <w:tc>
          <w:tcPr>
            <w:tcW w:type="dxa" w:w="1344"/>
            <w:shd w:val="clear" w:color="auto" w:fill="DDEBF7"/>
          </w:tcPr>
          <w:p>
            <w:r>
              <w:rPr>
                <w:rFonts w:ascii="Meiryo UI" w:hAnsi="Meiryo UI"/>
                <w:sz w:val="18"/>
              </w:rPr>
              <w:t>¥13,000</w:t>
            </w:r>
          </w:p>
        </w:tc>
        <w:tc>
          <w:tcPr>
            <w:tcW w:type="dxa" w:w="1344"/>
            <w:shd w:val="clear" w:color="auto" w:fill="DDEBF7"/>
          </w:tcPr>
          <w:p>
            <w:r>
              <w:rPr>
                <w:rFonts w:ascii="Meiryo UI" w:hAnsi="Meiryo UI"/>
                <w:sz w:val="18"/>
              </w:rPr>
              <w:t>¥9,100</w:t>
            </w:r>
          </w:p>
        </w:tc>
        <w:tc>
          <w:tcPr>
            <w:tcW w:type="dxa" w:w="1344"/>
            <w:shd w:val="clear" w:color="auto" w:fill="DDEBF7"/>
          </w:tcPr>
          <w:p>
            <w:r>
              <w:rPr>
                <w:rFonts w:ascii="Meiryo UI" w:hAnsi="Meiryo UI"/>
                <w:sz w:val="18"/>
              </w:rPr>
              <w:t>¥7,440</w:t>
            </w:r>
          </w:p>
        </w:tc>
        <w:tc>
          <w:tcPr>
            <w:tcW w:type="dxa" w:w="1344"/>
            <w:shd w:val="clear" w:color="auto" w:fill="DDEBF7"/>
          </w:tcPr>
          <w:p>
            <w:r>
              <w:rPr>
                <w:rFonts w:ascii="Meiryo UI" w:hAnsi="Meiryo UI"/>
                <w:sz w:val="18"/>
              </w:rPr>
              <w:t>¥5,580</w:t>
            </w:r>
          </w:p>
        </w:tc>
        <w:tc>
          <w:tcPr>
            <w:tcW w:type="dxa" w:w="1344"/>
            <w:shd w:val="clear" w:color="auto" w:fill="DDEBF7"/>
          </w:tcPr>
          <w:p>
            <w:r>
              <w:rPr>
                <w:rFonts w:ascii="Meiryo UI" w:hAnsi="Meiryo UI"/>
                <w:sz w:val="18"/>
              </w:rPr>
              <w:t>¥10,960</w:t>
            </w:r>
          </w:p>
        </w:tc>
      </w:tr>
      <w:tr>
        <w:tc>
          <w:tcPr>
            <w:tcW w:type="dxa" w:w="1344"/>
          </w:tcPr>
          <w:p>
            <w:r>
              <w:rPr>
                <w:rFonts w:ascii="Meiryo UI" w:hAnsi="Meiryo UI"/>
                <w:sz w:val="18"/>
              </w:rPr>
              <w:t>FY2031E</w:t>
            </w:r>
          </w:p>
        </w:tc>
        <w:tc>
          <w:tcPr>
            <w:tcW w:type="dxa" w:w="1344"/>
          </w:tcPr>
          <w:p>
            <w:r>
              <w:rPr>
                <w:rFonts w:ascii="Meiryo UI" w:hAnsi="Meiryo UI"/>
                <w:sz w:val="18"/>
              </w:rPr>
              <w:t>¥378,000</w:t>
            </w:r>
          </w:p>
        </w:tc>
        <w:tc>
          <w:tcPr>
            <w:tcW w:type="dxa" w:w="1344"/>
          </w:tcPr>
          <w:p>
            <w:r>
              <w:rPr>
                <w:rFonts w:ascii="Meiryo UI" w:hAnsi="Meiryo UI"/>
                <w:sz w:val="18"/>
              </w:rPr>
              <w:t>¥13,500</w:t>
            </w:r>
          </w:p>
        </w:tc>
        <w:tc>
          <w:tcPr>
            <w:tcW w:type="dxa" w:w="1344"/>
          </w:tcPr>
          <w:p>
            <w:r>
              <w:rPr>
                <w:rFonts w:ascii="Meiryo UI" w:hAnsi="Meiryo UI"/>
                <w:sz w:val="18"/>
              </w:rPr>
              <w:t>¥9,450</w:t>
            </w:r>
          </w:p>
        </w:tc>
        <w:tc>
          <w:tcPr>
            <w:tcW w:type="dxa" w:w="1344"/>
          </w:tcPr>
          <w:p>
            <w:r>
              <w:rPr>
                <w:rFonts w:ascii="Meiryo UI" w:hAnsi="Meiryo UI"/>
                <w:sz w:val="18"/>
              </w:rPr>
              <w:t>¥7,560</w:t>
            </w:r>
          </w:p>
        </w:tc>
        <w:tc>
          <w:tcPr>
            <w:tcW w:type="dxa" w:w="1344"/>
          </w:tcPr>
          <w:p>
            <w:r>
              <w:rPr>
                <w:rFonts w:ascii="Meiryo UI" w:hAnsi="Meiryo UI"/>
                <w:sz w:val="18"/>
              </w:rPr>
              <w:t>¥5,670</w:t>
            </w:r>
          </w:p>
        </w:tc>
        <w:tc>
          <w:tcPr>
            <w:tcW w:type="dxa" w:w="1344"/>
          </w:tcPr>
          <w:p>
            <w:r>
              <w:rPr>
                <w:rFonts w:ascii="Meiryo UI" w:hAnsi="Meiryo UI"/>
                <w:sz w:val="18"/>
              </w:rPr>
              <w:t>¥11,340</w:t>
            </w:r>
          </w:p>
        </w:tc>
      </w:tr>
    </w:tbl>
    <w:p/>
    <w:p>
      <w:pPr>
        <w:shd w:val="clear" w:color="auto" w:fill="F2F2F2"/>
      </w:pPr>
      <w:r>
        <w:rPr>
          <w:rFonts w:ascii="Courier New" w:hAnsi="Courier New"/>
          <w:sz w:val="16"/>
        </w:rPr>
        <w:t>ターミナルバリュー（FY2031E FCF × (1+g)/(WACC-g)):</w:t>
        <w:br/>
        <w:t>= ¥11,340M × 1.005 / (0.0315 - 0.005)</w:t>
        <w:br/>
        <w:t>= ¥11,397M / 0.0265</w:t>
        <w:br/>
        <w:t>= ¥430,075M</w:t>
        <w:br/>
        <w:br/>
        <w:t>DCF計算（割引率3.15%）:</w:t>
        <w:br/>
        <w:t>PV(FCF FY2027-2031):</w:t>
        <w:br/>
        <w:t xml:space="preserve">  FY2027: ¥8,700M / 1.0315 = ¥8,434M</w:t>
        <w:br/>
        <w:t xml:space="preserve">  FY2028: ¥9,825M / 1.0315² = ¥9,230M（※正確には 1.0640）→ ¥9,235M</w:t>
        <w:br/>
        <w:t xml:space="preserve">  FY2029: ¥10,575M / 1.0315³ = ¥9,624M（→ 1.0983）→ ¥9,629M  </w:t>
        <w:br/>
        <w:t xml:space="preserve">  FY2030: ¥10,960M / 1.0315⁴ → (1.1334) → ¥9,670M</w:t>
        <w:br/>
        <w:t xml:space="preserve">  FY2031: ¥11,340M / 1.0315⁵ → (1.1694) → ¥9,697M</w:t>
        <w:br/>
        <w:t xml:space="preserve">  </w:t>
        <w:br/>
        <w:t xml:space="preserve">  PV合計（FCF）≈ ¥46,665M</w:t>
        <w:br/>
        <w:br/>
        <w:t>PV(ターミナルバリュー) = ¥430,075M / 1.1694 = ¥367,782M</w:t>
        <w:br/>
        <w:br/>
        <w:t>企業価値（EV）= ¥46,665M + ¥367,782M = ¥414,447M</w:t>
        <w:br/>
        <w:t>純有利子負債（推計）= ¥30,000M</w:t>
        <w:br/>
        <w:t>株主価値 = ¥414,447M - ¥30,000M = ¥384,447M</w:t>
        <w:br/>
        <w:t>発行済株式数（推計）= 60,000千株</w:t>
        <w:br/>
        <w:t>理論株価（シナリオA）= ¥384,447M / 60,000千株 = ¥6,407/株</w:t>
        <w:br/>
        <w:br/>
        <w:t>⚠️ 乖離が大きいため、EV/EBITDA・PBR調整を実施（後述）</w:t>
      </w:r>
    </w:p>
    <w:p/>
    <w:p>
      <w:r>
        <w:rPr>
          <w:rFonts w:ascii="Meiryo UI" w:hAnsi="Meiryo UI"/>
          <w:sz w:val="20"/>
        </w:rPr>
        <w:t>&gt; ⚠️ DCF乖離注記: DCFの理論株価¥6,407は現在株価¥934から大幅乖離しており、これはスーパーマーケット業界特有の会計処理（IFRS16的なリース負債の大きさ、のれん償却）および成熟産業の市場評価（低PER・PBR）との整合性を欠く。マーケットアプローチ（EV/EBITDA・PBR）との調和を図った修正理論株価を使用する。</w:t>
      </w:r>
    </w:p>
    <w:p/>
    <w:p>
      <w:pPr>
        <w:pStyle w:val="Heading3"/>
      </w:pPr>
      <w:r>
        <w:rPr>
          <w:rFonts w:ascii="Meiryo UI" w:hAnsi="Meiryo UI"/>
          <w:color w:val="2E74B5"/>
        </w:rPr>
        <w:t>5.4 マーケットアプローチ調整（EV/EBITDA・PBR）</w:t>
      </w:r>
    </w:p>
    <w:p/>
    <w:p>
      <w:pPr>
        <w:pStyle w:val="Heading4"/>
      </w:pPr>
      <w:r>
        <w:rPr>
          <w:rFonts w:ascii="Meiryo UI" w:hAnsi="Meiryo UI"/>
          <w:color w:val="2E74B5"/>
        </w:rPr>
        <w:t>EV/EBITDAアプローチ</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シナリオ</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EBITDA推計</w:t>
            </w:r>
          </w:p>
        </w:tc>
        <w:tc>
          <w:tcPr>
            <w:tcW w:type="dxa" w:w="1176"/>
            <w:shd w:val="clear" w:color="auto" w:fill="2E74B5"/>
          </w:tcPr>
          <w:p>
            <w:r>
              <w:rPr>
                <w:rFonts w:ascii="Meiryo UI" w:hAnsi="Meiryo UI"/>
                <w:b/>
                <w:color w:val="FFFFFF"/>
                <w:sz w:val="18"/>
              </w:rPr>
              <w:t>業界EV/EBITDA</w:t>
            </w:r>
          </w:p>
        </w:tc>
        <w:tc>
          <w:tcPr>
            <w:tcW w:type="dxa" w:w="1176"/>
            <w:shd w:val="clear" w:color="auto" w:fill="2E74B5"/>
          </w:tcPr>
          <w:p>
            <w:r>
              <w:rPr>
                <w:rFonts w:ascii="Meiryo UI" w:hAnsi="Meiryo UI"/>
                <w:b/>
                <w:color w:val="FFFFFF"/>
                <w:sz w:val="18"/>
              </w:rPr>
              <w:t>EV（M）</w:t>
            </w:r>
          </w:p>
        </w:tc>
        <w:tc>
          <w:tcPr>
            <w:tcW w:type="dxa" w:w="1176"/>
            <w:shd w:val="clear" w:color="auto" w:fill="2E74B5"/>
          </w:tcPr>
          <w:p>
            <w:r>
              <w:rPr>
                <w:rFonts w:ascii="Meiryo UI" w:hAnsi="Meiryo UI"/>
                <w:b/>
                <w:color w:val="FFFFFF"/>
                <w:sz w:val="18"/>
              </w:rPr>
              <w:t>純有利子負債</w:t>
            </w:r>
          </w:p>
        </w:tc>
        <w:tc>
          <w:tcPr>
            <w:tcW w:type="dxa" w:w="1176"/>
            <w:shd w:val="clear" w:color="auto" w:fill="2E74B5"/>
          </w:tcPr>
          <w:p>
            <w:r>
              <w:rPr>
                <w:rFonts w:ascii="Meiryo UI" w:hAnsi="Meiryo UI"/>
                <w:b/>
                <w:color w:val="FFFFFF"/>
                <w:sz w:val="18"/>
              </w:rPr>
              <w:t>株主価値（M）</w:t>
            </w:r>
          </w:p>
        </w:tc>
        <w:tc>
          <w:tcPr>
            <w:tcW w:type="dxa" w:w="1176"/>
            <w:shd w:val="clear" w:color="auto" w:fill="2E74B5"/>
          </w:tcPr>
          <w:p>
            <w:r>
              <w:rPr>
                <w:rFonts w:ascii="Meiryo UI" w:hAnsi="Meiryo UI"/>
                <w:b/>
                <w:color w:val="FFFFFF"/>
                <w:sz w:val="18"/>
              </w:rPr>
              <w:t>株価</w:t>
            </w:r>
          </w:p>
        </w:tc>
      </w:tr>
      <w:tr>
        <w:tc>
          <w:tcPr>
            <w:tcW w:type="dxa" w:w="1176"/>
          </w:tcPr>
          <w:p>
            <w:r>
              <w:rPr>
                <w:rFonts w:ascii="Meiryo UI" w:hAnsi="Meiryo UI"/>
                <w:sz w:val="18"/>
              </w:rPr>
              <w:t>A: 計画達成</w:t>
            </w:r>
          </w:p>
        </w:tc>
        <w:tc>
          <w:tcPr>
            <w:tcW w:type="dxa" w:w="1176"/>
          </w:tcPr>
          <w:p>
            <w:r>
              <w:rPr>
                <w:rFonts w:ascii="Meiryo UI" w:hAnsi="Meiryo UI"/>
                <w:sz w:val="18"/>
              </w:rPr>
              <w:t>¥10,000M</w:t>
            </w:r>
          </w:p>
        </w:tc>
        <w:tc>
          <w:tcPr>
            <w:tcW w:type="dxa" w:w="1176"/>
          </w:tcPr>
          <w:p>
            <w:r>
              <w:rPr>
                <w:rFonts w:ascii="Meiryo UI" w:hAnsi="Meiryo UI"/>
                <w:sz w:val="18"/>
              </w:rPr>
              <w:t>¥16,800M</w:t>
            </w:r>
          </w:p>
        </w:tc>
        <w:tc>
          <w:tcPr>
            <w:tcW w:type="dxa" w:w="1176"/>
          </w:tcPr>
          <w:p>
            <w:r>
              <w:rPr>
                <w:rFonts w:ascii="Meiryo UI" w:hAnsi="Meiryo UI"/>
                <w:sz w:val="18"/>
              </w:rPr>
              <w:t>5.5倍</w:t>
            </w:r>
          </w:p>
        </w:tc>
        <w:tc>
          <w:tcPr>
            <w:tcW w:type="dxa" w:w="1176"/>
          </w:tcPr>
          <w:p>
            <w:r>
              <w:rPr>
                <w:rFonts w:ascii="Meiryo UI" w:hAnsi="Meiryo UI"/>
                <w:sz w:val="18"/>
              </w:rPr>
              <w:t>¥92,400M</w:t>
            </w:r>
          </w:p>
        </w:tc>
        <w:tc>
          <w:tcPr>
            <w:tcW w:type="dxa" w:w="1176"/>
          </w:tcPr>
          <w:p>
            <w:r>
              <w:rPr>
                <w:rFonts w:ascii="Meiryo UI" w:hAnsi="Meiryo UI"/>
                <w:sz w:val="18"/>
              </w:rPr>
              <w:t>¥30,000M</w:t>
            </w:r>
          </w:p>
        </w:tc>
        <w:tc>
          <w:tcPr>
            <w:tcW w:type="dxa" w:w="1176"/>
          </w:tcPr>
          <w:p>
            <w:r>
              <w:rPr>
                <w:rFonts w:ascii="Meiryo UI" w:hAnsi="Meiryo UI"/>
                <w:sz w:val="18"/>
              </w:rPr>
              <w:t>¥62,400M</w:t>
            </w:r>
          </w:p>
        </w:tc>
        <w:tc>
          <w:tcPr>
            <w:tcW w:type="dxa" w:w="1176"/>
          </w:tcPr>
          <w:p>
            <w:r>
              <w:rPr>
                <w:rFonts w:ascii="Meiryo UI" w:hAnsi="Meiryo UI"/>
                <w:sz w:val="18"/>
              </w:rPr>
              <w:t>¥1,040/株</w:t>
            </w:r>
          </w:p>
        </w:tc>
      </w:tr>
      <w:tr>
        <w:tc>
          <w:tcPr>
            <w:tcW w:type="dxa" w:w="1176"/>
            <w:shd w:val="clear" w:color="auto" w:fill="DDEBF7"/>
          </w:tcPr>
          <w:p>
            <w:r>
              <w:rPr>
                <w:rFonts w:ascii="Meiryo UI" w:hAnsi="Meiryo UI"/>
                <w:sz w:val="18"/>
              </w:rPr>
              <w:t>B: コンセンサス</w:t>
            </w:r>
          </w:p>
        </w:tc>
        <w:tc>
          <w:tcPr>
            <w:tcW w:type="dxa" w:w="1176"/>
            <w:shd w:val="clear" w:color="auto" w:fill="DDEBF7"/>
          </w:tcPr>
          <w:p>
            <w:r>
              <w:rPr>
                <w:rFonts w:ascii="Meiryo UI" w:hAnsi="Meiryo UI"/>
                <w:sz w:val="18"/>
              </w:rPr>
              <w:t>¥8,000M</w:t>
            </w:r>
          </w:p>
        </w:tc>
        <w:tc>
          <w:tcPr>
            <w:tcW w:type="dxa" w:w="1176"/>
            <w:shd w:val="clear" w:color="auto" w:fill="DDEBF7"/>
          </w:tcPr>
          <w:p>
            <w:r>
              <w:rPr>
                <w:rFonts w:ascii="Meiryo UI" w:hAnsi="Meiryo UI"/>
                <w:sz w:val="18"/>
              </w:rPr>
              <w:t>¥14,800M</w:t>
            </w:r>
          </w:p>
        </w:tc>
        <w:tc>
          <w:tcPr>
            <w:tcW w:type="dxa" w:w="1176"/>
            <w:shd w:val="clear" w:color="auto" w:fill="DDEBF7"/>
          </w:tcPr>
          <w:p>
            <w:r>
              <w:rPr>
                <w:rFonts w:ascii="Meiryo UI" w:hAnsi="Meiryo UI"/>
                <w:sz w:val="18"/>
              </w:rPr>
              <w:t>5.5倍</w:t>
            </w:r>
          </w:p>
        </w:tc>
        <w:tc>
          <w:tcPr>
            <w:tcW w:type="dxa" w:w="1176"/>
            <w:shd w:val="clear" w:color="auto" w:fill="DDEBF7"/>
          </w:tcPr>
          <w:p>
            <w:r>
              <w:rPr>
                <w:rFonts w:ascii="Meiryo UI" w:hAnsi="Meiryo UI"/>
                <w:sz w:val="18"/>
              </w:rPr>
              <w:t>¥81,400M</w:t>
            </w:r>
          </w:p>
        </w:tc>
        <w:tc>
          <w:tcPr>
            <w:tcW w:type="dxa" w:w="1176"/>
            <w:shd w:val="clear" w:color="auto" w:fill="DDEBF7"/>
          </w:tcPr>
          <w:p>
            <w:r>
              <w:rPr>
                <w:rFonts w:ascii="Meiryo UI" w:hAnsi="Meiryo UI"/>
                <w:sz w:val="18"/>
              </w:rPr>
              <w:t>¥30,000M</w:t>
            </w:r>
          </w:p>
        </w:tc>
        <w:tc>
          <w:tcPr>
            <w:tcW w:type="dxa" w:w="1176"/>
            <w:shd w:val="clear" w:color="auto" w:fill="DDEBF7"/>
          </w:tcPr>
          <w:p>
            <w:r>
              <w:rPr>
                <w:rFonts w:ascii="Meiryo UI" w:hAnsi="Meiryo UI"/>
                <w:sz w:val="18"/>
              </w:rPr>
              <w:t>¥51,400M</w:t>
            </w:r>
          </w:p>
        </w:tc>
        <w:tc>
          <w:tcPr>
            <w:tcW w:type="dxa" w:w="1176"/>
            <w:shd w:val="clear" w:color="auto" w:fill="DDEBF7"/>
          </w:tcPr>
          <w:p>
            <w:r>
              <w:rPr>
                <w:rFonts w:ascii="Meiryo UI" w:hAnsi="Meiryo UI"/>
                <w:sz w:val="18"/>
              </w:rPr>
              <w:t>¥857/株</w:t>
            </w:r>
          </w:p>
        </w:tc>
      </w:tr>
      <w:tr>
        <w:tc>
          <w:tcPr>
            <w:tcW w:type="dxa" w:w="1176"/>
          </w:tcPr>
          <w:p>
            <w:r>
              <w:rPr>
                <w:rFonts w:ascii="Meiryo UI" w:hAnsi="Meiryo UI"/>
                <w:sz w:val="18"/>
              </w:rPr>
              <w:t>C: 構造継続</w:t>
            </w:r>
          </w:p>
        </w:tc>
        <w:tc>
          <w:tcPr>
            <w:tcW w:type="dxa" w:w="1176"/>
          </w:tcPr>
          <w:p>
            <w:r>
              <w:rPr>
                <w:rFonts w:ascii="Meiryo UI" w:hAnsi="Meiryo UI"/>
                <w:sz w:val="18"/>
              </w:rPr>
              <w:t>¥5,000M</w:t>
            </w:r>
          </w:p>
        </w:tc>
        <w:tc>
          <w:tcPr>
            <w:tcW w:type="dxa" w:w="1176"/>
          </w:tcPr>
          <w:p>
            <w:r>
              <w:rPr>
                <w:rFonts w:ascii="Meiryo UI" w:hAnsi="Meiryo UI"/>
                <w:sz w:val="18"/>
              </w:rPr>
              <w:t>¥11,800M</w:t>
            </w:r>
          </w:p>
        </w:tc>
        <w:tc>
          <w:tcPr>
            <w:tcW w:type="dxa" w:w="1176"/>
          </w:tcPr>
          <w:p>
            <w:r>
              <w:rPr>
                <w:rFonts w:ascii="Meiryo UI" w:hAnsi="Meiryo UI"/>
                <w:sz w:val="18"/>
              </w:rPr>
              <w:t>4.5倍</w:t>
            </w:r>
          </w:p>
        </w:tc>
        <w:tc>
          <w:tcPr>
            <w:tcW w:type="dxa" w:w="1176"/>
          </w:tcPr>
          <w:p>
            <w:r>
              <w:rPr>
                <w:rFonts w:ascii="Meiryo UI" w:hAnsi="Meiryo UI"/>
                <w:sz w:val="18"/>
              </w:rPr>
              <w:t>¥53,100M</w:t>
            </w:r>
          </w:p>
        </w:tc>
        <w:tc>
          <w:tcPr>
            <w:tcW w:type="dxa" w:w="1176"/>
          </w:tcPr>
          <w:p>
            <w:r>
              <w:rPr>
                <w:rFonts w:ascii="Meiryo UI" w:hAnsi="Meiryo UI"/>
                <w:sz w:val="18"/>
              </w:rPr>
              <w:t>¥30,000M</w:t>
            </w:r>
          </w:p>
        </w:tc>
        <w:tc>
          <w:tcPr>
            <w:tcW w:type="dxa" w:w="1176"/>
          </w:tcPr>
          <w:p>
            <w:r>
              <w:rPr>
                <w:rFonts w:ascii="Meiryo UI" w:hAnsi="Meiryo UI"/>
                <w:sz w:val="18"/>
              </w:rPr>
              <w:t>¥23,100M</w:t>
            </w:r>
          </w:p>
        </w:tc>
        <w:tc>
          <w:tcPr>
            <w:tcW w:type="dxa" w:w="1176"/>
          </w:tcPr>
          <w:p>
            <w:r>
              <w:rPr>
                <w:rFonts w:ascii="Meiryo UI" w:hAnsi="Meiryo UI"/>
                <w:sz w:val="18"/>
              </w:rPr>
              <w:t>¥385/株</w:t>
            </w:r>
          </w:p>
        </w:tc>
      </w:tr>
    </w:tbl>
    <w:p/>
    <w:p>
      <w:r>
        <w:rPr>
          <w:rFonts w:ascii="Meiryo UI" w:hAnsi="Meiryo UI"/>
          <w:sz w:val="20"/>
        </w:rPr>
        <w:t xml:space="preserve">&gt; EBITDA推計 = 営業利益 + D&amp;A(¥6,800M)  </w:t>
      </w:r>
    </w:p>
    <w:p>
      <w:r>
        <w:rPr>
          <w:rFonts w:ascii="Meiryo UI" w:hAnsi="Meiryo UI"/>
          <w:sz w:val="20"/>
        </w:rPr>
        <w:t>&gt; 業界EV/EBITDA: 食品スーパー日本市場（2025〜2026実績）5.0〜6.0倍が標準レンジ</w:t>
      </w:r>
    </w:p>
    <w:p/>
    <w:p>
      <w:pPr>
        <w:pStyle w:val="Heading4"/>
      </w:pPr>
      <w:r>
        <w:rPr>
          <w:rFonts w:ascii="Meiryo UI" w:hAnsi="Meiryo UI"/>
          <w:color w:val="2E74B5"/>
        </w:rPr>
        <w:t>PBRアプローチ（ダブルチェック）</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想定ROE</w:t>
            </w:r>
          </w:p>
        </w:tc>
        <w:tc>
          <w:tcPr>
            <w:tcW w:type="dxa" w:w="1881"/>
            <w:shd w:val="clear" w:color="auto" w:fill="2E74B5"/>
          </w:tcPr>
          <w:p>
            <w:r>
              <w:rPr>
                <w:rFonts w:ascii="Meiryo UI" w:hAnsi="Meiryo UI"/>
                <w:b/>
                <w:color w:val="FFFFFF"/>
                <w:sz w:val="18"/>
              </w:rPr>
              <w:t>適正PBR（ROE/Re）</w:t>
            </w:r>
          </w:p>
        </w:tc>
        <w:tc>
          <w:tcPr>
            <w:tcW w:type="dxa" w:w="1881"/>
            <w:shd w:val="clear" w:color="auto" w:fill="2E74B5"/>
          </w:tcPr>
          <w:p>
            <w:r>
              <w:rPr>
                <w:rFonts w:ascii="Meiryo UI" w:hAnsi="Meiryo UI"/>
                <w:b/>
                <w:color w:val="FFFFFF"/>
                <w:sz w:val="18"/>
              </w:rPr>
              <w:t>BPS ¥1,014</w:t>
            </w:r>
          </w:p>
        </w:tc>
        <w:tc>
          <w:tcPr>
            <w:tcW w:type="dxa" w:w="1881"/>
            <w:shd w:val="clear" w:color="auto" w:fill="2E74B5"/>
          </w:tcPr>
          <w:p>
            <w:r>
              <w:rPr>
                <w:rFonts w:ascii="Meiryo UI" w:hAnsi="Meiryo UI"/>
                <w:b/>
                <w:color w:val="FFFFFF"/>
                <w:sz w:val="18"/>
              </w:rPr>
              <w:t>理論株価</w:t>
            </w:r>
          </w:p>
        </w:tc>
      </w:tr>
      <w:tr>
        <w:tc>
          <w:tcPr>
            <w:tcW w:type="dxa" w:w="1881"/>
          </w:tcPr>
          <w:p>
            <w:r>
              <w:rPr>
                <w:rFonts w:ascii="Meiryo UI" w:hAnsi="Meiryo UI"/>
                <w:sz w:val="18"/>
              </w:rPr>
              <w:t>A: 達成（ROE 8%）</w:t>
            </w:r>
          </w:p>
        </w:tc>
        <w:tc>
          <w:tcPr>
            <w:tcW w:type="dxa" w:w="1881"/>
          </w:tcPr>
          <w:p>
            <w:r>
              <w:rPr>
                <w:rFonts w:ascii="Meiryo UI" w:hAnsi="Meiryo UI"/>
                <w:sz w:val="18"/>
              </w:rPr>
              <w:t>8%</w:t>
            </w:r>
          </w:p>
        </w:tc>
        <w:tc>
          <w:tcPr>
            <w:tcW w:type="dxa" w:w="1881"/>
          </w:tcPr>
          <w:p>
            <w:r>
              <w:rPr>
                <w:rFonts w:ascii="Meiryo UI" w:hAnsi="Meiryo UI"/>
                <w:sz w:val="18"/>
              </w:rPr>
              <w:t>1.47倍</w:t>
            </w:r>
          </w:p>
        </w:tc>
        <w:tc>
          <w:tcPr>
            <w:tcW w:type="dxa" w:w="1881"/>
          </w:tcPr>
          <w:p>
            <w:r>
              <w:rPr>
                <w:rFonts w:ascii="Meiryo UI" w:hAnsi="Meiryo UI"/>
                <w:sz w:val="18"/>
              </w:rPr>
              <w:t>¥1,014</w:t>
            </w:r>
          </w:p>
        </w:tc>
        <w:tc>
          <w:tcPr>
            <w:tcW w:type="dxa" w:w="1881"/>
          </w:tcPr>
          <w:p>
            <w:r>
              <w:rPr>
                <w:rFonts w:ascii="Meiryo UI" w:hAnsi="Meiryo UI"/>
                <w:sz w:val="18"/>
              </w:rPr>
              <w:t>¥1,491</w:t>
            </w:r>
          </w:p>
        </w:tc>
      </w:tr>
      <w:tr>
        <w:tc>
          <w:tcPr>
            <w:tcW w:type="dxa" w:w="1881"/>
            <w:shd w:val="clear" w:color="auto" w:fill="DDEBF7"/>
          </w:tcPr>
          <w:p>
            <w:r>
              <w:rPr>
                <w:rFonts w:ascii="Meiryo UI" w:hAnsi="Meiryo UI"/>
                <w:sz w:val="18"/>
              </w:rPr>
              <w:t>B: コンセンサス（ROE 5%）</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0.92倍</w:t>
            </w:r>
          </w:p>
        </w:tc>
        <w:tc>
          <w:tcPr>
            <w:tcW w:type="dxa" w:w="1881"/>
            <w:shd w:val="clear" w:color="auto" w:fill="DDEBF7"/>
          </w:tcPr>
          <w:p>
            <w:r>
              <w:rPr>
                <w:rFonts w:ascii="Meiryo UI" w:hAnsi="Meiryo UI"/>
                <w:sz w:val="18"/>
              </w:rPr>
              <w:t>¥1,014</w:t>
            </w:r>
          </w:p>
        </w:tc>
        <w:tc>
          <w:tcPr>
            <w:tcW w:type="dxa" w:w="1881"/>
            <w:shd w:val="clear" w:color="auto" w:fill="DDEBF7"/>
          </w:tcPr>
          <w:p>
            <w:r>
              <w:rPr>
                <w:rFonts w:ascii="Meiryo UI" w:hAnsi="Meiryo UI"/>
                <w:sz w:val="18"/>
              </w:rPr>
              <w:t>¥933</w:t>
            </w:r>
          </w:p>
        </w:tc>
      </w:tr>
      <w:tr>
        <w:tc>
          <w:tcPr>
            <w:tcW w:type="dxa" w:w="1881"/>
          </w:tcPr>
          <w:p>
            <w:r>
              <w:rPr>
                <w:rFonts w:ascii="Meiryo UI" w:hAnsi="Meiryo UI"/>
                <w:sz w:val="18"/>
              </w:rPr>
              <w:t>C: 構造継続（ROE 2%）</w:t>
            </w:r>
          </w:p>
        </w:tc>
        <w:tc>
          <w:tcPr>
            <w:tcW w:type="dxa" w:w="1881"/>
          </w:tcPr>
          <w:p>
            <w:r>
              <w:rPr>
                <w:rFonts w:ascii="Meiryo UI" w:hAnsi="Meiryo UI"/>
                <w:sz w:val="18"/>
              </w:rPr>
              <w:t>2%</w:t>
            </w:r>
          </w:p>
        </w:tc>
        <w:tc>
          <w:tcPr>
            <w:tcW w:type="dxa" w:w="1881"/>
          </w:tcPr>
          <w:p>
            <w:r>
              <w:rPr>
                <w:rFonts w:ascii="Meiryo UI" w:hAnsi="Meiryo UI"/>
                <w:sz w:val="18"/>
              </w:rPr>
              <w:t>0.37倍</w:t>
            </w:r>
          </w:p>
        </w:tc>
        <w:tc>
          <w:tcPr>
            <w:tcW w:type="dxa" w:w="1881"/>
          </w:tcPr>
          <w:p>
            <w:r>
              <w:rPr>
                <w:rFonts w:ascii="Meiryo UI" w:hAnsi="Meiryo UI"/>
                <w:sz w:val="18"/>
              </w:rPr>
              <w:t>¥1,014</w:t>
            </w:r>
          </w:p>
        </w:tc>
        <w:tc>
          <w:tcPr>
            <w:tcW w:type="dxa" w:w="1881"/>
          </w:tcPr>
          <w:p>
            <w:r>
              <w:rPr>
                <w:rFonts w:ascii="Meiryo UI" w:hAnsi="Meiryo UI"/>
                <w:sz w:val="18"/>
              </w:rPr>
              <w:t>¥375</w:t>
            </w:r>
          </w:p>
        </w:tc>
      </w:tr>
    </w:tbl>
    <w:p/>
    <w:p>
      <w:r>
        <w:rPr>
          <w:rFonts w:ascii="Meiryo UI" w:hAnsi="Meiryo UI"/>
          <w:sz w:val="20"/>
        </w:rPr>
        <w:t>&gt; 注: 適正PBR = ROE / Re = ROE / 5.45%</w:t>
      </w:r>
    </w:p>
    <w:p/>
    <w:p>
      <w:pPr>
        <w:pStyle w:val="Heading3"/>
      </w:pPr>
      <w:r>
        <w:rPr>
          <w:rFonts w:ascii="Meiryo UI" w:hAnsi="Meiryo UI"/>
          <w:color w:val="2E74B5"/>
        </w:rPr>
        <w:t>5.5 統合理論株価（EV/EBITDA × 50% + PBRアプローチ × 50%）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EV/EBITDA株価</w:t>
            </w:r>
          </w:p>
        </w:tc>
        <w:tc>
          <w:tcPr>
            <w:tcW w:type="dxa" w:w="1568"/>
            <w:shd w:val="clear" w:color="auto" w:fill="2E74B5"/>
          </w:tcPr>
          <w:p>
            <w:r>
              <w:rPr>
                <w:rFonts w:ascii="Meiryo UI" w:hAnsi="Meiryo UI"/>
                <w:b/>
                <w:color w:val="FFFFFF"/>
                <w:sz w:val="18"/>
              </w:rPr>
              <w:t>PBR株価</w:t>
            </w:r>
          </w:p>
        </w:tc>
        <w:tc>
          <w:tcPr>
            <w:tcW w:type="dxa" w:w="1568"/>
            <w:shd w:val="clear" w:color="auto" w:fill="2E74B5"/>
          </w:tcPr>
          <w:p>
            <w:r>
              <w:rPr>
                <w:rFonts w:ascii="Meiryo UI" w:hAnsi="Meiryo UI"/>
                <w:b/>
                <w:color w:val="FFFFFF"/>
                <w:sz w:val="18"/>
              </w:rPr>
              <w:t>統合理論株価</w:t>
            </w:r>
          </w:p>
        </w:tc>
        <w:tc>
          <w:tcPr>
            <w:tcW w:type="dxa" w:w="1568"/>
            <w:shd w:val="clear" w:color="auto" w:fill="2E74B5"/>
          </w:tcPr>
          <w:p>
            <w:r>
              <w:rPr>
                <w:rFonts w:ascii="Meiryo UI" w:hAnsi="Meiryo UI"/>
                <w:b/>
                <w:color w:val="FFFFFF"/>
                <w:sz w:val="18"/>
              </w:rPr>
              <w:t>現在株価比</w:t>
            </w:r>
          </w:p>
        </w:tc>
        <w:tc>
          <w:tcPr>
            <w:tcW w:type="dxa" w:w="1568"/>
            <w:shd w:val="clear" w:color="auto" w:fill="2E74B5"/>
          </w:tcPr>
          <w:p>
            <w:r>
              <w:rPr>
                <w:rFonts w:ascii="Meiryo UI" w:hAnsi="Meiryo UI"/>
                <w:b/>
                <w:color w:val="FFFFFF"/>
                <w:sz w:val="18"/>
              </w:rPr>
              <w:t>判定</w:t>
            </w:r>
          </w:p>
        </w:tc>
      </w:tr>
      <w:tr>
        <w:tc>
          <w:tcPr>
            <w:tcW w:type="dxa" w:w="1568"/>
          </w:tcPr>
          <w:p>
            <w:r>
              <w:rPr>
                <w:rFonts w:ascii="Meiryo UI" w:hAnsi="Meiryo UI"/>
                <w:sz w:val="18"/>
              </w:rPr>
              <w:t>A: 計画達成</w:t>
            </w:r>
          </w:p>
        </w:tc>
        <w:tc>
          <w:tcPr>
            <w:tcW w:type="dxa" w:w="1568"/>
          </w:tcPr>
          <w:p>
            <w:r>
              <w:rPr>
                <w:rFonts w:ascii="Meiryo UI" w:hAnsi="Meiryo UI"/>
                <w:sz w:val="18"/>
              </w:rPr>
              <w:t>¥1,040</w:t>
            </w:r>
          </w:p>
        </w:tc>
        <w:tc>
          <w:tcPr>
            <w:tcW w:type="dxa" w:w="1568"/>
          </w:tcPr>
          <w:p>
            <w:r>
              <w:rPr>
                <w:rFonts w:ascii="Meiryo UI" w:hAnsi="Meiryo UI"/>
                <w:sz w:val="18"/>
              </w:rPr>
              <w:t>¥1,491</w:t>
            </w:r>
          </w:p>
        </w:tc>
        <w:tc>
          <w:tcPr>
            <w:tcW w:type="dxa" w:w="1568"/>
          </w:tcPr>
          <w:p>
            <w:r>
              <w:rPr>
                <w:rFonts w:ascii="Meiryo UI" w:hAnsi="Meiryo UI"/>
                <w:sz w:val="18"/>
              </w:rPr>
              <w:t>¥1,266</w:t>
            </w:r>
          </w:p>
        </w:tc>
        <w:tc>
          <w:tcPr>
            <w:tcW w:type="dxa" w:w="1568"/>
          </w:tcPr>
          <w:p>
            <w:r>
              <w:rPr>
                <w:rFonts w:ascii="Meiryo UI" w:hAnsi="Meiryo UI"/>
                <w:sz w:val="18"/>
              </w:rPr>
              <w:t>+35.5%</w:t>
            </w:r>
          </w:p>
        </w:tc>
        <w:tc>
          <w:tcPr>
            <w:tcW w:type="dxa" w:w="1568"/>
          </w:tcPr>
          <w:p>
            <w:r>
              <w:rPr>
                <w:rFonts w:ascii="Meiryo UI" w:hAnsi="Meiryo UI"/>
                <w:sz w:val="18"/>
              </w:rPr>
              <w:t>上値余地</w:t>
            </w:r>
          </w:p>
        </w:tc>
      </w:tr>
      <w:tr>
        <w:tc>
          <w:tcPr>
            <w:tcW w:type="dxa" w:w="1568"/>
            <w:shd w:val="clear" w:color="auto" w:fill="DDEBF7"/>
          </w:tcPr>
          <w:p>
            <w:r>
              <w:rPr>
                <w:rFonts w:ascii="Meiryo UI" w:hAnsi="Meiryo UI"/>
                <w:sz w:val="18"/>
              </w:rPr>
              <w:t>B: コンセンサス</w:t>
            </w:r>
          </w:p>
        </w:tc>
        <w:tc>
          <w:tcPr>
            <w:tcW w:type="dxa" w:w="1568"/>
            <w:shd w:val="clear" w:color="auto" w:fill="DDEBF7"/>
          </w:tcPr>
          <w:p>
            <w:r>
              <w:rPr>
                <w:rFonts w:ascii="Meiryo UI" w:hAnsi="Meiryo UI"/>
                <w:sz w:val="18"/>
              </w:rPr>
              <w:t>¥857</w:t>
            </w:r>
          </w:p>
        </w:tc>
        <w:tc>
          <w:tcPr>
            <w:tcW w:type="dxa" w:w="1568"/>
            <w:shd w:val="clear" w:color="auto" w:fill="DDEBF7"/>
          </w:tcPr>
          <w:p>
            <w:r>
              <w:rPr>
                <w:rFonts w:ascii="Meiryo UI" w:hAnsi="Meiryo UI"/>
                <w:sz w:val="18"/>
              </w:rPr>
              <w:t>¥933</w:t>
            </w:r>
          </w:p>
        </w:tc>
        <w:tc>
          <w:tcPr>
            <w:tcW w:type="dxa" w:w="1568"/>
            <w:shd w:val="clear" w:color="auto" w:fill="DDEBF7"/>
          </w:tcPr>
          <w:p>
            <w:r>
              <w:rPr>
                <w:rFonts w:ascii="Meiryo UI" w:hAnsi="Meiryo UI"/>
                <w:sz w:val="18"/>
              </w:rPr>
              <w:t>¥895</w:t>
            </w:r>
          </w:p>
        </w:tc>
        <w:tc>
          <w:tcPr>
            <w:tcW w:type="dxa" w:w="1568"/>
            <w:shd w:val="clear" w:color="auto" w:fill="DDEBF7"/>
          </w:tcPr>
          <w:p>
            <w:r>
              <w:rPr>
                <w:rFonts w:ascii="Meiryo UI" w:hAnsi="Meiryo UI"/>
                <w:sz w:val="18"/>
              </w:rPr>
              <w:t>▲4.2%</w:t>
            </w:r>
          </w:p>
        </w:tc>
        <w:tc>
          <w:tcPr>
            <w:tcW w:type="dxa" w:w="1568"/>
            <w:shd w:val="clear" w:color="auto" w:fill="DDEBF7"/>
          </w:tcPr>
          <w:p>
            <w:r>
              <w:rPr>
                <w:rFonts w:ascii="Meiryo UI" w:hAnsi="Meiryo UI"/>
                <w:sz w:val="18"/>
              </w:rPr>
              <w:t>ほぼ適正</w:t>
            </w:r>
          </w:p>
        </w:tc>
      </w:tr>
      <w:tr>
        <w:tc>
          <w:tcPr>
            <w:tcW w:type="dxa" w:w="1568"/>
          </w:tcPr>
          <w:p>
            <w:r>
              <w:rPr>
                <w:rFonts w:ascii="Meiryo UI" w:hAnsi="Meiryo UI"/>
                <w:sz w:val="18"/>
              </w:rPr>
              <w:t>C: 構造継続</w:t>
            </w:r>
          </w:p>
        </w:tc>
        <w:tc>
          <w:tcPr>
            <w:tcW w:type="dxa" w:w="1568"/>
          </w:tcPr>
          <w:p>
            <w:r>
              <w:rPr>
                <w:rFonts w:ascii="Meiryo UI" w:hAnsi="Meiryo UI"/>
                <w:sz w:val="18"/>
              </w:rPr>
              <w:t>¥385</w:t>
            </w:r>
          </w:p>
        </w:tc>
        <w:tc>
          <w:tcPr>
            <w:tcW w:type="dxa" w:w="1568"/>
          </w:tcPr>
          <w:p>
            <w:r>
              <w:rPr>
                <w:rFonts w:ascii="Meiryo UI" w:hAnsi="Meiryo UI"/>
                <w:sz w:val="18"/>
              </w:rPr>
              <w:t>¥375</w:t>
            </w:r>
          </w:p>
        </w:tc>
        <w:tc>
          <w:tcPr>
            <w:tcW w:type="dxa" w:w="1568"/>
          </w:tcPr>
          <w:p>
            <w:r>
              <w:rPr>
                <w:rFonts w:ascii="Meiryo UI" w:hAnsi="Meiryo UI"/>
                <w:sz w:val="18"/>
              </w:rPr>
              <w:t>¥380</w:t>
            </w:r>
          </w:p>
        </w:tc>
        <w:tc>
          <w:tcPr>
            <w:tcW w:type="dxa" w:w="1568"/>
          </w:tcPr>
          <w:p>
            <w:r>
              <w:rPr>
                <w:rFonts w:ascii="Meiryo UI" w:hAnsi="Meiryo UI"/>
                <w:sz w:val="18"/>
              </w:rPr>
              <w:t>▲59.3%</w:t>
            </w:r>
          </w:p>
        </w:tc>
        <w:tc>
          <w:tcPr>
            <w:tcW w:type="dxa" w:w="1568"/>
          </w:tcPr>
          <w:p>
            <w:r>
              <w:rPr>
                <w:rFonts w:ascii="Meiryo UI" w:hAnsi="Meiryo UI"/>
                <w:sz w:val="18"/>
              </w:rPr>
              <w:t>大幅割高</w:t>
            </w:r>
          </w:p>
        </w:tc>
      </w:tr>
    </w:tbl>
    <w:p/>
    <w:p>
      <w:pPr>
        <w:pStyle w:val="Heading3"/>
      </w:pPr>
      <w:r>
        <w:rPr>
          <w:rFonts w:ascii="Meiryo UI" w:hAnsi="Meiryo UI"/>
          <w:color w:val="2E74B5"/>
        </w:rPr>
        <w:t>5.6 安全域（Margin of Safety）を考慮した最終理論株価</w:t>
      </w:r>
    </w:p>
    <w:p/>
    <w:p>
      <w:pPr>
        <w:shd w:val="clear" w:color="auto" w:fill="F2F2F2"/>
      </w:pPr>
      <w:r>
        <w:rPr>
          <w:rFonts w:ascii="Courier New" w:hAnsi="Courier New"/>
          <w:sz w:val="16"/>
        </w:rPr>
        <w:t>基本ケース（B: コンセンサス収束）:</w:t>
        <w:br/>
        <w:t xml:space="preserve">  統合理論株価:    ¥895</w:t>
        <w:br/>
        <w:t xml:space="preserve">  MoS（▲15%）:  ¥895 × 0.85 = ¥761（MoS考慮後のエントリー推奨ライン）</w:t>
        <w:br/>
        <w:t xml:space="preserve">  </w:t>
        <w:br/>
        <w:t>不動産含み益(NAV中央値)加算:</w:t>
        <w:br/>
        <w:t xml:space="preserve">  統合理論株価 + 1株NAV¥350の50%割引:  ¥895 + ¥175 = ¥1,070</w:t>
        <w:br/>
        <w:t xml:space="preserve">  </w:t>
        <w:br/>
        <w:t xml:space="preserve">  → 実質的な理論株価レンジ: ¥895〜¥1,070（基本ケース）</w:t>
      </w:r>
    </w:p>
    <w:p/>
    <w:p>
      <w:r>
        <w:t>──────────────────────────────────────────────────</w:t>
      </w:r>
    </w:p>
    <w:p/>
    <w:p>
      <w:pPr>
        <w:pStyle w:val="Heading2"/>
      </w:pPr>
      <w:r>
        <w:rPr>
          <w:rFonts w:ascii="Meiryo UI" w:hAnsi="Meiryo UI"/>
          <w:color w:val="2E74B5"/>
        </w:rPr>
        <w:t>6. 金利感応度分析（Sensitivity Analysis）</w:t>
      </w:r>
    </w:p>
    <w:p/>
    <w:p>
      <w:pPr>
        <w:pStyle w:val="Heading3"/>
      </w:pPr>
      <w:r>
        <w:rPr>
          <w:rFonts w:ascii="Meiryo UI" w:hAnsi="Meiryo UI"/>
          <w:color w:val="2E74B5"/>
        </w:rPr>
        <w:t>セクション9: Rf変動による理論株価感応度テーブル</w:t>
      </w:r>
    </w:p>
    <w:p/>
    <w:p>
      <w:r>
        <w:rPr>
          <w:rFonts w:ascii="Meiryo UI" w:hAnsi="Meiryo UI"/>
          <w:sz w:val="20"/>
        </w:rPr>
        <w:t>前提：基本ケース（シナリオB: コンセンサス収束、営業利益¥8,000M）をベースに試算</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w:t>
            </w:r>
          </w:p>
        </w:tc>
        <w:tc>
          <w:tcPr>
            <w:tcW w:type="dxa" w:w="1176"/>
            <w:shd w:val="clear" w:color="auto" w:fill="2E74B5"/>
          </w:tcPr>
          <w:p>
            <w:r>
              <w:rPr>
                <w:rFonts w:ascii="Meiryo UI" w:hAnsi="Meiryo UI"/>
                <w:b/>
                <w:color w:val="FFFFFF"/>
                <w:sz w:val="18"/>
              </w:rPr>
              <w:t>Re(%)*</w:t>
            </w:r>
          </w:p>
        </w:tc>
        <w:tc>
          <w:tcPr>
            <w:tcW w:type="dxa" w:w="1176"/>
            <w:shd w:val="clear" w:color="auto" w:fill="2E74B5"/>
          </w:tcPr>
          <w:p>
            <w:r>
              <w:rPr>
                <w:rFonts w:ascii="Meiryo UI" w:hAnsi="Meiryo UI"/>
                <w:b/>
                <w:color w:val="FFFFFF"/>
                <w:sz w:val="18"/>
              </w:rPr>
              <w:t>WACC(%)</w:t>
            </w:r>
          </w:p>
        </w:tc>
        <w:tc>
          <w:tcPr>
            <w:tcW w:type="dxa" w:w="1176"/>
            <w:shd w:val="clear" w:color="auto" w:fill="2E74B5"/>
          </w:tcPr>
          <w:p>
            <w:r>
              <w:rPr>
                <w:rFonts w:ascii="Meiryo UI" w:hAnsi="Meiryo UI"/>
                <w:b/>
                <w:color w:val="FFFFFF"/>
                <w:sz w:val="18"/>
              </w:rPr>
              <w:t>EV/EBITDA理論株価(JPY)</w:t>
            </w:r>
          </w:p>
        </w:tc>
        <w:tc>
          <w:tcPr>
            <w:tcW w:type="dxa" w:w="1176"/>
            <w:shd w:val="clear" w:color="auto" w:fill="2E74B5"/>
          </w:tcPr>
          <w:p>
            <w:r>
              <w:rPr>
                <w:rFonts w:ascii="Meiryo UI" w:hAnsi="Meiryo UI"/>
                <w:b/>
                <w:color w:val="FFFFFF"/>
                <w:sz w:val="18"/>
              </w:rPr>
              <w:t>PBR理論株価(JPY)</w:t>
            </w:r>
          </w:p>
        </w:tc>
        <w:tc>
          <w:tcPr>
            <w:tcW w:type="dxa" w:w="1176"/>
            <w:shd w:val="clear" w:color="auto" w:fill="2E74B5"/>
          </w:tcPr>
          <w:p>
            <w:r>
              <w:rPr>
                <w:rFonts w:ascii="Meiryo UI" w:hAnsi="Meiryo UI"/>
                <w:b/>
                <w:color w:val="FFFFFF"/>
                <w:sz w:val="18"/>
              </w:rPr>
              <w:t>統合理論株価(JPY)</w:t>
            </w:r>
          </w:p>
        </w:tc>
        <w:tc>
          <w:tcPr>
            <w:tcW w:type="dxa" w:w="1176"/>
            <w:shd w:val="clear" w:color="auto" w:fill="2E74B5"/>
          </w:tcPr>
          <w:p>
            <w:r>
              <w:rPr>
                <w:rFonts w:ascii="Meiryo UI" w:hAnsi="Meiryo UI"/>
                <w:b/>
                <w:color w:val="FFFFFF"/>
                <w:sz w:val="18"/>
              </w:rPr>
              <w:t>現在値(¥934)比乖離率</w:t>
            </w:r>
          </w:p>
        </w:tc>
      </w:tr>
      <w:tr>
        <w:tc>
          <w:tcPr>
            <w:tcW w:type="dxa" w:w="1176"/>
          </w:tcPr>
          <w:p>
            <w:r>
              <w:rPr>
                <w:rFonts w:ascii="Meiryo UI" w:hAnsi="Meiryo UI"/>
                <w:sz w:val="18"/>
              </w:rPr>
              <w:t>Rf ▲1.00%</w:t>
            </w:r>
          </w:p>
        </w:tc>
        <w:tc>
          <w:tcPr>
            <w:tcW w:type="dxa" w:w="1176"/>
          </w:tcPr>
          <w:p>
            <w:r>
              <w:rPr>
                <w:rFonts w:ascii="Meiryo UI" w:hAnsi="Meiryo UI"/>
                <w:sz w:val="18"/>
              </w:rPr>
              <w:t>1.429%</w:t>
            </w:r>
          </w:p>
        </w:tc>
        <w:tc>
          <w:tcPr>
            <w:tcW w:type="dxa" w:w="1176"/>
          </w:tcPr>
          <w:p>
            <w:r>
              <w:rPr>
                <w:rFonts w:ascii="Meiryo UI" w:hAnsi="Meiryo UI"/>
                <w:sz w:val="18"/>
              </w:rPr>
              <w:t>4.454%</w:t>
            </w:r>
          </w:p>
        </w:tc>
        <w:tc>
          <w:tcPr>
            <w:tcW w:type="dxa" w:w="1176"/>
          </w:tcPr>
          <w:p>
            <w:r>
              <w:rPr>
                <w:rFonts w:ascii="Meiryo UI" w:hAnsi="Meiryo UI"/>
                <w:sz w:val="18"/>
              </w:rPr>
              <w:t>2.687%</w:t>
            </w:r>
          </w:p>
        </w:tc>
        <w:tc>
          <w:tcPr>
            <w:tcW w:type="dxa" w:w="1176"/>
          </w:tcPr>
          <w:p>
            <w:r>
              <w:rPr>
                <w:rFonts w:ascii="Meiryo UI" w:hAnsi="Meiryo UI"/>
                <w:sz w:val="18"/>
              </w:rPr>
              <w:t>¥970</w:t>
            </w:r>
          </w:p>
        </w:tc>
        <w:tc>
          <w:tcPr>
            <w:tcW w:type="dxa" w:w="1176"/>
          </w:tcPr>
          <w:p>
            <w:r>
              <w:rPr>
                <w:rFonts w:ascii="Meiryo UI" w:hAnsi="Meiryo UI"/>
                <w:sz w:val="18"/>
              </w:rPr>
              <w:t>¥1,082</w:t>
            </w:r>
          </w:p>
        </w:tc>
        <w:tc>
          <w:tcPr>
            <w:tcW w:type="dxa" w:w="1176"/>
          </w:tcPr>
          <w:p>
            <w:r>
              <w:rPr>
                <w:rFonts w:ascii="Meiryo UI" w:hAnsi="Meiryo UI"/>
                <w:sz w:val="18"/>
              </w:rPr>
              <w:t>¥1,026</w:t>
            </w:r>
          </w:p>
        </w:tc>
        <w:tc>
          <w:tcPr>
            <w:tcW w:type="dxa" w:w="1176"/>
          </w:tcPr>
          <w:p>
            <w:r>
              <w:rPr>
                <w:rFonts w:ascii="Meiryo UI" w:hAnsi="Meiryo UI"/>
                <w:sz w:val="18"/>
              </w:rPr>
              <w:t>+9.8%</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1.929%</w:t>
            </w:r>
          </w:p>
        </w:tc>
        <w:tc>
          <w:tcPr>
            <w:tcW w:type="dxa" w:w="1176"/>
            <w:shd w:val="clear" w:color="auto" w:fill="DDEBF7"/>
          </w:tcPr>
          <w:p>
            <w:r>
              <w:rPr>
                <w:rFonts w:ascii="Meiryo UI" w:hAnsi="Meiryo UI"/>
                <w:sz w:val="18"/>
              </w:rPr>
              <w:t>4.954%</w:t>
            </w:r>
          </w:p>
        </w:tc>
        <w:tc>
          <w:tcPr>
            <w:tcW w:type="dxa" w:w="1176"/>
            <w:shd w:val="clear" w:color="auto" w:fill="DDEBF7"/>
          </w:tcPr>
          <w:p>
            <w:r>
              <w:rPr>
                <w:rFonts w:ascii="Meiryo UI" w:hAnsi="Meiryo UI"/>
                <w:sz w:val="18"/>
              </w:rPr>
              <w:t>2.898%</w:t>
            </w:r>
          </w:p>
        </w:tc>
        <w:tc>
          <w:tcPr>
            <w:tcW w:type="dxa" w:w="1176"/>
            <w:shd w:val="clear" w:color="auto" w:fill="DDEBF7"/>
          </w:tcPr>
          <w:p>
            <w:r>
              <w:rPr>
                <w:rFonts w:ascii="Meiryo UI" w:hAnsi="Meiryo UI"/>
                <w:sz w:val="18"/>
              </w:rPr>
              <w:t>¥930</w:t>
            </w:r>
          </w:p>
        </w:tc>
        <w:tc>
          <w:tcPr>
            <w:tcW w:type="dxa" w:w="1176"/>
            <w:shd w:val="clear" w:color="auto" w:fill="DDEBF7"/>
          </w:tcPr>
          <w:p>
            <w:r>
              <w:rPr>
                <w:rFonts w:ascii="Meiryo UI" w:hAnsi="Meiryo UI"/>
                <w:sz w:val="18"/>
              </w:rPr>
              <w:t>¥1,009</w:t>
            </w:r>
          </w:p>
        </w:tc>
        <w:tc>
          <w:tcPr>
            <w:tcW w:type="dxa" w:w="1176"/>
            <w:shd w:val="clear" w:color="auto" w:fill="DDEBF7"/>
          </w:tcPr>
          <w:p>
            <w:r>
              <w:rPr>
                <w:rFonts w:ascii="Meiryo UI" w:hAnsi="Meiryo UI"/>
                <w:sz w:val="18"/>
              </w:rPr>
              <w:t>¥970</w:t>
            </w:r>
          </w:p>
        </w:tc>
        <w:tc>
          <w:tcPr>
            <w:tcW w:type="dxa" w:w="1176"/>
            <w:shd w:val="clear" w:color="auto" w:fill="DDEBF7"/>
          </w:tcPr>
          <w:p>
            <w:r>
              <w:rPr>
                <w:rFonts w:ascii="Meiryo UI" w:hAnsi="Meiryo UI"/>
                <w:sz w:val="18"/>
              </w:rPr>
              <w:t>+3.9%</w:t>
            </w:r>
          </w:p>
        </w:tc>
      </w:tr>
      <w:tr>
        <w:tc>
          <w:tcPr>
            <w:tcW w:type="dxa" w:w="1176"/>
          </w:tcPr>
          <w:p>
            <w:r>
              <w:rPr>
                <w:rFonts w:ascii="Meiryo UI" w:hAnsi="Meiryo UI"/>
                <w:sz w:val="18"/>
              </w:rPr>
              <w:t>Rf ▲0.25%</w:t>
            </w:r>
          </w:p>
        </w:tc>
        <w:tc>
          <w:tcPr>
            <w:tcW w:type="dxa" w:w="1176"/>
          </w:tcPr>
          <w:p>
            <w:r>
              <w:rPr>
                <w:rFonts w:ascii="Meiryo UI" w:hAnsi="Meiryo UI"/>
                <w:sz w:val="18"/>
              </w:rPr>
              <w:t>2.179%</w:t>
            </w:r>
          </w:p>
        </w:tc>
        <w:tc>
          <w:tcPr>
            <w:tcW w:type="dxa" w:w="1176"/>
          </w:tcPr>
          <w:p>
            <w:r>
              <w:rPr>
                <w:rFonts w:ascii="Meiryo UI" w:hAnsi="Meiryo UI"/>
                <w:sz w:val="18"/>
              </w:rPr>
              <w:t>5.204%</w:t>
            </w:r>
          </w:p>
        </w:tc>
        <w:tc>
          <w:tcPr>
            <w:tcW w:type="dxa" w:w="1176"/>
          </w:tcPr>
          <w:p>
            <w:r>
              <w:rPr>
                <w:rFonts w:ascii="Meiryo UI" w:hAnsi="Meiryo UI"/>
                <w:sz w:val="18"/>
              </w:rPr>
              <w:t>3.019%</w:t>
            </w:r>
          </w:p>
        </w:tc>
        <w:tc>
          <w:tcPr>
            <w:tcW w:type="dxa" w:w="1176"/>
          </w:tcPr>
          <w:p>
            <w:r>
              <w:rPr>
                <w:rFonts w:ascii="Meiryo UI" w:hAnsi="Meiryo UI"/>
                <w:sz w:val="18"/>
              </w:rPr>
              <w:t>¥893</w:t>
            </w:r>
          </w:p>
        </w:tc>
        <w:tc>
          <w:tcPr>
            <w:tcW w:type="dxa" w:w="1176"/>
          </w:tcPr>
          <w:p>
            <w:r>
              <w:rPr>
                <w:rFonts w:ascii="Meiryo UI" w:hAnsi="Meiryo UI"/>
                <w:sz w:val="18"/>
              </w:rPr>
              <w:t>¥975</w:t>
            </w:r>
          </w:p>
        </w:tc>
        <w:tc>
          <w:tcPr>
            <w:tcW w:type="dxa" w:w="1176"/>
          </w:tcPr>
          <w:p>
            <w:r>
              <w:rPr>
                <w:rFonts w:ascii="Meiryo UI" w:hAnsi="Meiryo UI"/>
                <w:sz w:val="18"/>
              </w:rPr>
              <w:t>¥934</w:t>
            </w:r>
          </w:p>
        </w:tc>
        <w:tc>
          <w:tcPr>
            <w:tcW w:type="dxa" w:w="1176"/>
          </w:tcPr>
          <w:p>
            <w:r>
              <w:rPr>
                <w:rFonts w:ascii="Meiryo UI" w:hAnsi="Meiryo UI"/>
                <w:sz w:val="18"/>
              </w:rPr>
              <w:t>±0.0%</w:t>
            </w:r>
          </w:p>
        </w:tc>
      </w:tr>
      <w:tr>
        <w:tc>
          <w:tcPr>
            <w:tcW w:type="dxa" w:w="1176"/>
            <w:shd w:val="clear" w:color="auto" w:fill="DDEBF7"/>
          </w:tcPr>
          <w:p>
            <w:r>
              <w:rPr>
                <w:rFonts w:ascii="Meiryo UI" w:hAnsi="Meiryo UI"/>
                <w:sz w:val="18"/>
              </w:rPr>
              <w:t>Rf 基本（現状）</w:t>
            </w:r>
          </w:p>
        </w:tc>
        <w:tc>
          <w:tcPr>
            <w:tcW w:type="dxa" w:w="1176"/>
            <w:shd w:val="clear" w:color="auto" w:fill="DDEBF7"/>
          </w:tcPr>
          <w:p>
            <w:r>
              <w:rPr>
                <w:rFonts w:ascii="Meiryo UI" w:hAnsi="Meiryo UI"/>
                <w:sz w:val="18"/>
              </w:rPr>
              <w:t>2.429%</w:t>
            </w:r>
          </w:p>
        </w:tc>
        <w:tc>
          <w:tcPr>
            <w:tcW w:type="dxa" w:w="1176"/>
            <w:shd w:val="clear" w:color="auto" w:fill="DDEBF7"/>
          </w:tcPr>
          <w:p>
            <w:r>
              <w:rPr>
                <w:rFonts w:ascii="Meiryo UI" w:hAnsi="Meiryo UI"/>
                <w:sz w:val="18"/>
              </w:rPr>
              <w:t>5.454%</w:t>
            </w:r>
          </w:p>
        </w:tc>
        <w:tc>
          <w:tcPr>
            <w:tcW w:type="dxa" w:w="1176"/>
            <w:shd w:val="clear" w:color="auto" w:fill="DDEBF7"/>
          </w:tcPr>
          <w:p>
            <w:r>
              <w:rPr>
                <w:rFonts w:ascii="Meiryo UI" w:hAnsi="Meiryo UI"/>
                <w:sz w:val="18"/>
              </w:rPr>
              <w:t>3.147%</w:t>
            </w:r>
          </w:p>
        </w:tc>
        <w:tc>
          <w:tcPr>
            <w:tcW w:type="dxa" w:w="1176"/>
            <w:shd w:val="clear" w:color="auto" w:fill="DDEBF7"/>
          </w:tcPr>
          <w:p>
            <w:r>
              <w:rPr>
                <w:rFonts w:ascii="Meiryo UI" w:hAnsi="Meiryo UI"/>
                <w:sz w:val="18"/>
              </w:rPr>
              <w:t>¥857</w:t>
            </w:r>
          </w:p>
        </w:tc>
        <w:tc>
          <w:tcPr>
            <w:tcW w:type="dxa" w:w="1176"/>
            <w:shd w:val="clear" w:color="auto" w:fill="DDEBF7"/>
          </w:tcPr>
          <w:p>
            <w:r>
              <w:rPr>
                <w:rFonts w:ascii="Meiryo UI" w:hAnsi="Meiryo UI"/>
                <w:sz w:val="18"/>
              </w:rPr>
              <w:t>¥933</w:t>
            </w:r>
          </w:p>
        </w:tc>
        <w:tc>
          <w:tcPr>
            <w:tcW w:type="dxa" w:w="1176"/>
            <w:shd w:val="clear" w:color="auto" w:fill="DDEBF7"/>
          </w:tcPr>
          <w:p>
            <w:r>
              <w:rPr>
                <w:rFonts w:ascii="Meiryo UI" w:hAnsi="Meiryo UI"/>
                <w:sz w:val="18"/>
              </w:rPr>
              <w:t>¥895</w:t>
            </w:r>
          </w:p>
        </w:tc>
        <w:tc>
          <w:tcPr>
            <w:tcW w:type="dxa" w:w="1176"/>
            <w:shd w:val="clear" w:color="auto" w:fill="DDEBF7"/>
          </w:tcPr>
          <w:p>
            <w:r>
              <w:rPr>
                <w:rFonts w:ascii="Meiryo UI" w:hAnsi="Meiryo UI"/>
                <w:sz w:val="18"/>
              </w:rPr>
              <w:t>▲4.2%</w:t>
            </w:r>
          </w:p>
        </w:tc>
      </w:tr>
      <w:tr>
        <w:tc>
          <w:tcPr>
            <w:tcW w:type="dxa" w:w="1176"/>
          </w:tcPr>
          <w:p>
            <w:r>
              <w:rPr>
                <w:rFonts w:ascii="Meiryo UI" w:hAnsi="Meiryo UI"/>
                <w:sz w:val="18"/>
              </w:rPr>
              <w:t>Rf +0.25%</w:t>
            </w:r>
          </w:p>
        </w:tc>
        <w:tc>
          <w:tcPr>
            <w:tcW w:type="dxa" w:w="1176"/>
          </w:tcPr>
          <w:p>
            <w:r>
              <w:rPr>
                <w:rFonts w:ascii="Meiryo UI" w:hAnsi="Meiryo UI"/>
                <w:sz w:val="18"/>
              </w:rPr>
              <w:t>2.679%</w:t>
            </w:r>
          </w:p>
        </w:tc>
        <w:tc>
          <w:tcPr>
            <w:tcW w:type="dxa" w:w="1176"/>
          </w:tcPr>
          <w:p>
            <w:r>
              <w:rPr>
                <w:rFonts w:ascii="Meiryo UI" w:hAnsi="Meiryo UI"/>
                <w:sz w:val="18"/>
              </w:rPr>
              <w:t>5.704%</w:t>
            </w:r>
          </w:p>
        </w:tc>
        <w:tc>
          <w:tcPr>
            <w:tcW w:type="dxa" w:w="1176"/>
          </w:tcPr>
          <w:p>
            <w:r>
              <w:rPr>
                <w:rFonts w:ascii="Meiryo UI" w:hAnsi="Meiryo UI"/>
                <w:sz w:val="18"/>
              </w:rPr>
              <w:t>3.265%</w:t>
            </w:r>
          </w:p>
        </w:tc>
        <w:tc>
          <w:tcPr>
            <w:tcW w:type="dxa" w:w="1176"/>
          </w:tcPr>
          <w:p>
            <w:r>
              <w:rPr>
                <w:rFonts w:ascii="Meiryo UI" w:hAnsi="Meiryo UI"/>
                <w:sz w:val="18"/>
              </w:rPr>
              <w:t>¥820</w:t>
            </w:r>
          </w:p>
        </w:tc>
        <w:tc>
          <w:tcPr>
            <w:tcW w:type="dxa" w:w="1176"/>
          </w:tcPr>
          <w:p>
            <w:r>
              <w:rPr>
                <w:rFonts w:ascii="Meiryo UI" w:hAnsi="Meiryo UI"/>
                <w:sz w:val="18"/>
              </w:rPr>
              <w:t>¥891</w:t>
            </w:r>
          </w:p>
        </w:tc>
        <w:tc>
          <w:tcPr>
            <w:tcW w:type="dxa" w:w="1176"/>
          </w:tcPr>
          <w:p>
            <w:r>
              <w:rPr>
                <w:rFonts w:ascii="Meiryo UI" w:hAnsi="Meiryo UI"/>
                <w:sz w:val="18"/>
              </w:rPr>
              <w:t>¥856</w:t>
            </w:r>
          </w:p>
        </w:tc>
        <w:tc>
          <w:tcPr>
            <w:tcW w:type="dxa" w:w="1176"/>
          </w:tcPr>
          <w:p>
            <w:r>
              <w:rPr>
                <w:rFonts w:ascii="Meiryo UI" w:hAnsi="Meiryo UI"/>
                <w:sz w:val="18"/>
              </w:rPr>
              <w:t>▲8.4%</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2.929%</w:t>
            </w:r>
          </w:p>
        </w:tc>
        <w:tc>
          <w:tcPr>
            <w:tcW w:type="dxa" w:w="1176"/>
            <w:shd w:val="clear" w:color="auto" w:fill="DDEBF7"/>
          </w:tcPr>
          <w:p>
            <w:r>
              <w:rPr>
                <w:rFonts w:ascii="Meiryo UI" w:hAnsi="Meiryo UI"/>
                <w:sz w:val="18"/>
              </w:rPr>
              <w:t>5.954%</w:t>
            </w:r>
          </w:p>
        </w:tc>
        <w:tc>
          <w:tcPr>
            <w:tcW w:type="dxa" w:w="1176"/>
            <w:shd w:val="clear" w:color="auto" w:fill="DDEBF7"/>
          </w:tcPr>
          <w:p>
            <w:r>
              <w:rPr>
                <w:rFonts w:ascii="Meiryo UI" w:hAnsi="Meiryo UI"/>
                <w:sz w:val="18"/>
              </w:rPr>
              <w:t>3.384%</w:t>
            </w:r>
          </w:p>
        </w:tc>
        <w:tc>
          <w:tcPr>
            <w:tcW w:type="dxa" w:w="1176"/>
            <w:shd w:val="clear" w:color="auto" w:fill="DDEBF7"/>
          </w:tcPr>
          <w:p>
            <w:r>
              <w:rPr>
                <w:rFonts w:ascii="Meiryo UI" w:hAnsi="Meiryo UI"/>
                <w:sz w:val="18"/>
              </w:rPr>
              <w:t>¥782</w:t>
            </w:r>
          </w:p>
        </w:tc>
        <w:tc>
          <w:tcPr>
            <w:tcW w:type="dxa" w:w="1176"/>
            <w:shd w:val="clear" w:color="auto" w:fill="DDEBF7"/>
          </w:tcPr>
          <w:p>
            <w:r>
              <w:rPr>
                <w:rFonts w:ascii="Meiryo UI" w:hAnsi="Meiryo UI"/>
                <w:sz w:val="18"/>
              </w:rPr>
              <w:t>¥853</w:t>
            </w:r>
          </w:p>
        </w:tc>
        <w:tc>
          <w:tcPr>
            <w:tcW w:type="dxa" w:w="1176"/>
            <w:shd w:val="clear" w:color="auto" w:fill="DDEBF7"/>
          </w:tcPr>
          <w:p>
            <w:r>
              <w:rPr>
                <w:rFonts w:ascii="Meiryo UI" w:hAnsi="Meiryo UI"/>
                <w:sz w:val="18"/>
              </w:rPr>
              <w:t>¥818</w:t>
            </w:r>
          </w:p>
        </w:tc>
        <w:tc>
          <w:tcPr>
            <w:tcW w:type="dxa" w:w="1176"/>
            <w:shd w:val="clear" w:color="auto" w:fill="DDEBF7"/>
          </w:tcPr>
          <w:p>
            <w:r>
              <w:rPr>
                <w:rFonts w:ascii="Meiryo UI" w:hAnsi="Meiryo UI"/>
                <w:sz w:val="18"/>
              </w:rPr>
              <w:t>▲12.4%</w:t>
            </w:r>
          </w:p>
        </w:tc>
      </w:tr>
      <w:tr>
        <w:tc>
          <w:tcPr>
            <w:tcW w:type="dxa" w:w="1176"/>
          </w:tcPr>
          <w:p>
            <w:r>
              <w:rPr>
                <w:rFonts w:ascii="Meiryo UI" w:hAnsi="Meiryo UI"/>
                <w:sz w:val="18"/>
              </w:rPr>
              <w:t>Rf +1.00%</w:t>
            </w:r>
          </w:p>
        </w:tc>
        <w:tc>
          <w:tcPr>
            <w:tcW w:type="dxa" w:w="1176"/>
          </w:tcPr>
          <w:p>
            <w:r>
              <w:rPr>
                <w:rFonts w:ascii="Meiryo UI" w:hAnsi="Meiryo UI"/>
                <w:sz w:val="18"/>
              </w:rPr>
              <w:t>3.429%</w:t>
            </w:r>
          </w:p>
        </w:tc>
        <w:tc>
          <w:tcPr>
            <w:tcW w:type="dxa" w:w="1176"/>
          </w:tcPr>
          <w:p>
            <w:r>
              <w:rPr>
                <w:rFonts w:ascii="Meiryo UI" w:hAnsi="Meiryo UI"/>
                <w:sz w:val="18"/>
              </w:rPr>
              <w:t>6.454%</w:t>
            </w:r>
          </w:p>
        </w:tc>
        <w:tc>
          <w:tcPr>
            <w:tcW w:type="dxa" w:w="1176"/>
          </w:tcPr>
          <w:p>
            <w:r>
              <w:rPr>
                <w:rFonts w:ascii="Meiryo UI" w:hAnsi="Meiryo UI"/>
                <w:sz w:val="18"/>
              </w:rPr>
              <w:t>3.620%</w:t>
            </w:r>
          </w:p>
        </w:tc>
        <w:tc>
          <w:tcPr>
            <w:tcW w:type="dxa" w:w="1176"/>
          </w:tcPr>
          <w:p>
            <w:r>
              <w:rPr>
                <w:rFonts w:ascii="Meiryo UI" w:hAnsi="Meiryo UI"/>
                <w:sz w:val="18"/>
              </w:rPr>
              <w:t>¥713</w:t>
            </w:r>
          </w:p>
        </w:tc>
        <w:tc>
          <w:tcPr>
            <w:tcW w:type="dxa" w:w="1176"/>
          </w:tcPr>
          <w:p>
            <w:r>
              <w:rPr>
                <w:rFonts w:ascii="Meiryo UI" w:hAnsi="Meiryo UI"/>
                <w:sz w:val="18"/>
              </w:rPr>
              <w:t>¥781</w:t>
            </w:r>
          </w:p>
        </w:tc>
        <w:tc>
          <w:tcPr>
            <w:tcW w:type="dxa" w:w="1176"/>
          </w:tcPr>
          <w:p>
            <w:r>
              <w:rPr>
                <w:rFonts w:ascii="Meiryo UI" w:hAnsi="Meiryo UI"/>
                <w:sz w:val="18"/>
              </w:rPr>
              <w:t>¥747</w:t>
            </w:r>
          </w:p>
        </w:tc>
        <w:tc>
          <w:tcPr>
            <w:tcW w:type="dxa" w:w="1176"/>
          </w:tcPr>
          <w:p>
            <w:r>
              <w:rPr>
                <w:rFonts w:ascii="Meiryo UI" w:hAnsi="Meiryo UI"/>
                <w:sz w:val="18"/>
              </w:rPr>
              <w:t>▲20.0%</w:t>
            </w:r>
          </w:p>
        </w:tc>
      </w:tr>
    </w:tbl>
    <w:p/>
    <w:p>
      <w:pPr>
        <w:shd w:val="clear" w:color="auto" w:fill="F2F2F2"/>
      </w:pPr>
      <w:r>
        <w:rPr>
          <w:rFonts w:ascii="Courier New" w:hAnsi="Courier New"/>
          <w:sz w:val="16"/>
        </w:rPr>
        <w:t>計算式（各Rfシナリオ）:</w:t>
        <w:br/>
        <w:t xml:space="preserve">  Re = Rf + 0.55 × 5.5%</w:t>
        <w:br/>
        <w:t xml:space="preserve">  WACC = 0.45 × Re + 0.55 × 1.26%</w:t>
        <w:br/>
        <w:t xml:space="preserve">  適正PBR = (想定ROE 5%) / Re</w:t>
        <w:br/>
        <w:t xml:space="preserve">  EV/EBITDA株価 = (¥14,800M × 5.5 - ¥30,000M) / 60,000千株</w:t>
        <w:br/>
        <w:t xml:space="preserve">  ※ EV/EBITDAはWACC連動で調整（WACC↑→倍率↓）</w:t>
      </w:r>
    </w:p>
    <w:p/>
    <w:p>
      <w:r>
        <w:rPr>
          <w:rFonts w:ascii="Meiryo UI" w:hAnsi="Meiryo UI"/>
          <w:sz w:val="20"/>
        </w:rPr>
        <w:t>&gt; 感応度まとめ: Rfが+1.00%上昇した場合（日銀追加利上げ局面）、理論株価は¥895→¥747（▲16.5%下落）。金利上昇はスーパーマーケット株にとってネガティブだが、ディフェンシブβ（0.55）の恩恵で影響は限定的。Rf▲1.00%（金利低下/景気後退局面）では¥1,026まで上値余地拡大。</w:t>
      </w:r>
    </w:p>
    <w:p/>
    <w:p>
      <w:r>
        <w:t>──────────────────────────────────────────────────</w:t>
      </w:r>
    </w:p>
    <w:p/>
    <w:p>
      <w:pPr>
        <w:pStyle w:val="Heading2"/>
      </w:pPr>
      <w:r>
        <w:rPr>
          <w:rFonts w:ascii="Meiryo UI" w:hAnsi="Meiryo UI"/>
          <w:color w:val="2E74B5"/>
        </w:rPr>
        <w:t>7. 同業比較（⑧）</w:t>
      </w:r>
    </w:p>
    <w:p/>
    <w:p>
      <w:pPr>
        <w:pStyle w:val="Heading3"/>
      </w:pPr>
      <w:r>
        <w:rPr>
          <w:rFonts w:ascii="Meiryo UI" w:hAnsi="Meiryo UI"/>
          <w:color w:val="2E74B5"/>
        </w:rPr>
        <w:t>7.1 主要スーパーマーケット銘柄バリュエーション比較</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銘柄</w:t>
            </w:r>
          </w:p>
        </w:tc>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現在株価</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PER</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食品インフレ感応度</w:t>
            </w:r>
          </w:p>
        </w:tc>
      </w:tr>
      <w:tr>
        <w:tc>
          <w:tcPr>
            <w:tcW w:type="dxa" w:w="1176"/>
          </w:tcPr>
          <w:p>
            <w:r>
              <w:rPr>
                <w:rFonts w:ascii="Meiryo UI" w:hAnsi="Meiryo UI"/>
                <w:sz w:val="18"/>
              </w:rPr>
              <w:t>ユナイテッドSM</w:t>
            </w:r>
          </w:p>
        </w:tc>
        <w:tc>
          <w:tcPr>
            <w:tcW w:type="dxa" w:w="1176"/>
          </w:tcPr>
          <w:p>
            <w:r>
              <w:rPr>
                <w:rFonts w:ascii="Meiryo UI" w:hAnsi="Meiryo UI"/>
                <w:sz w:val="18"/>
              </w:rPr>
              <w:t>3222</w:t>
            </w:r>
          </w:p>
        </w:tc>
        <w:tc>
          <w:tcPr>
            <w:tcW w:type="dxa" w:w="1176"/>
          </w:tcPr>
          <w:p>
            <w:r>
              <w:rPr>
                <w:rFonts w:ascii="Meiryo UI" w:hAnsi="Meiryo UI"/>
                <w:sz w:val="18"/>
              </w:rPr>
              <w:t>¥934</w:t>
            </w:r>
          </w:p>
        </w:tc>
        <w:tc>
          <w:tcPr>
            <w:tcW w:type="dxa" w:w="1176"/>
          </w:tcPr>
          <w:p>
            <w:r>
              <w:rPr>
                <w:rFonts w:ascii="Meiryo UI" w:hAnsi="Meiryo UI"/>
                <w:sz w:val="18"/>
              </w:rPr>
              <w:t>1.88%</w:t>
            </w:r>
          </w:p>
        </w:tc>
        <w:tc>
          <w:tcPr>
            <w:tcW w:type="dxa" w:w="1176"/>
          </w:tcPr>
          <w:p>
            <w:r>
              <w:rPr>
                <w:rFonts w:ascii="Meiryo UI" w:hAnsi="Meiryo UI"/>
                <w:sz w:val="18"/>
              </w:rPr>
              <w:t>58.7倍</w:t>
            </w:r>
          </w:p>
        </w:tc>
        <w:tc>
          <w:tcPr>
            <w:tcW w:type="dxa" w:w="1176"/>
          </w:tcPr>
          <w:p>
            <w:r>
              <w:rPr>
                <w:rFonts w:ascii="Meiryo UI" w:hAnsi="Meiryo UI"/>
                <w:sz w:val="18"/>
              </w:rPr>
              <w:t>0.92倍</w:t>
            </w:r>
          </w:p>
        </w:tc>
        <w:tc>
          <w:tcPr>
            <w:tcW w:type="dxa" w:w="1176"/>
          </w:tcPr>
          <w:p>
            <w:r>
              <w:rPr>
                <w:rFonts w:ascii="Meiryo UI" w:hAnsi="Meiryo UI"/>
                <w:sz w:val="18"/>
              </w:rPr>
              <w:t>1.0%</w:t>
            </w:r>
          </w:p>
        </w:tc>
        <w:tc>
          <w:tcPr>
            <w:tcW w:type="dxa" w:w="1176"/>
          </w:tcPr>
          <w:p>
            <w:r>
              <w:rPr>
                <w:rFonts w:ascii="Meiryo UI" w:hAnsi="Meiryo UI"/>
                <w:sz w:val="18"/>
              </w:rPr>
              <w:t>中（転嫁進行中）</w:t>
            </w:r>
          </w:p>
        </w:tc>
      </w:tr>
      <w:tr>
        <w:tc>
          <w:tcPr>
            <w:tcW w:type="dxa" w:w="1176"/>
            <w:shd w:val="clear" w:color="auto" w:fill="DDEBF7"/>
          </w:tcPr>
          <w:p>
            <w:r>
              <w:rPr>
                <w:rFonts w:ascii="Meiryo UI" w:hAnsi="Meiryo UI"/>
                <w:sz w:val="18"/>
              </w:rPr>
              <w:t>ライフコーポレーション</w:t>
            </w:r>
          </w:p>
        </w:tc>
        <w:tc>
          <w:tcPr>
            <w:tcW w:type="dxa" w:w="1176"/>
            <w:shd w:val="clear" w:color="auto" w:fill="DDEBF7"/>
          </w:tcPr>
          <w:p>
            <w:r>
              <w:rPr>
                <w:rFonts w:ascii="Meiryo UI" w:hAnsi="Meiryo UI"/>
                <w:sz w:val="18"/>
              </w:rPr>
              <w:t>8194</w:t>
            </w:r>
          </w:p>
        </w:tc>
        <w:tc>
          <w:tcPr>
            <w:tcW w:type="dxa" w:w="1176"/>
            <w:shd w:val="clear" w:color="auto" w:fill="DDEBF7"/>
          </w:tcPr>
          <w:p>
            <w:r>
              <w:rPr>
                <w:rFonts w:ascii="Meiryo UI" w:hAnsi="Meiryo UI"/>
                <w:sz w:val="18"/>
              </w:rPr>
              <w:t>—（推計¥3,200）</w:t>
            </w:r>
          </w:p>
        </w:tc>
        <w:tc>
          <w:tcPr>
            <w:tcW w:type="dxa" w:w="1176"/>
            <w:shd w:val="clear" w:color="auto" w:fill="DDEBF7"/>
          </w:tcPr>
          <w:p>
            <w:r>
              <w:rPr>
                <w:rFonts w:ascii="Meiryo UI" w:hAnsi="Meiryo UI"/>
                <w:sz w:val="18"/>
              </w:rPr>
              <w:t>2.5〜3.0%</w:t>
            </w:r>
          </w:p>
        </w:tc>
        <w:tc>
          <w:tcPr>
            <w:tcW w:type="dxa" w:w="1176"/>
            <w:shd w:val="clear" w:color="auto" w:fill="DDEBF7"/>
          </w:tcPr>
          <w:p>
            <w:r>
              <w:rPr>
                <w:rFonts w:ascii="Meiryo UI" w:hAnsi="Meiryo UI"/>
                <w:sz w:val="18"/>
              </w:rPr>
              <w:t>20〜25倍</w:t>
            </w:r>
          </w:p>
        </w:tc>
        <w:tc>
          <w:tcPr>
            <w:tcW w:type="dxa" w:w="1176"/>
            <w:shd w:val="clear" w:color="auto" w:fill="DDEBF7"/>
          </w:tcPr>
          <w:p>
            <w:r>
              <w:rPr>
                <w:rFonts w:ascii="Meiryo UI" w:hAnsi="Meiryo UI"/>
                <w:sz w:val="18"/>
              </w:rPr>
              <w:t>1.2〜1.4倍</w:t>
            </w:r>
          </w:p>
        </w:tc>
        <w:tc>
          <w:tcPr>
            <w:tcW w:type="dxa" w:w="1176"/>
            <w:shd w:val="clear" w:color="auto" w:fill="DDEBF7"/>
          </w:tcPr>
          <w:p>
            <w:r>
              <w:rPr>
                <w:rFonts w:ascii="Meiryo UI" w:hAnsi="Meiryo UI"/>
                <w:sz w:val="18"/>
              </w:rPr>
              <w:t>5〜6%</w:t>
            </w:r>
          </w:p>
        </w:tc>
        <w:tc>
          <w:tcPr>
            <w:tcW w:type="dxa" w:w="1176"/>
            <w:shd w:val="clear" w:color="auto" w:fill="DDEBF7"/>
          </w:tcPr>
          <w:p>
            <w:r>
              <w:rPr>
                <w:rFonts w:ascii="Meiryo UI" w:hAnsi="Meiryo UI"/>
                <w:sz w:val="18"/>
              </w:rPr>
              <w:t>中高</w:t>
            </w:r>
          </w:p>
        </w:tc>
      </w:tr>
      <w:tr>
        <w:tc>
          <w:tcPr>
            <w:tcW w:type="dxa" w:w="1176"/>
          </w:tcPr>
          <w:p>
            <w:r>
              <w:rPr>
                <w:rFonts w:ascii="Meiryo UI" w:hAnsi="Meiryo UI"/>
                <w:sz w:val="18"/>
              </w:rPr>
              <w:t>ヤオコー</w:t>
            </w:r>
          </w:p>
        </w:tc>
        <w:tc>
          <w:tcPr>
            <w:tcW w:type="dxa" w:w="1176"/>
          </w:tcPr>
          <w:p>
            <w:r>
              <w:rPr>
                <w:rFonts w:ascii="Meiryo UI" w:hAnsi="Meiryo UI"/>
                <w:sz w:val="18"/>
              </w:rPr>
              <w:t>8279</w:t>
            </w:r>
          </w:p>
        </w:tc>
        <w:tc>
          <w:tcPr>
            <w:tcW w:type="dxa" w:w="1176"/>
          </w:tcPr>
          <w:p>
            <w:r>
              <w:rPr>
                <w:rFonts w:ascii="Meiryo UI" w:hAnsi="Meiryo UI"/>
                <w:sz w:val="18"/>
              </w:rPr>
              <w:t>—（推計¥4,800）</w:t>
            </w:r>
          </w:p>
        </w:tc>
        <w:tc>
          <w:tcPr>
            <w:tcW w:type="dxa" w:w="1176"/>
          </w:tcPr>
          <w:p>
            <w:r>
              <w:rPr>
                <w:rFonts w:ascii="Meiryo UI" w:hAnsi="Meiryo UI"/>
                <w:sz w:val="18"/>
              </w:rPr>
              <w:t>3.5〜4.0%</w:t>
            </w:r>
          </w:p>
        </w:tc>
        <w:tc>
          <w:tcPr>
            <w:tcW w:type="dxa" w:w="1176"/>
          </w:tcPr>
          <w:p>
            <w:r>
              <w:rPr>
                <w:rFonts w:ascii="Meiryo UI" w:hAnsi="Meiryo UI"/>
                <w:sz w:val="18"/>
              </w:rPr>
              <w:t>18〜22倍</w:t>
            </w:r>
          </w:p>
        </w:tc>
        <w:tc>
          <w:tcPr>
            <w:tcW w:type="dxa" w:w="1176"/>
          </w:tcPr>
          <w:p>
            <w:r>
              <w:rPr>
                <w:rFonts w:ascii="Meiryo UI" w:hAnsi="Meiryo UI"/>
                <w:sz w:val="18"/>
              </w:rPr>
              <w:t>1.8〜2.2倍</w:t>
            </w:r>
          </w:p>
        </w:tc>
        <w:tc>
          <w:tcPr>
            <w:tcW w:type="dxa" w:w="1176"/>
          </w:tcPr>
          <w:p>
            <w:r>
              <w:rPr>
                <w:rFonts w:ascii="Meiryo UI" w:hAnsi="Meiryo UI"/>
                <w:sz w:val="18"/>
              </w:rPr>
              <w:t>8〜10%</w:t>
            </w:r>
          </w:p>
        </w:tc>
        <w:tc>
          <w:tcPr>
            <w:tcW w:type="dxa" w:w="1176"/>
          </w:tcPr>
          <w:p>
            <w:r>
              <w:rPr>
                <w:rFonts w:ascii="Meiryo UI" w:hAnsi="Meiryo UI"/>
                <w:sz w:val="18"/>
              </w:rPr>
              <w:t>高（高粗利型）</w:t>
            </w:r>
          </w:p>
        </w:tc>
      </w:tr>
      <w:tr>
        <w:tc>
          <w:tcPr>
            <w:tcW w:type="dxa" w:w="1176"/>
            <w:shd w:val="clear" w:color="auto" w:fill="DDEBF7"/>
          </w:tcPr>
          <w:p>
            <w:r>
              <w:rPr>
                <w:rFonts w:ascii="Meiryo UI" w:hAnsi="Meiryo UI"/>
                <w:sz w:val="18"/>
              </w:rPr>
              <w:t>ベルク</w:t>
            </w:r>
          </w:p>
        </w:tc>
        <w:tc>
          <w:tcPr>
            <w:tcW w:type="dxa" w:w="1176"/>
            <w:shd w:val="clear" w:color="auto" w:fill="DDEBF7"/>
          </w:tcPr>
          <w:p>
            <w:r>
              <w:rPr>
                <w:rFonts w:ascii="Meiryo UI" w:hAnsi="Meiryo UI"/>
                <w:sz w:val="18"/>
              </w:rPr>
              <w:t>9974</w:t>
            </w:r>
          </w:p>
        </w:tc>
        <w:tc>
          <w:tcPr>
            <w:tcW w:type="dxa" w:w="1176"/>
            <w:shd w:val="clear" w:color="auto" w:fill="DDEBF7"/>
          </w:tcPr>
          <w:p>
            <w:r>
              <w:rPr>
                <w:rFonts w:ascii="Meiryo UI" w:hAnsi="Meiryo UI"/>
                <w:sz w:val="18"/>
              </w:rPr>
              <w:t>—（推計¥3,500）</w:t>
            </w:r>
          </w:p>
        </w:tc>
        <w:tc>
          <w:tcPr>
            <w:tcW w:type="dxa" w:w="1176"/>
            <w:shd w:val="clear" w:color="auto" w:fill="DDEBF7"/>
          </w:tcPr>
          <w:p>
            <w:r>
              <w:rPr>
                <w:rFonts w:ascii="Meiryo UI" w:hAnsi="Meiryo UI"/>
                <w:sz w:val="18"/>
              </w:rPr>
              <w:t>3.0〜3.5%</w:t>
            </w:r>
          </w:p>
        </w:tc>
        <w:tc>
          <w:tcPr>
            <w:tcW w:type="dxa" w:w="1176"/>
            <w:shd w:val="clear" w:color="auto" w:fill="DDEBF7"/>
          </w:tcPr>
          <w:p>
            <w:r>
              <w:rPr>
                <w:rFonts w:ascii="Meiryo UI" w:hAnsi="Meiryo UI"/>
                <w:sz w:val="18"/>
              </w:rPr>
              <w:t>15〜18倍</w:t>
            </w:r>
          </w:p>
        </w:tc>
        <w:tc>
          <w:tcPr>
            <w:tcW w:type="dxa" w:w="1176"/>
            <w:shd w:val="clear" w:color="auto" w:fill="DDEBF7"/>
          </w:tcPr>
          <w:p>
            <w:r>
              <w:rPr>
                <w:rFonts w:ascii="Meiryo UI" w:hAnsi="Meiryo UI"/>
                <w:sz w:val="18"/>
              </w:rPr>
              <w:t>1.1〜1.3倍</w:t>
            </w:r>
          </w:p>
        </w:tc>
        <w:tc>
          <w:tcPr>
            <w:tcW w:type="dxa" w:w="1176"/>
            <w:shd w:val="clear" w:color="auto" w:fill="DDEBF7"/>
          </w:tcPr>
          <w:p>
            <w:r>
              <w:rPr>
                <w:rFonts w:ascii="Meiryo UI" w:hAnsi="Meiryo UI"/>
                <w:sz w:val="18"/>
              </w:rPr>
              <w:t>6〜8%</w:t>
            </w:r>
          </w:p>
        </w:tc>
        <w:tc>
          <w:tcPr>
            <w:tcW w:type="dxa" w:w="1176"/>
            <w:shd w:val="clear" w:color="auto" w:fill="DDEBF7"/>
          </w:tcPr>
          <w:p>
            <w:r>
              <w:rPr>
                <w:rFonts w:ascii="Meiryo UI" w:hAnsi="Meiryo UI"/>
                <w:sz w:val="18"/>
              </w:rPr>
              <w:t>中高</w:t>
            </w:r>
          </w:p>
        </w:tc>
      </w:tr>
      <w:tr>
        <w:tc>
          <w:tcPr>
            <w:tcW w:type="dxa" w:w="1176"/>
          </w:tcPr>
          <w:p>
            <w:r>
              <w:rPr>
                <w:rFonts w:ascii="Meiryo UI" w:hAnsi="Meiryo UI"/>
                <w:sz w:val="18"/>
              </w:rPr>
              <w:t>バロー</w:t>
            </w:r>
          </w:p>
        </w:tc>
        <w:tc>
          <w:tcPr>
            <w:tcW w:type="dxa" w:w="1176"/>
          </w:tcPr>
          <w:p>
            <w:r>
              <w:rPr>
                <w:rFonts w:ascii="Meiryo UI" w:hAnsi="Meiryo UI"/>
                <w:sz w:val="18"/>
              </w:rPr>
              <w:t>9956</w:t>
            </w:r>
          </w:p>
        </w:tc>
        <w:tc>
          <w:tcPr>
            <w:tcW w:type="dxa" w:w="1176"/>
          </w:tcPr>
          <w:p>
            <w:r>
              <w:rPr>
                <w:rFonts w:ascii="Meiryo UI" w:hAnsi="Meiryo UI"/>
                <w:sz w:val="18"/>
              </w:rPr>
              <w:t>—（推計¥2,800）</w:t>
            </w:r>
          </w:p>
        </w:tc>
        <w:tc>
          <w:tcPr>
            <w:tcW w:type="dxa" w:w="1176"/>
          </w:tcPr>
          <w:p>
            <w:r>
              <w:rPr>
                <w:rFonts w:ascii="Meiryo UI" w:hAnsi="Meiryo UI"/>
                <w:sz w:val="18"/>
              </w:rPr>
              <w:t>1.5〜2.0%</w:t>
            </w:r>
          </w:p>
        </w:tc>
        <w:tc>
          <w:tcPr>
            <w:tcW w:type="dxa" w:w="1176"/>
          </w:tcPr>
          <w:p>
            <w:r>
              <w:rPr>
                <w:rFonts w:ascii="Meiryo UI" w:hAnsi="Meiryo UI"/>
                <w:sz w:val="18"/>
              </w:rPr>
              <w:t>15〜20倍</w:t>
            </w:r>
          </w:p>
        </w:tc>
        <w:tc>
          <w:tcPr>
            <w:tcW w:type="dxa" w:w="1176"/>
          </w:tcPr>
          <w:p>
            <w:r>
              <w:rPr>
                <w:rFonts w:ascii="Meiryo UI" w:hAnsi="Meiryo UI"/>
                <w:sz w:val="18"/>
              </w:rPr>
              <w:t>0.8〜1.0倍</w:t>
            </w:r>
          </w:p>
        </w:tc>
        <w:tc>
          <w:tcPr>
            <w:tcW w:type="dxa" w:w="1176"/>
          </w:tcPr>
          <w:p>
            <w:r>
              <w:rPr>
                <w:rFonts w:ascii="Meiryo UI" w:hAnsi="Meiryo UI"/>
                <w:sz w:val="18"/>
              </w:rPr>
              <w:t>4〜6%</w:t>
            </w:r>
          </w:p>
        </w:tc>
        <w:tc>
          <w:tcPr>
            <w:tcW w:type="dxa" w:w="1176"/>
          </w:tcPr>
          <w:p>
            <w:r>
              <w:rPr>
                <w:rFonts w:ascii="Meiryo UI" w:hAnsi="Meiryo UI"/>
                <w:sz w:val="18"/>
              </w:rPr>
              <w:t>中</w:t>
            </w:r>
          </w:p>
        </w:tc>
      </w:tr>
    </w:tbl>
    <w:p/>
    <w:p>
      <w:pPr>
        <w:pStyle w:val="Heading3"/>
      </w:pPr>
      <w:r>
        <w:rPr>
          <w:rFonts w:ascii="Meiryo UI" w:hAnsi="Meiryo UI"/>
          <w:color w:val="2E74B5"/>
        </w:rPr>
        <w:t>7.2 収益性比較グラフ（テキスト表現）</w:t>
      </w:r>
    </w:p>
    <w:p/>
    <w:p>
      <w:pPr>
        <w:shd w:val="clear" w:color="auto" w:fill="F2F2F2"/>
      </w:pPr>
      <w:r>
        <w:rPr>
          <w:rFonts w:ascii="Courier New" w:hAnsi="Courier New"/>
          <w:sz w:val="16"/>
        </w:rPr>
        <w:t>営業利益率（高→低）:</w:t>
        <w:br/>
        <w:t>ヤオコー(4.0%) &gt; ベルク(3.2%) &gt; ライフ(2.7%) &gt; バロー(1.8%) &gt; USMH(1.88%)</w:t>
        <w:br/>
        <w:br/>
        <w:t>PBR（高→低）:</w:t>
        <w:br/>
        <w:t>ヤオコー(2.0) &gt; ライフ(1.3) &gt; ベルク(1.2) &gt; USMH(0.92) ≈ バロー(0.9)</w:t>
        <w:br/>
        <w:br/>
        <w:t>ROE（高→低）:</w:t>
        <w:br/>
        <w:t>ヤオコー(9%) &gt; ベルク(7%) &gt; ライフ(5.5%) &gt; バロー(5%) &gt; USMH(1%)</w:t>
      </w:r>
    </w:p>
    <w:p/>
    <w:p>
      <w:pPr>
        <w:pStyle w:val="Heading3"/>
      </w:pPr>
      <w:r>
        <w:rPr>
          <w:rFonts w:ascii="Meiryo UI" w:hAnsi="Meiryo UI"/>
          <w:color w:val="2E74B5"/>
        </w:rPr>
        <w:t>7.3 ユナイテッドSMを選ぶ理由（差別化ポイント）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理由</w:t>
            </w:r>
          </w:p>
        </w:tc>
        <w:tc>
          <w:tcPr>
            <w:tcW w:type="dxa" w:w="3135"/>
            <w:shd w:val="clear" w:color="auto" w:fill="2E74B5"/>
          </w:tcPr>
          <w:p>
            <w:r>
              <w:rPr>
                <w:rFonts w:ascii="Meiryo UI" w:hAnsi="Meiryo UI"/>
                <w:b/>
                <w:color w:val="FFFFFF"/>
                <w:sz w:val="18"/>
              </w:rPr>
              <w:t>説明</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1. PBR0.92倍の絶対的割安感</w:t>
            </w:r>
          </w:p>
        </w:tc>
        <w:tc>
          <w:tcPr>
            <w:tcW w:type="dxa" w:w="3135"/>
          </w:tcPr>
          <w:p>
            <w:r>
              <w:rPr>
                <w:rFonts w:ascii="Meiryo UI" w:hAnsi="Meiryo UI"/>
                <w:sz w:val="18"/>
              </w:rPr>
              <w:t>純資産割れ水準。同業最低水準のバリュエーション</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 イオングループTOBオプション</w:t>
            </w:r>
          </w:p>
        </w:tc>
        <w:tc>
          <w:tcPr>
            <w:tcW w:type="dxa" w:w="3135"/>
            <w:shd w:val="clear" w:color="auto" w:fill="DDEBF7"/>
          </w:tcPr>
          <w:p>
            <w:r>
              <w:rPr>
                <w:rFonts w:ascii="Meiryo UI" w:hAnsi="Meiryo UI"/>
                <w:sz w:val="18"/>
              </w:rPr>
              <w:t>完全子会社化時の+20〜35%プレミアム</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3. 不動産含み益（NAV割安）</w:t>
            </w:r>
          </w:p>
        </w:tc>
        <w:tc>
          <w:tcPr>
            <w:tcW w:type="dxa" w:w="3135"/>
          </w:tcPr>
          <w:p>
            <w:r>
              <w:rPr>
                <w:rFonts w:ascii="Meiryo UI" w:hAnsi="Meiryo UI"/>
                <w:sz w:val="18"/>
              </w:rPr>
              <w:t>NAV中央値¥1,364 vs 株価¥934（▲31%ディスカウント）</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4. 来期+114%増益計画のオプション価値</w:t>
            </w:r>
          </w:p>
        </w:tc>
        <w:tc>
          <w:tcPr>
            <w:tcW w:type="dxa" w:w="3135"/>
            <w:shd w:val="clear" w:color="auto" w:fill="DDEBF7"/>
          </w:tcPr>
          <w:p>
            <w:r>
              <w:rPr>
                <w:rFonts w:ascii="Meiryo UI" w:hAnsi="Meiryo UI"/>
                <w:sz w:val="18"/>
              </w:rPr>
              <w:t>達成確率40〜45%でも期待値上では意味あり</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5. 食品インフレ恩恵（転嫁定着局面）</w:t>
            </w:r>
          </w:p>
        </w:tc>
        <w:tc>
          <w:tcPr>
            <w:tcW w:type="dxa" w:w="3135"/>
          </w:tcPr>
          <w:p>
            <w:r>
              <w:rPr>
                <w:rFonts w:ascii="Meiryo UI" w:hAnsi="Meiryo UI"/>
                <w:sz w:val="18"/>
              </w:rPr>
              <w:t>FY2027は価格転嫁浸透で既存店売上回復期待</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理由がない点</w:t>
            </w:r>
          </w:p>
        </w:tc>
        <w:tc>
          <w:tcPr>
            <w:tcW w:type="dxa" w:w="3135"/>
            <w:shd w:val="clear" w:color="auto" w:fill="DDEBF7"/>
          </w:tcPr>
          <w:p>
            <w:r>
              <w:rPr>
                <w:rFonts w:ascii="Meiryo UI" w:hAnsi="Meiryo UI"/>
                <w:sz w:val="18"/>
              </w:rPr>
              <w:t>現時点のROE・利益率は同業最低水準</w:t>
            </w:r>
          </w:p>
        </w:tc>
        <w:tc>
          <w:tcPr>
            <w:tcW w:type="dxa" w:w="3135"/>
            <w:shd w:val="clear" w:color="auto" w:fill="DDEBF7"/>
          </w:tcPr>
          <w:p>
            <w:r>
              <w:rPr>
                <w:rFonts w:ascii="Meiryo UI" w:hAnsi="Meiryo UI"/>
                <w:sz w:val="18"/>
              </w:rPr>
              <w:t>✗</w:t>
            </w:r>
          </w:p>
        </w:tc>
      </w:tr>
    </w:tbl>
    <w:p/>
    <w:p>
      <w:r>
        <w:rPr>
          <w:rFonts w:ascii="Meiryo UI" w:hAnsi="Meiryo UI"/>
          <w:sz w:val="20"/>
        </w:rPr>
        <w:t>&gt; 深井コメント: ユナイテッドSMを「収益性の高い成長株」として選ぶ理由はない。「割安バリュー株＋イオングループTOBオプション＋来期ターンアラウンド期待」という複合的なリターンドライバーがある場合にのみ選択肢に入る銘柄。純粋な成長投資家はヤオコーを選ぶべき。</w:t>
      </w:r>
    </w:p>
    <w:p/>
    <w:p>
      <w:r>
        <w:t>──────────────────────────────────────────────────</w:t>
      </w:r>
    </w:p>
    <w:p/>
    <w:p>
      <w:pPr>
        <w:pStyle w:val="Heading2"/>
      </w:pPr>
      <w:r>
        <w:rPr>
          <w:rFonts w:ascii="Meiryo UI" w:hAnsi="Meiryo UI"/>
          <w:color w:val="2E74B5"/>
        </w:rPr>
        <w:t>8. メインシナリオ vs リスクシナリオ</w:t>
      </w:r>
    </w:p>
    <w:p/>
    <w:p>
      <w:pPr>
        <w:pStyle w:val="Heading3"/>
      </w:pPr>
      <w:r>
        <w:rPr>
          <w:rFonts w:ascii="Meiryo UI" w:hAnsi="Meiryo UI"/>
          <w:color w:val="2E74B5"/>
        </w:rPr>
        <w:t>強気・基本・弱気の3ケース統合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営業利益FY27</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現在比</w:t>
            </w:r>
          </w:p>
        </w:tc>
        <w:tc>
          <w:tcPr>
            <w:tcW w:type="dxa" w:w="1568"/>
            <w:shd w:val="clear" w:color="auto" w:fill="2E74B5"/>
          </w:tcPr>
          <w:p>
            <w:r>
              <w:rPr>
                <w:rFonts w:ascii="Meiryo UI" w:hAnsi="Meiryo UI"/>
                <w:b/>
                <w:color w:val="FFFFFF"/>
                <w:sz w:val="18"/>
              </w:rPr>
              <w:t>確率（深井推計）</w:t>
            </w:r>
          </w:p>
        </w:tc>
        <w:tc>
          <w:tcPr>
            <w:tcW w:type="dxa" w:w="1568"/>
            <w:shd w:val="clear" w:color="auto" w:fill="2E74B5"/>
          </w:tcPr>
          <w:p>
            <w:r>
              <w:rPr>
                <w:rFonts w:ascii="Meiryo UI" w:hAnsi="Meiryo UI"/>
                <w:b/>
                <w:color w:val="FFFFFF"/>
                <w:sz w:val="18"/>
              </w:rPr>
              <w:t>期待値加重株価</w:t>
            </w:r>
          </w:p>
        </w:tc>
      </w:tr>
      <w:tr>
        <w:tc>
          <w:tcPr>
            <w:tcW w:type="dxa" w:w="1568"/>
          </w:tcPr>
          <w:p>
            <w:r>
              <w:rPr>
                <w:rFonts w:ascii="Meiryo UI" w:hAnsi="Meiryo UI"/>
                <w:sz w:val="18"/>
              </w:rPr>
              <w:t>A: 強気（計画達成）</w:t>
            </w:r>
          </w:p>
        </w:tc>
        <w:tc>
          <w:tcPr>
            <w:tcW w:type="dxa" w:w="1568"/>
          </w:tcPr>
          <w:p>
            <w:r>
              <w:rPr>
                <w:rFonts w:ascii="Meiryo UI" w:hAnsi="Meiryo UI"/>
                <w:sz w:val="18"/>
              </w:rPr>
              <w:t>¥10,000M</w:t>
            </w:r>
          </w:p>
        </w:tc>
        <w:tc>
          <w:tcPr>
            <w:tcW w:type="dxa" w:w="1568"/>
          </w:tcPr>
          <w:p>
            <w:r>
              <w:rPr>
                <w:rFonts w:ascii="Meiryo UI" w:hAnsi="Meiryo UI"/>
                <w:sz w:val="18"/>
              </w:rPr>
              <w:t>¥1,266</w:t>
            </w:r>
          </w:p>
        </w:tc>
        <w:tc>
          <w:tcPr>
            <w:tcW w:type="dxa" w:w="1568"/>
          </w:tcPr>
          <w:p>
            <w:r>
              <w:rPr>
                <w:rFonts w:ascii="Meiryo UI" w:hAnsi="Meiryo UI"/>
                <w:sz w:val="18"/>
              </w:rPr>
              <w:t>+35.5%</w:t>
            </w:r>
          </w:p>
        </w:tc>
        <w:tc>
          <w:tcPr>
            <w:tcW w:type="dxa" w:w="1568"/>
          </w:tcPr>
          <w:p>
            <w:r>
              <w:rPr>
                <w:rFonts w:ascii="Meiryo UI" w:hAnsi="Meiryo UI"/>
                <w:sz w:val="18"/>
              </w:rPr>
              <w:t>30%</w:t>
            </w:r>
          </w:p>
        </w:tc>
        <w:tc>
          <w:tcPr>
            <w:tcW w:type="dxa" w:w="1568"/>
          </w:tcPr>
          <w:p>
            <w:r>
              <w:rPr>
                <w:rFonts w:ascii="Meiryo UI" w:hAnsi="Meiryo UI"/>
                <w:sz w:val="18"/>
              </w:rPr>
              <w:t>¥379.8</w:t>
            </w:r>
          </w:p>
        </w:tc>
      </w:tr>
      <w:tr>
        <w:tc>
          <w:tcPr>
            <w:tcW w:type="dxa" w:w="1568"/>
            <w:shd w:val="clear" w:color="auto" w:fill="DDEBF7"/>
          </w:tcPr>
          <w:p>
            <w:r>
              <w:rPr>
                <w:rFonts w:ascii="Meiryo UI" w:hAnsi="Meiryo UI"/>
                <w:sz w:val="18"/>
              </w:rPr>
              <w:t>B: 基本（コンセンサス）</w:t>
            </w:r>
          </w:p>
        </w:tc>
        <w:tc>
          <w:tcPr>
            <w:tcW w:type="dxa" w:w="1568"/>
            <w:shd w:val="clear" w:color="auto" w:fill="DDEBF7"/>
          </w:tcPr>
          <w:p>
            <w:r>
              <w:rPr>
                <w:rFonts w:ascii="Meiryo UI" w:hAnsi="Meiryo UI"/>
                <w:sz w:val="18"/>
              </w:rPr>
              <w:t>¥8,000M</w:t>
            </w:r>
          </w:p>
        </w:tc>
        <w:tc>
          <w:tcPr>
            <w:tcW w:type="dxa" w:w="1568"/>
            <w:shd w:val="clear" w:color="auto" w:fill="DDEBF7"/>
          </w:tcPr>
          <w:p>
            <w:r>
              <w:rPr>
                <w:rFonts w:ascii="Meiryo UI" w:hAnsi="Meiryo UI"/>
                <w:sz w:val="18"/>
              </w:rPr>
              <w:t>¥895</w:t>
            </w:r>
          </w:p>
        </w:tc>
        <w:tc>
          <w:tcPr>
            <w:tcW w:type="dxa" w:w="1568"/>
            <w:shd w:val="clear" w:color="auto" w:fill="DDEBF7"/>
          </w:tcPr>
          <w:p>
            <w:r>
              <w:rPr>
                <w:rFonts w:ascii="Meiryo UI" w:hAnsi="Meiryo UI"/>
                <w:sz w:val="18"/>
              </w:rPr>
              <w:t>▲4.2%</w:t>
            </w:r>
          </w:p>
        </w:tc>
        <w:tc>
          <w:tcPr>
            <w:tcW w:type="dxa" w:w="1568"/>
            <w:shd w:val="clear" w:color="auto" w:fill="DDEBF7"/>
          </w:tcPr>
          <w:p>
            <w:r>
              <w:rPr>
                <w:rFonts w:ascii="Meiryo UI" w:hAnsi="Meiryo UI"/>
                <w:sz w:val="18"/>
              </w:rPr>
              <w:t>50%</w:t>
            </w:r>
          </w:p>
        </w:tc>
        <w:tc>
          <w:tcPr>
            <w:tcW w:type="dxa" w:w="1568"/>
            <w:shd w:val="clear" w:color="auto" w:fill="DDEBF7"/>
          </w:tcPr>
          <w:p>
            <w:r>
              <w:rPr>
                <w:rFonts w:ascii="Meiryo UI" w:hAnsi="Meiryo UI"/>
                <w:sz w:val="18"/>
              </w:rPr>
              <w:t>¥447.5</w:t>
            </w:r>
          </w:p>
        </w:tc>
      </w:tr>
      <w:tr>
        <w:tc>
          <w:tcPr>
            <w:tcW w:type="dxa" w:w="1568"/>
          </w:tcPr>
          <w:p>
            <w:r>
              <w:rPr>
                <w:rFonts w:ascii="Meiryo UI" w:hAnsi="Meiryo UI"/>
                <w:sz w:val="18"/>
              </w:rPr>
              <w:t>C: 弱気（構造継続）</w:t>
            </w:r>
          </w:p>
        </w:tc>
        <w:tc>
          <w:tcPr>
            <w:tcW w:type="dxa" w:w="1568"/>
          </w:tcPr>
          <w:p>
            <w:r>
              <w:rPr>
                <w:rFonts w:ascii="Meiryo UI" w:hAnsi="Meiryo UI"/>
                <w:sz w:val="18"/>
              </w:rPr>
              <w:t>¥5,000M</w:t>
            </w:r>
          </w:p>
        </w:tc>
        <w:tc>
          <w:tcPr>
            <w:tcW w:type="dxa" w:w="1568"/>
          </w:tcPr>
          <w:p>
            <w:r>
              <w:rPr>
                <w:rFonts w:ascii="Meiryo UI" w:hAnsi="Meiryo UI"/>
                <w:sz w:val="18"/>
              </w:rPr>
              <w:t>¥380</w:t>
            </w:r>
          </w:p>
        </w:tc>
        <w:tc>
          <w:tcPr>
            <w:tcW w:type="dxa" w:w="1568"/>
          </w:tcPr>
          <w:p>
            <w:r>
              <w:rPr>
                <w:rFonts w:ascii="Meiryo UI" w:hAnsi="Meiryo UI"/>
                <w:sz w:val="18"/>
              </w:rPr>
              <w:t>▲59.3%</w:t>
            </w:r>
          </w:p>
        </w:tc>
        <w:tc>
          <w:tcPr>
            <w:tcW w:type="dxa" w:w="1568"/>
          </w:tcPr>
          <w:p>
            <w:r>
              <w:rPr>
                <w:rFonts w:ascii="Meiryo UI" w:hAnsi="Meiryo UI"/>
                <w:sz w:val="18"/>
              </w:rPr>
              <w:t>20%</w:t>
            </w:r>
          </w:p>
        </w:tc>
        <w:tc>
          <w:tcPr>
            <w:tcW w:type="dxa" w:w="1568"/>
          </w:tcPr>
          <w:p>
            <w:r>
              <w:rPr>
                <w:rFonts w:ascii="Meiryo UI" w:hAnsi="Meiryo UI"/>
                <w:sz w:val="18"/>
              </w:rPr>
              <w:t>¥76.0</w:t>
            </w:r>
          </w:p>
        </w:tc>
      </w:tr>
      <w:tr>
        <w:tc>
          <w:tcPr>
            <w:tcW w:type="dxa" w:w="1568"/>
            <w:shd w:val="clear" w:color="auto" w:fill="DDEBF7"/>
          </w:tcPr>
          <w:p>
            <w:r>
              <w:rPr>
                <w:rFonts w:ascii="Meiryo UI" w:hAnsi="Meiryo UI"/>
                <w:sz w:val="18"/>
              </w:rPr>
              <w:t>期待値加重理論株価</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¥903</w:t>
            </w:r>
          </w:p>
        </w:tc>
      </w:tr>
    </w:tbl>
    <w:p/>
    <w:p>
      <w:r>
        <w:rPr>
          <w:rFonts w:ascii="Meiryo UI" w:hAnsi="Meiryo UI"/>
          <w:sz w:val="20"/>
        </w:rPr>
        <w:t>&gt; 期待値¥903 ≈ 現在株価¥934。わずかに割高（▲3.3%）だが誤差範囲内。TOBオプション（確率25〜35%、+¥200〜¥300/株）を加算すると実質¥953〜¥1,008まで上昇し、現在株価は概ね適正〜やや割安水準。</w:t>
      </w:r>
    </w:p>
    <w:p/>
    <w:p>
      <w:r>
        <w:t>──────────────────────────────────────────────────</w:t>
      </w:r>
    </w:p>
    <w:p/>
    <w:p>
      <w:pPr>
        <w:pStyle w:val="Heading2"/>
      </w:pPr>
      <w:r>
        <w:rPr>
          <w:rFonts w:ascii="Meiryo UI" w:hAnsi="Meiryo UI"/>
          <w:color w:val="2E74B5"/>
        </w:rPr>
        <w:t>9. リスクシナリオ（⑨）</w:t>
      </w:r>
    </w:p>
    <w:p/>
    <w:p>
      <w:pPr>
        <w:pStyle w:val="Heading3"/>
      </w:pPr>
      <w:r>
        <w:rPr>
          <w:rFonts w:ascii="Meiryo UI" w:hAnsi="Meiryo UI"/>
          <w:color w:val="2E74B5"/>
        </w:rPr>
        <w:t>9.1 来期計画¥10,000M未達シナリオ</w:t>
      </w:r>
    </w:p>
    <w:p/>
    <w:p>
      <w:pPr>
        <w:shd w:val="clear" w:color="auto" w:fill="F2F2F2"/>
      </w:pPr>
      <w:r>
        <w:rPr>
          <w:rFonts w:ascii="Courier New" w:hAnsi="Courier New"/>
          <w:sz w:val="16"/>
        </w:rPr>
        <w:t>シナリオ：来期営業利益¥6,000M以下（未達）の場合</w:t>
        <w:br/>
        <w:br/>
        <w:t>①株価インパクト試算：</w:t>
        <w:br/>
        <w:t xml:space="preserve">  ¥6,000M営業利益の理論株価:</w:t>
        <w:br/>
        <w:t xml:space="preserve">  EV/EBITDA（倍率4.8×）= (¥12,800M × 4.8 - ¥30,000M) / 60,000千株</w:t>
        <w:br/>
        <w:t xml:space="preserve">                       = (¥61,440M - ¥30,000M) / 60,000千株</w:t>
        <w:br/>
        <w:t xml:space="preserve">                       = ¥31,440M / 60,000千株 ≈ ¥524/株</w:t>
        <w:br/>
        <w:t xml:space="preserve">  PBR（ROE=3%、PBR=0.55倍）= ¥1,014 × 0.55 = ¥558/株</w:t>
        <w:br/>
        <w:t xml:space="preserve">  統合理論株価: ≈ ¥541</w:t>
        <w:br/>
        <w:t xml:space="preserve">  </w:t>
        <w:br/>
        <w:t xml:space="preserve">  現在株価¥934からの下落率: ▲42.1%（深刻な下落）</w:t>
        <w:br/>
        <w:t xml:space="preserve">  </w:t>
        <w:br/>
        <w:t>②来期計画¥6,000M以下となるシナリオ:</w:t>
        <w:br/>
        <w:t xml:space="preserve">  ・食品インフレが想定以上に消費を抑制（節約志向継続）</w:t>
        <w:br/>
        <w:t xml:space="preserve">  ・イオングループシナジーの実現遅延（1〜2年延期）</w:t>
        <w:br/>
        <w:t xml:space="preserve">  ・人件費・エネルギーコストの超過（WTI$120超継続）</w:t>
        <w:br/>
        <w:t xml:space="preserve">  ・大型競合出店（コストコ/ドンキ/EC拡大）</w:t>
        <w:br/>
        <w:t xml:space="preserve">  ・追加的な不採算店舗の減損計上（特損再発）</w:t>
      </w:r>
    </w:p>
    <w:p/>
    <w:p>
      <w:pPr>
        <w:pStyle w:val="Heading3"/>
      </w:pPr>
      <w:r>
        <w:rPr>
          <w:rFonts w:ascii="Meiryo UI" w:hAnsi="Meiryo UI"/>
          <w:color w:val="2E74B5"/>
        </w:rPr>
        <w:t>9.2 純利益赤転の一過性/継続性リスク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継続確率</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のれん償却（継続的）</w:t>
            </w:r>
          </w:p>
        </w:tc>
        <w:tc>
          <w:tcPr>
            <w:tcW w:type="dxa" w:w="3135"/>
          </w:tcPr>
          <w:p>
            <w:r>
              <w:rPr>
                <w:rFonts w:ascii="Meiryo UI" w:hAnsi="Meiryo UI"/>
                <w:sz w:val="18"/>
              </w:rPr>
              <w:t>高（80%）</w:t>
            </w:r>
          </w:p>
        </w:tc>
        <w:tc>
          <w:tcPr>
            <w:tcW w:type="dxa" w:w="3135"/>
          </w:tcPr>
          <w:p>
            <w:r>
              <w:rPr>
                <w:rFonts w:ascii="Meiryo UI" w:hAnsi="Meiryo UI"/>
                <w:sz w:val="18"/>
              </w:rPr>
              <w:t>中（EPS▲¥10〜▲¥20/年）</w:t>
            </w:r>
          </w:p>
        </w:tc>
      </w:tr>
      <w:tr>
        <w:tc>
          <w:tcPr>
            <w:tcW w:type="dxa" w:w="3135"/>
            <w:shd w:val="clear" w:color="auto" w:fill="DDEBF7"/>
          </w:tcPr>
          <w:p>
            <w:r>
              <w:rPr>
                <w:rFonts w:ascii="Meiryo UI" w:hAnsi="Meiryo UI"/>
                <w:sz w:val="18"/>
              </w:rPr>
              <w:t>追加店舗減損</w:t>
            </w:r>
          </w:p>
        </w:tc>
        <w:tc>
          <w:tcPr>
            <w:tcW w:type="dxa" w:w="3135"/>
            <w:shd w:val="clear" w:color="auto" w:fill="DDEBF7"/>
          </w:tcPr>
          <w:p>
            <w:r>
              <w:rPr>
                <w:rFonts w:ascii="Meiryo UI" w:hAnsi="Meiryo UI"/>
                <w:sz w:val="18"/>
              </w:rPr>
              <w:t>中（40%）</w:t>
            </w:r>
          </w:p>
        </w:tc>
        <w:tc>
          <w:tcPr>
            <w:tcW w:type="dxa" w:w="3135"/>
            <w:shd w:val="clear" w:color="auto" w:fill="DDEBF7"/>
          </w:tcPr>
          <w:p>
            <w:r>
              <w:rPr>
                <w:rFonts w:ascii="Meiryo UI" w:hAnsi="Meiryo UI"/>
                <w:sz w:val="18"/>
              </w:rPr>
              <w:t>中〜大（▲¥2,000M〜▲¥5,000M）</w:t>
            </w:r>
          </w:p>
        </w:tc>
      </w:tr>
      <w:tr>
        <w:tc>
          <w:tcPr>
            <w:tcW w:type="dxa" w:w="3135"/>
          </w:tcPr>
          <w:p>
            <w:r>
              <w:rPr>
                <w:rFonts w:ascii="Meiryo UI" w:hAnsi="Meiryo UI"/>
                <w:sz w:val="18"/>
              </w:rPr>
              <w:t>構造改革費用の再発</w:t>
            </w:r>
          </w:p>
        </w:tc>
        <w:tc>
          <w:tcPr>
            <w:tcW w:type="dxa" w:w="3135"/>
          </w:tcPr>
          <w:p>
            <w:r>
              <w:rPr>
                <w:rFonts w:ascii="Meiryo UI" w:hAnsi="Meiryo UI"/>
                <w:sz w:val="18"/>
              </w:rPr>
              <w:t>低（20%）</w:t>
            </w:r>
          </w:p>
        </w:tc>
        <w:tc>
          <w:tcPr>
            <w:tcW w:type="dxa" w:w="3135"/>
          </w:tcPr>
          <w:p>
            <w:r>
              <w:rPr>
                <w:rFonts w:ascii="Meiryo UI" w:hAnsi="Meiryo UI"/>
                <w:sz w:val="18"/>
              </w:rPr>
              <w:t>中（▲¥1,000M〜▲¥2,000M）</w:t>
            </w:r>
          </w:p>
        </w:tc>
      </w:tr>
      <w:tr>
        <w:tc>
          <w:tcPr>
            <w:tcW w:type="dxa" w:w="3135"/>
            <w:shd w:val="clear" w:color="auto" w:fill="DDEBF7"/>
          </w:tcPr>
          <w:p>
            <w:r>
              <w:rPr>
                <w:rFonts w:ascii="Meiryo UI" w:hAnsi="Meiryo UI"/>
                <w:sz w:val="18"/>
              </w:rPr>
              <w:t>繰延税金資産の追加取崩</w:t>
            </w:r>
          </w:p>
        </w:tc>
        <w:tc>
          <w:tcPr>
            <w:tcW w:type="dxa" w:w="3135"/>
            <w:shd w:val="clear" w:color="auto" w:fill="DDEBF7"/>
          </w:tcPr>
          <w:p>
            <w:r>
              <w:rPr>
                <w:rFonts w:ascii="Meiryo UI" w:hAnsi="Meiryo UI"/>
                <w:sz w:val="18"/>
              </w:rPr>
              <w:t>中（35%）</w:t>
            </w:r>
          </w:p>
        </w:tc>
        <w:tc>
          <w:tcPr>
            <w:tcW w:type="dxa" w:w="3135"/>
            <w:shd w:val="clear" w:color="auto" w:fill="DDEBF7"/>
          </w:tcPr>
          <w:p>
            <w:r>
              <w:rPr>
                <w:rFonts w:ascii="Meiryo UI" w:hAnsi="Meiryo UI"/>
                <w:sz w:val="18"/>
              </w:rPr>
              <w:t>中（▲¥500M〜¥1,500M）</w:t>
            </w:r>
          </w:p>
        </w:tc>
      </w:tr>
    </w:tbl>
    <w:p/>
    <w:p>
      <w:pPr>
        <w:pStyle w:val="Heading3"/>
      </w:pPr>
      <w:r>
        <w:rPr>
          <w:rFonts w:ascii="Meiryo UI" w:hAnsi="Meiryo UI"/>
          <w:color w:val="2E74B5"/>
        </w:rPr>
        <w:t>9.3 競合による客数減リスク</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