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[3387] 串カツ田中ホールディングス</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[3387] 串カツ田中ホールディングス</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串カツ田中ホールディングス（3387.T）深井レポート</w:t>
      </w:r>
    </w:p>
    <w:p>
      <w:pPr>
        <w:pStyle w:val="Heading2"/>
      </w:pPr>
      <w:r>
        <w:rPr>
          <w:rFonts w:ascii="Meiryo UI" w:hAnsi="Meiryo UI"/>
          <w:color w:val="2E74B5"/>
        </w:rPr>
        <w:t>竹村トレードカンパニー / アナリスト: 深井 / 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【中立（様子見）】 — 決算は増収増益で見た目良好だが、PER64倍・PBR6.9倍という割高バリュエーションが正当化できるほどの成長加速エビデンスが乏しい。FCF創出力の確認が先決。</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¥711 ／ 理論株価（FV）¥520〜¥680（基本ケース中央値¥600）／ 下値余地 ▲16%〜▲27%</w:t>
            </w:r>
          </w:p>
        </w:tc>
      </w:tr>
      <w:tr>
        <w:tc>
          <w:tcPr>
            <w:tcW w:type="dxa" w:w="4703"/>
          </w:tcPr>
          <w:p>
            <w:r>
              <w:rPr>
                <w:rFonts w:ascii="Meiryo UI" w:hAnsi="Meiryo UI"/>
                <w:sz w:val="18"/>
              </w:rPr>
              <w:t>主要カタリスト</w:t>
            </w:r>
          </w:p>
        </w:tc>
        <w:tc>
          <w:tcPr>
            <w:tcW w:type="dxa" w:w="4703"/>
          </w:tcPr>
          <w:p>
            <w:r>
              <w:rPr>
                <w:rFonts w:ascii="Meiryo UI" w:hAnsi="Meiryo UI"/>
                <w:sz w:val="18"/>
              </w:rPr>
              <w:t>①2026年4月14日発表FY2025本決算：既存店売上高回復率（前年比+X%）の持続性確認（2026年6月中間IR） ②国内新規出店加速（FY2026出店計画30店超ならポジティブサプライズ）③フランチャイズ比率上昇によるキャピタルライト化進展（2H以降）</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原材料費・人件費の構造的コスト高（食材インフレ継続＋最低賃金引上げ）による営業利益率の天井打ち。PER64倍は利益成長鈍化でただちに崩壊するリスク内包。</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現時点でのエントリー非推奨。 理論株価レンジ¥520〜¥680に対し現在値¥711は上限を11〜37%上回る。¥620以下への押し目形成後、FY2026第1四半期進捗（2026年7〜8月開示）で既存店回復・利益率改善を確認してから40%打診買い。損切りライン¥570（理論下限▲10%）。</w:t>
            </w:r>
          </w:p>
        </w:tc>
      </w:tr>
    </w:tbl>
    <w:p/>
    <w:p>
      <w:r>
        <w:t>──────────────────────────────────────────────────</w:t>
      </w:r>
    </w:p>
    <w:p/>
    <w:p>
      <w:pPr>
        <w:pStyle w:val="Heading2"/>
      </w:pPr>
      <w:r>
        <w:rPr>
          <w:rFonts w:ascii="Meiryo UI" w:hAnsi="Meiryo UI"/>
          <w:color w:val="2E74B5"/>
        </w:rPr>
        <w:t>セクション0：決算の「毒」と「薬」の仕分け &amp; QonQ変調分析</w:t>
      </w:r>
    </w:p>
    <w:p/>
    <w:p>
      <w:r>
        <w:rPr>
          <w:rFonts w:ascii="Meiryo UI" w:hAnsi="Meiryo UI"/>
          <w:sz w:val="20"/>
        </w:rPr>
        <w:t>&gt; ⚠️ データ注記： 串カツ田中HDは四半期別詳細セグメント損益の外部開示が限定的。以下はFY2025（2025年11月期）本決算（2026年4月14日発表）の公開情報、過去有価証券報告書、及び業界データをベースに構成。3Q→4Q比較は月次売上公表データと通期逆算値を用いる。数値に★マークを付した箇所は推計値であり、正式開示値での再確認を要する。</w:t>
      </w:r>
    </w:p>
    <w:p/>
    <w:p>
      <w:r>
        <w:t>──────────────────────────────────────────────────</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既存店売上高の前年比回復（コロナ禍以降の客数・客単価正常化）</w:t>
            </w:r>
          </w:p>
        </w:tc>
        <w:tc>
          <w:tcPr>
            <w:tcW w:type="dxa" w:w="1881"/>
          </w:tcPr>
          <w:p>
            <w:r>
              <w:rPr>
                <w:rFonts w:ascii="Meiryo UI" w:hAnsi="Meiryo UI"/>
                <w:sz w:val="18"/>
              </w:rPr>
              <w:t>売上高 約¥9.5〜10億円 増収★</w:t>
            </w:r>
          </w:p>
        </w:tc>
        <w:tc>
          <w:tcPr>
            <w:tcW w:type="dxa" w:w="1881"/>
          </w:tcPr>
          <w:p>
            <w:r>
              <w:rPr>
                <w:rFonts w:ascii="Meiryo UI" w:hAnsi="Meiryo UI"/>
                <w:sz w:val="18"/>
              </w:rPr>
              <w:t>構造的（インバウンド+若年層需要）</w:t>
            </w:r>
          </w:p>
        </w:tc>
        <w:tc>
          <w:tcPr>
            <w:tcW w:type="dxa" w:w="1881"/>
          </w:tcPr>
          <w:p>
            <w:r>
              <w:rPr>
                <w:rFonts w:ascii="Meiryo UI" w:hAnsi="Meiryo UI"/>
                <w:sz w:val="18"/>
              </w:rPr>
              <w:t>「串カツ」というブランドの訴求力は本物。客が戻っている。</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FC店比率上昇によるロイヤリティ収益の安定化</w:t>
            </w:r>
          </w:p>
        </w:tc>
        <w:tc>
          <w:tcPr>
            <w:tcW w:type="dxa" w:w="1881"/>
            <w:shd w:val="clear" w:color="auto" w:fill="DDEBF7"/>
          </w:tcPr>
          <w:p>
            <w:r>
              <w:rPr>
                <w:rFonts w:ascii="Meiryo UI" w:hAnsi="Meiryo UI"/>
                <w:sz w:val="18"/>
              </w:rPr>
              <w:t>FC比率推定65〜70%★</w:t>
            </w:r>
          </w:p>
        </w:tc>
        <w:tc>
          <w:tcPr>
            <w:tcW w:type="dxa" w:w="1881"/>
            <w:shd w:val="clear" w:color="auto" w:fill="DDEBF7"/>
          </w:tcPr>
          <w:p>
            <w:r>
              <w:rPr>
                <w:rFonts w:ascii="Meiryo UI" w:hAnsi="Meiryo UI"/>
                <w:sz w:val="18"/>
              </w:rPr>
              <w:t>構造的（キャピタルライト化）</w:t>
            </w:r>
          </w:p>
        </w:tc>
        <w:tc>
          <w:tcPr>
            <w:tcW w:type="dxa" w:w="1881"/>
            <w:shd w:val="clear" w:color="auto" w:fill="DDEBF7"/>
          </w:tcPr>
          <w:p>
            <w:r>
              <w:rPr>
                <w:rFonts w:ascii="Meiryo UI" w:hAnsi="Meiryo UI"/>
                <w:sz w:val="18"/>
              </w:rPr>
              <w:t>直営店リスクを抑えながら売上拡大できる理想モデルに近づいている。</w:t>
            </w:r>
          </w:p>
        </w:tc>
      </w:tr>
      <w:tr>
        <w:tc>
          <w:tcPr>
            <w:tcW w:type="dxa" w:w="1881"/>
          </w:tcPr>
          <w:p>
            <w:r>
              <w:rPr>
                <w:rFonts w:ascii="Meiryo UI" w:hAnsi="Meiryo UI"/>
                <w:sz w:val="18"/>
              </w:rPr>
              <w:t>💊 薬</w:t>
            </w:r>
          </w:p>
        </w:tc>
        <w:tc>
          <w:tcPr>
            <w:tcW w:type="dxa" w:w="1881"/>
          </w:tcPr>
          <w:p>
            <w:r>
              <w:rPr>
                <w:rFonts w:ascii="Meiryo UI" w:hAnsi="Meiryo UI"/>
                <w:sz w:val="18"/>
              </w:rPr>
              <w:t>新規出店継続（直営＋FC合計で年間20〜30店ペース維持★）</w:t>
            </w:r>
          </w:p>
        </w:tc>
        <w:tc>
          <w:tcPr>
            <w:tcW w:type="dxa" w:w="1881"/>
          </w:tcPr>
          <w:p>
            <w:r>
              <w:rPr>
                <w:rFonts w:ascii="Meiryo UI" w:hAnsi="Meiryo UI"/>
                <w:sz w:val="18"/>
              </w:rPr>
              <w:t>出店費用は一時的コスト増</w:t>
            </w:r>
          </w:p>
        </w:tc>
        <w:tc>
          <w:tcPr>
            <w:tcW w:type="dxa" w:w="1881"/>
          </w:tcPr>
          <w:p>
            <w:r>
              <w:rPr>
                <w:rFonts w:ascii="Meiryo UI" w:hAnsi="Meiryo UI"/>
                <w:sz w:val="18"/>
              </w:rPr>
              <w:t>構造的（規模拡大）</w:t>
            </w:r>
          </w:p>
        </w:tc>
        <w:tc>
          <w:tcPr>
            <w:tcW w:type="dxa" w:w="1881"/>
          </w:tcPr>
          <w:p>
            <w:r>
              <w:rPr>
                <w:rFonts w:ascii="Meiryo UI" w:hAnsi="Meiryo UI"/>
                <w:sz w:val="18"/>
              </w:rPr>
              <w:t>出店さえ黒字転換すれば利益は複利で膨らむ。</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配当継続・株主還元姿勢の維持</w:t>
            </w:r>
          </w:p>
        </w:tc>
        <w:tc>
          <w:tcPr>
            <w:tcW w:type="dxa" w:w="1881"/>
            <w:shd w:val="clear" w:color="auto" w:fill="DDEBF7"/>
          </w:tcPr>
          <w:p>
            <w:r>
              <w:rPr>
                <w:rFonts w:ascii="Meiryo UI" w:hAnsi="Meiryo UI"/>
                <w:sz w:val="18"/>
              </w:rPr>
              <w:t>配当金★ 年間¥8〜12/株程度</w:t>
            </w:r>
          </w:p>
        </w:tc>
        <w:tc>
          <w:tcPr>
            <w:tcW w:type="dxa" w:w="1881"/>
            <w:shd w:val="clear" w:color="auto" w:fill="DDEBF7"/>
          </w:tcPr>
          <w:p>
            <w:r>
              <w:rPr>
                <w:rFonts w:ascii="Meiryo UI" w:hAnsi="Meiryo UI"/>
                <w:sz w:val="18"/>
              </w:rPr>
              <w:t>安定（ただし利回り低水準）</w:t>
            </w:r>
          </w:p>
        </w:tc>
        <w:tc>
          <w:tcPr>
            <w:tcW w:type="dxa" w:w="1881"/>
            <w:shd w:val="clear" w:color="auto" w:fill="DDEBF7"/>
          </w:tcPr>
          <w:p>
            <w:r>
              <w:rPr>
                <w:rFonts w:ascii="Meiryo UI" w:hAnsi="Meiryo UI"/>
                <w:sz w:val="18"/>
              </w:rPr>
              <w:t>株主への還元姿勢は好感されるが、利回り1〜2%は決め手にならない。</w:t>
            </w:r>
          </w:p>
        </w:tc>
      </w:tr>
      <w:tr>
        <w:tc>
          <w:tcPr>
            <w:tcW w:type="dxa" w:w="1881"/>
          </w:tcPr>
          <w:p>
            <w:r>
              <w:rPr>
                <w:rFonts w:ascii="Meiryo UI" w:hAnsi="Meiryo UI"/>
                <w:sz w:val="18"/>
              </w:rPr>
              <w:t>☠️ 毒</w:t>
            </w:r>
          </w:p>
        </w:tc>
        <w:tc>
          <w:tcPr>
            <w:tcW w:type="dxa" w:w="1881"/>
          </w:tcPr>
          <w:p>
            <w:r>
              <w:rPr>
                <w:rFonts w:ascii="Meiryo UI" w:hAnsi="Meiryo UI"/>
                <w:sz w:val="18"/>
              </w:rPr>
              <w:t>食材コスト上昇（豚・牛肉、食用油、小麦）の構造的継続</w:t>
            </w:r>
          </w:p>
        </w:tc>
        <w:tc>
          <w:tcPr>
            <w:tcW w:type="dxa" w:w="1881"/>
          </w:tcPr>
          <w:p>
            <w:r>
              <w:rPr>
                <w:rFonts w:ascii="Meiryo UI" w:hAnsi="Meiryo UI"/>
                <w:sz w:val="18"/>
              </w:rPr>
              <w:t>売上原価率★推定40〜42%</w:t>
            </w:r>
          </w:p>
        </w:tc>
        <w:tc>
          <w:tcPr>
            <w:tcW w:type="dxa" w:w="1881"/>
          </w:tcPr>
          <w:p>
            <w:r>
              <w:rPr>
                <w:rFonts w:ascii="Meiryo UI" w:hAnsi="Meiryo UI"/>
                <w:sz w:val="18"/>
              </w:rPr>
              <w:t>構造的（インフレ継続）</w:t>
            </w:r>
          </w:p>
        </w:tc>
        <w:tc>
          <w:tcPr>
            <w:tcW w:type="dxa" w:w="1881"/>
          </w:tcPr>
          <w:p>
            <w:r>
              <w:rPr>
                <w:rFonts w:ascii="Meiryo UI" w:hAnsi="Meiryo UI"/>
                <w:sz w:val="18"/>
              </w:rPr>
              <w:t>値上げで吸収できているように見えるが、消費者の値上がり疲れが来ると客数が落ちる。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人件費の構造的増加（最低賃金引上げ2025〜2026年度）</w:t>
            </w:r>
          </w:p>
        </w:tc>
        <w:tc>
          <w:tcPr>
            <w:tcW w:type="dxa" w:w="1881"/>
            <w:shd w:val="clear" w:color="auto" w:fill="DDEBF7"/>
          </w:tcPr>
          <w:p>
            <w:r>
              <w:rPr>
                <w:rFonts w:ascii="Meiryo UI" w:hAnsi="Meiryo UI"/>
                <w:sz w:val="18"/>
              </w:rPr>
              <w:t>販管費率★推定50%超</w:t>
            </w:r>
          </w:p>
        </w:tc>
        <w:tc>
          <w:tcPr>
            <w:tcW w:type="dxa" w:w="1881"/>
            <w:shd w:val="clear" w:color="auto" w:fill="DDEBF7"/>
          </w:tcPr>
          <w:p>
            <w:r>
              <w:rPr>
                <w:rFonts w:ascii="Meiryo UI" w:hAnsi="Meiryo UI"/>
                <w:sz w:val="18"/>
              </w:rPr>
              <w:t>構造的（法規制要因）</w:t>
            </w:r>
          </w:p>
        </w:tc>
        <w:tc>
          <w:tcPr>
            <w:tcW w:type="dxa" w:w="1881"/>
            <w:shd w:val="clear" w:color="auto" w:fill="DDEBF7"/>
          </w:tcPr>
          <w:p>
            <w:r>
              <w:rPr>
                <w:rFonts w:ascii="Meiryo UI" w:hAnsi="Meiryo UI"/>
                <w:sz w:val="18"/>
              </w:rPr>
              <w:t>外食は人件費が生命線。自動化余地が限られる業態だけに、逃げ場が少ない。</w:t>
            </w:r>
          </w:p>
        </w:tc>
      </w:tr>
      <w:tr>
        <w:tc>
          <w:tcPr>
            <w:tcW w:type="dxa" w:w="1881"/>
          </w:tcPr>
          <w:p>
            <w:r>
              <w:rPr>
                <w:rFonts w:ascii="Meiryo UI" w:hAnsi="Meiryo UI"/>
                <w:sz w:val="18"/>
              </w:rPr>
              <w:t>☠️ 毒</w:t>
            </w:r>
          </w:p>
        </w:tc>
        <w:tc>
          <w:tcPr>
            <w:tcW w:type="dxa" w:w="1881"/>
          </w:tcPr>
          <w:p>
            <w:r>
              <w:rPr>
                <w:rFonts w:ascii="Meiryo UI" w:hAnsi="Meiryo UI"/>
                <w:sz w:val="18"/>
              </w:rPr>
              <w:t>一部不採算店舗の撤退・減損（毎期数件の退店コスト）</w:t>
            </w:r>
          </w:p>
        </w:tc>
        <w:tc>
          <w:tcPr>
            <w:tcW w:type="dxa" w:w="1881"/>
          </w:tcPr>
          <w:p>
            <w:r>
              <w:rPr>
                <w:rFonts w:ascii="Meiryo UI" w:hAnsi="Meiryo UI"/>
                <w:sz w:val="18"/>
              </w:rPr>
              <w:t>特別損失★数千万〜億円未満</w:t>
            </w:r>
          </w:p>
        </w:tc>
        <w:tc>
          <w:tcPr>
            <w:tcW w:type="dxa" w:w="1881"/>
          </w:tcPr>
          <w:p>
            <w:r>
              <w:rPr>
                <w:rFonts w:ascii="Meiryo UI" w:hAnsi="Meiryo UI"/>
                <w:sz w:val="18"/>
              </w:rPr>
              <w:t>一過性（ただし毎期発生傾向）</w:t>
            </w:r>
          </w:p>
        </w:tc>
        <w:tc>
          <w:tcPr>
            <w:tcW w:type="dxa" w:w="1881"/>
          </w:tcPr>
          <w:p>
            <w:r>
              <w:rPr>
                <w:rFonts w:ascii="Meiryo UI" w:hAnsi="Meiryo UI"/>
                <w:sz w:val="18"/>
              </w:rPr>
              <w:t>出店→退店サイクルが早まると損失計上が慢性化する。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過去の感染症対応コスト・補助金終了の剥落</w:t>
            </w:r>
          </w:p>
        </w:tc>
        <w:tc>
          <w:tcPr>
            <w:tcW w:type="dxa" w:w="1881"/>
            <w:shd w:val="clear" w:color="auto" w:fill="DDEBF7"/>
          </w:tcPr>
          <w:p>
            <w:r>
              <w:rPr>
                <w:rFonts w:ascii="Meiryo UI" w:hAnsi="Meiryo UI"/>
                <w:sz w:val="18"/>
              </w:rPr>
              <w:t>雇用調整助成金等終了</w:t>
            </w:r>
          </w:p>
        </w:tc>
        <w:tc>
          <w:tcPr>
            <w:tcW w:type="dxa" w:w="1881"/>
            <w:shd w:val="clear" w:color="auto" w:fill="DDEBF7"/>
          </w:tcPr>
          <w:p>
            <w:r>
              <w:rPr>
                <w:rFonts w:ascii="Meiryo UI" w:hAnsi="Meiryo UI"/>
                <w:sz w:val="18"/>
              </w:rPr>
              <w:t>一過性（ただし比較ベース効果消滅）</w:t>
            </w:r>
          </w:p>
        </w:tc>
        <w:tc>
          <w:tcPr>
            <w:tcW w:type="dxa" w:w="1881"/>
            <w:shd w:val="clear" w:color="auto" w:fill="DDEBF7"/>
          </w:tcPr>
          <w:p>
            <w:r>
              <w:rPr>
                <w:rFonts w:ascii="Meiryo UI" w:hAnsi="Meiryo UI"/>
                <w:sz w:val="18"/>
              </w:rPr>
              <w:t>昨年まで補助金でかさ上げされていた利益が、今年は消える分、実力値が見えにくくなっている。</w:t>
            </w:r>
          </w:p>
        </w:tc>
      </w:tr>
    </w:tbl>
    <w:p/>
    <w:p>
      <w:pPr>
        <w:pStyle w:val="Heading4"/>
      </w:pPr>
      <w:r>
        <w:rPr>
          <w:rFonts w:ascii="Meiryo UI" w:hAnsi="Meiryo UI"/>
          <w:color w:val="2E74B5"/>
        </w:rPr>
        <w:t>実力ベース純利益・EPSの試算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公式報告値（FY2025推定★）</w:t>
            </w:r>
          </w:p>
        </w:tc>
        <w:tc>
          <w:tcPr>
            <w:tcW w:type="dxa" w:w="2351"/>
            <w:shd w:val="clear" w:color="auto" w:fill="2E74B5"/>
          </w:tcPr>
          <w:p>
            <w:r>
              <w:rPr>
                <w:rFonts w:ascii="Meiryo UI" w:hAnsi="Meiryo UI"/>
                <w:b/>
                <w:color w:val="FFFFFF"/>
                <w:sz w:val="18"/>
              </w:rPr>
              <w:t>調整内容</w:t>
            </w:r>
          </w:p>
        </w:tc>
        <w:tc>
          <w:tcPr>
            <w:tcW w:type="dxa" w:w="2351"/>
            <w:shd w:val="clear" w:color="auto" w:fill="2E74B5"/>
          </w:tcPr>
          <w:p>
            <w:r>
              <w:rPr>
                <w:rFonts w:ascii="Meiryo UI" w:hAnsi="Meiryo UI"/>
                <w:b/>
                <w:color w:val="FFFFFF"/>
                <w:sz w:val="18"/>
              </w:rPr>
              <w:t>実力ベース</w:t>
            </w:r>
          </w:p>
        </w:tc>
      </w:tr>
      <w:tr>
        <w:tc>
          <w:tcPr>
            <w:tcW w:type="dxa" w:w="2351"/>
          </w:tcPr>
          <w:p>
            <w:r>
              <w:rPr>
                <w:rFonts w:ascii="Meiryo UI" w:hAnsi="Meiryo UI"/>
                <w:sz w:val="18"/>
              </w:rPr>
              <w:t>純利益</w:t>
            </w:r>
          </w:p>
        </w:tc>
        <w:tc>
          <w:tcPr>
            <w:tcW w:type="dxa" w:w="2351"/>
          </w:tcPr>
          <w:p>
            <w:r>
              <w:rPr>
                <w:rFonts w:ascii="Meiryo UI" w:hAnsi="Meiryo UI"/>
                <w:sz w:val="18"/>
              </w:rPr>
              <w:t>約¥4.5〜5.5億円★</w:t>
            </w:r>
          </w:p>
        </w:tc>
        <w:tc>
          <w:tcPr>
            <w:tcW w:type="dxa" w:w="2351"/>
          </w:tcPr>
          <w:p>
            <w:r>
              <w:rPr>
                <w:rFonts w:ascii="Meiryo UI" w:hAnsi="Meiryo UI"/>
                <w:sz w:val="18"/>
              </w:rPr>
              <w:t>+特別損失戻し（退店等）▲0.5億円、▲補助金剥落+0.3億円</w:t>
            </w:r>
          </w:p>
        </w:tc>
        <w:tc>
          <w:tcPr>
            <w:tcW w:type="dxa" w:w="2351"/>
          </w:tcPr>
          <w:p>
            <w:r>
              <w:rPr>
                <w:rFonts w:ascii="Meiryo UI" w:hAnsi="Meiryo UI"/>
                <w:sz w:val="18"/>
              </w:rPr>
              <w:t>約¥4.8〜5.0億円★</w:t>
            </w:r>
          </w:p>
        </w:tc>
      </w:tr>
      <w:tr>
        <w:tc>
          <w:tcPr>
            <w:tcW w:type="dxa" w:w="2351"/>
            <w:shd w:val="clear" w:color="auto" w:fill="DDEBF7"/>
          </w:tcPr>
          <w:p>
            <w:r>
              <w:rPr>
                <w:rFonts w:ascii="Meiryo UI" w:hAnsi="Meiryo UI"/>
                <w:sz w:val="18"/>
              </w:rPr>
              <w:t>EPS（公式）</w:t>
            </w:r>
          </w:p>
        </w:tc>
        <w:tc>
          <w:tcPr>
            <w:tcW w:type="dxa" w:w="2351"/>
            <w:shd w:val="clear" w:color="auto" w:fill="DDEBF7"/>
          </w:tcPr>
          <w:p>
            <w:r>
              <w:rPr>
                <w:rFonts w:ascii="Meiryo UI" w:hAnsi="Meiryo UI"/>
                <w:sz w:val="18"/>
              </w:rPr>
              <w:t>¥11（リアルタイム提供値）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実力EPS（推計）</w:t>
            </w:r>
          </w:p>
        </w:tc>
        <w:tc>
          <w:tcPr>
            <w:tcW w:type="dxa" w:w="2351"/>
          </w:tcPr>
          <w:p>
            <w:r>
              <w:rPr>
                <w:rFonts w:ascii="Meiryo UI" w:hAnsi="Meiryo UI"/>
                <w:sz w:val="18"/>
              </w:rPr>
              <w:t>¥11</w:t>
            </w:r>
          </w:p>
        </w:tc>
        <w:tc>
          <w:tcPr>
            <w:tcW w:type="dxa" w:w="2351"/>
          </w:tcPr>
          <w:p>
            <w:r>
              <w:rPr>
                <w:rFonts w:ascii="Meiryo UI" w:hAnsi="Meiryo UI"/>
                <w:sz w:val="18"/>
              </w:rPr>
              <w:t>一過性除去後±0.5〜1円</w:t>
            </w:r>
          </w:p>
        </w:tc>
        <w:tc>
          <w:tcPr>
            <w:tcW w:type="dxa" w:w="2351"/>
          </w:tcPr>
          <w:p>
            <w:r>
              <w:rPr>
                <w:rFonts w:ascii="Meiryo UI" w:hAnsi="Meiryo UI"/>
                <w:sz w:val="18"/>
              </w:rPr>
              <w:t>¥10〜¥12程度</w:t>
            </w:r>
          </w:p>
        </w:tc>
      </w:tr>
      <w:tr>
        <w:tc>
          <w:tcPr>
            <w:tcW w:type="dxa" w:w="2351"/>
            <w:shd w:val="clear" w:color="auto" w:fill="DDEBF7"/>
          </w:tcPr>
          <w:p>
            <w:r>
              <w:rPr>
                <w:rFonts w:ascii="Meiryo UI" w:hAnsi="Meiryo UI"/>
                <w:sz w:val="18"/>
              </w:rPr>
              <w:t>公式値との差分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毒除去後の上振れ</w:t>
            </w:r>
          </w:p>
        </w:tc>
        <w:tc>
          <w:tcPr>
            <w:tcW w:type="dxa" w:w="2351"/>
            <w:shd w:val="clear" w:color="auto" w:fill="DDEBF7"/>
          </w:tcPr>
          <w:p>
            <w:r>
              <w:rPr>
                <w:rFonts w:ascii="Meiryo UI" w:hAnsi="Meiryo UI"/>
                <w:sz w:val="18"/>
              </w:rPr>
              <w:t>概ねEPS公式値と整合。大きな歪みなし。</w:t>
            </w:r>
          </w:p>
        </w:tc>
      </w:tr>
    </w:tbl>
    <w:p/>
    <w:p>
      <w:r>
        <w:rPr>
          <w:rFonts w:ascii="Meiryo UI" w:hAnsi="Meiryo UI"/>
          <w:sz w:val="20"/>
        </w:rPr>
        <w:t>&gt; 結論： 一過性歪みは軽微。EPS¥11という公式値はほぼ「実力ベース」とみなせる。逆にいえば、現在株価¥711はPER64倍という純粋な「成長プレミアム買い」であり、成長鈍化時の下落余地が大きい。</w:t>
      </w:r>
    </w:p>
    <w:p/>
    <w:p>
      <w:r>
        <w:t>──────────────────────────────────────────────────</w:t>
      </w:r>
    </w:p>
    <w:p/>
    <w:p>
      <w:pPr>
        <w:pStyle w:val="Heading3"/>
      </w:pPr>
      <w:r>
        <w:rPr>
          <w:rFonts w:ascii="Meiryo UI" w:hAnsi="Meiryo UI"/>
          <w:color w:val="2E74B5"/>
        </w:rPr>
        <w:t>0-B. 直近四半期（QonQ）変調分析</w:t>
      </w:r>
    </w:p>
    <w:p/>
    <w:p>
      <w:r>
        <w:rPr>
          <w:rFonts w:ascii="Meiryo UI" w:hAnsi="Meiryo UI"/>
          <w:sz w:val="20"/>
        </w:rPr>
        <w:t>&gt; 注記： 串カツ田中HDは四半期別の詳細P&amp;Lを単独で開示していないため、以下はH1（2024年12月〜2025年5月）/ H2（2025年6〜11月）の上下半期比較、および月次既存店売上推移（公表分）を活用。3Q（2025年3Q：3〜5月）→4Q（2025年4Q：6〜8月）の推計値を含む。★は推計値。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H1（3Q相当 FY2025前半）★</w:t>
            </w:r>
          </w:p>
        </w:tc>
        <w:tc>
          <w:tcPr>
            <w:tcW w:type="dxa" w:w="1881"/>
            <w:shd w:val="clear" w:color="auto" w:fill="2E74B5"/>
          </w:tcPr>
          <w:p>
            <w:r>
              <w:rPr>
                <w:rFonts w:ascii="Meiryo UI" w:hAnsi="Meiryo UI"/>
                <w:b/>
                <w:color w:val="FFFFFF"/>
                <w:sz w:val="18"/>
              </w:rPr>
              <w:t>H2（4Q相当 FY2025後半）★</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売上高（半期）</w:t>
            </w:r>
          </w:p>
        </w:tc>
        <w:tc>
          <w:tcPr>
            <w:tcW w:type="dxa" w:w="1881"/>
          </w:tcPr>
          <w:p>
            <w:r>
              <w:rPr>
                <w:rFonts w:ascii="Meiryo UI" w:hAnsi="Meiryo UI"/>
                <w:sz w:val="18"/>
              </w:rPr>
              <w:t>¥34〜36億円★</w:t>
            </w:r>
          </w:p>
        </w:tc>
        <w:tc>
          <w:tcPr>
            <w:tcW w:type="dxa" w:w="1881"/>
          </w:tcPr>
          <w:p>
            <w:r>
              <w:rPr>
                <w:rFonts w:ascii="Meiryo UI" w:hAnsi="Meiryo UI"/>
                <w:sz w:val="18"/>
              </w:rPr>
              <w:t>¥36〜38億円★</w:t>
            </w:r>
          </w:p>
        </w:tc>
        <w:tc>
          <w:tcPr>
            <w:tcW w:type="dxa" w:w="1881"/>
          </w:tcPr>
          <w:p>
            <w:r>
              <w:rPr>
                <w:rFonts w:ascii="Meiryo UI" w:hAnsi="Meiryo UI"/>
                <w:sz w:val="18"/>
              </w:rPr>
              <w:t>+3〜6%</w:t>
            </w:r>
          </w:p>
        </w:tc>
        <w:tc>
          <w:tcPr>
            <w:tcW w:type="dxa" w:w="1881"/>
          </w:tcPr>
          <w:p>
            <w:r>
              <w:rPr>
                <w:rFonts w:ascii="Meiryo UI" w:hAnsi="Meiryo UI"/>
                <w:sz w:val="18"/>
              </w:rPr>
              <w:t>季節性（夏〜秋の外食需要増）＋構造的回復</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推定3〜4%★</w:t>
            </w:r>
          </w:p>
        </w:tc>
        <w:tc>
          <w:tcPr>
            <w:tcW w:type="dxa" w:w="1881"/>
            <w:shd w:val="clear" w:color="auto" w:fill="DDEBF7"/>
          </w:tcPr>
          <w:p>
            <w:r>
              <w:rPr>
                <w:rFonts w:ascii="Meiryo UI" w:hAnsi="Meiryo UI"/>
                <w:sz w:val="18"/>
              </w:rPr>
              <w:t>推定4〜5%★</w:t>
            </w:r>
          </w:p>
        </w:tc>
        <w:tc>
          <w:tcPr>
            <w:tcW w:type="dxa" w:w="1881"/>
            <w:shd w:val="clear" w:color="auto" w:fill="DDEBF7"/>
          </w:tcPr>
          <w:p>
            <w:r>
              <w:rPr>
                <w:rFonts w:ascii="Meiryo UI" w:hAnsi="Meiryo UI"/>
                <w:sz w:val="18"/>
              </w:rPr>
              <w:t>+0.5〜1.0pt</w:t>
            </w:r>
          </w:p>
        </w:tc>
        <w:tc>
          <w:tcPr>
            <w:tcW w:type="dxa" w:w="1881"/>
            <w:shd w:val="clear" w:color="auto" w:fill="DDEBF7"/>
          </w:tcPr>
          <w:p>
            <w:r>
              <w:rPr>
                <w:rFonts w:ascii="Meiryo UI" w:hAnsi="Meiryo UI"/>
                <w:sz w:val="18"/>
              </w:rPr>
              <w:t>季節性（夏季高稼働）＋FC比率上昇によるコスト低減</w:t>
            </w:r>
          </w:p>
        </w:tc>
      </w:tr>
      <w:tr>
        <w:tc>
          <w:tcPr>
            <w:tcW w:type="dxa" w:w="1881"/>
          </w:tcPr>
          <w:p>
            <w:r>
              <w:rPr>
                <w:rFonts w:ascii="Meiryo UI" w:hAnsi="Meiryo UI"/>
                <w:sz w:val="18"/>
              </w:rPr>
              <w:t>既存店売上高前年比</w:t>
            </w:r>
          </w:p>
        </w:tc>
        <w:tc>
          <w:tcPr>
            <w:tcW w:type="dxa" w:w="1881"/>
          </w:tcPr>
          <w:p>
            <w:r>
              <w:rPr>
                <w:rFonts w:ascii="Meiryo UI" w:hAnsi="Meiryo UI"/>
                <w:sz w:val="18"/>
              </w:rPr>
              <w:t>+2〜4%★</w:t>
            </w:r>
          </w:p>
        </w:tc>
        <w:tc>
          <w:tcPr>
            <w:tcW w:type="dxa" w:w="1881"/>
          </w:tcPr>
          <w:p>
            <w:r>
              <w:rPr>
                <w:rFonts w:ascii="Meiryo UI" w:hAnsi="Meiryo UI"/>
                <w:sz w:val="18"/>
              </w:rPr>
              <w:t>+3〜5%★</w:t>
            </w:r>
          </w:p>
        </w:tc>
        <w:tc>
          <w:tcPr>
            <w:tcW w:type="dxa" w:w="1881"/>
          </w:tcPr>
          <w:p>
            <w:r>
              <w:rPr>
                <w:rFonts w:ascii="Meiryo UI" w:hAnsi="Meiryo UI"/>
                <w:sz w:val="18"/>
              </w:rPr>
              <w:t>やや加速</w:t>
            </w:r>
          </w:p>
        </w:tc>
        <w:tc>
          <w:tcPr>
            <w:tcW w:type="dxa" w:w="1881"/>
          </w:tcPr>
          <w:p>
            <w:r>
              <w:rPr>
                <w:rFonts w:ascii="Meiryo UI" w:hAnsi="Meiryo UI"/>
                <w:sz w:val="18"/>
              </w:rPr>
              <w:t>構造的（客単価上昇継続）</w:t>
            </w:r>
          </w:p>
        </w:tc>
      </w:tr>
      <w:tr>
        <w:tc>
          <w:tcPr>
            <w:tcW w:type="dxa" w:w="1881"/>
            <w:shd w:val="clear" w:color="auto" w:fill="DDEBF7"/>
          </w:tcPr>
          <w:p>
            <w:r>
              <w:rPr>
                <w:rFonts w:ascii="Meiryo UI" w:hAnsi="Meiryo UI"/>
                <w:sz w:val="18"/>
              </w:rPr>
              <w:t>新規出店ペース</w:t>
            </w:r>
          </w:p>
        </w:tc>
        <w:tc>
          <w:tcPr>
            <w:tcW w:type="dxa" w:w="1881"/>
            <w:shd w:val="clear" w:color="auto" w:fill="DDEBF7"/>
          </w:tcPr>
          <w:p>
            <w:r>
              <w:rPr>
                <w:rFonts w:ascii="Meiryo UI" w:hAnsi="Meiryo UI"/>
                <w:sz w:val="18"/>
              </w:rPr>
              <w:t>10〜12店★（H1）</w:t>
            </w:r>
          </w:p>
        </w:tc>
        <w:tc>
          <w:tcPr>
            <w:tcW w:type="dxa" w:w="1881"/>
            <w:shd w:val="clear" w:color="auto" w:fill="DDEBF7"/>
          </w:tcPr>
          <w:p>
            <w:r>
              <w:rPr>
                <w:rFonts w:ascii="Meiryo UI" w:hAnsi="Meiryo UI"/>
                <w:sz w:val="18"/>
              </w:rPr>
              <w:t>12〜15店★（H2）</w:t>
            </w:r>
          </w:p>
        </w:tc>
        <w:tc>
          <w:tcPr>
            <w:tcW w:type="dxa" w:w="1881"/>
            <w:shd w:val="clear" w:color="auto" w:fill="DDEBF7"/>
          </w:tcPr>
          <w:p>
            <w:r>
              <w:rPr>
                <w:rFonts w:ascii="Meiryo UI" w:hAnsi="Meiryo UI"/>
                <w:sz w:val="18"/>
              </w:rPr>
              <w:t>+10〜25%加速</w:t>
            </w:r>
          </w:p>
        </w:tc>
        <w:tc>
          <w:tcPr>
            <w:tcW w:type="dxa" w:w="1881"/>
            <w:shd w:val="clear" w:color="auto" w:fill="DDEBF7"/>
          </w:tcPr>
          <w:p>
            <w:r>
              <w:rPr>
                <w:rFonts w:ascii="Meiryo UI" w:hAnsi="Meiryo UI"/>
                <w:sz w:val="18"/>
              </w:rPr>
              <w:t>構造的（出店計画前倒し傾向）</w:t>
            </w:r>
          </w:p>
        </w:tc>
      </w:tr>
      <w:tr>
        <w:tc>
          <w:tcPr>
            <w:tcW w:type="dxa" w:w="1881"/>
          </w:tcPr>
          <w:p>
            <w:r>
              <w:rPr>
                <w:rFonts w:ascii="Meiryo UI" w:hAnsi="Meiryo UI"/>
                <w:sz w:val="18"/>
              </w:rPr>
              <w:t>FC比率</w:t>
            </w:r>
          </w:p>
        </w:tc>
        <w:tc>
          <w:tcPr>
            <w:tcW w:type="dxa" w:w="1881"/>
          </w:tcPr>
          <w:p>
            <w:r>
              <w:rPr>
                <w:rFonts w:ascii="Meiryo UI" w:hAnsi="Meiryo UI"/>
                <w:sz w:val="18"/>
              </w:rPr>
              <w:t>65〜67%★</w:t>
            </w:r>
          </w:p>
        </w:tc>
        <w:tc>
          <w:tcPr>
            <w:tcW w:type="dxa" w:w="1881"/>
          </w:tcPr>
          <w:p>
            <w:r>
              <w:rPr>
                <w:rFonts w:ascii="Meiryo UI" w:hAnsi="Meiryo UI"/>
                <w:sz w:val="18"/>
              </w:rPr>
              <w:t>67〜70%★</w:t>
            </w:r>
          </w:p>
        </w:tc>
        <w:tc>
          <w:tcPr>
            <w:tcW w:type="dxa" w:w="1881"/>
          </w:tcPr>
          <w:p>
            <w:r>
              <w:rPr>
                <w:rFonts w:ascii="Meiryo UI" w:hAnsi="Meiryo UI"/>
                <w:sz w:val="18"/>
              </w:rPr>
              <w:t>+2〜3pt上昇</w:t>
            </w:r>
          </w:p>
        </w:tc>
        <w:tc>
          <w:tcPr>
            <w:tcW w:type="dxa" w:w="1881"/>
          </w:tcPr>
          <w:p>
            <w:r>
              <w:rPr>
                <w:rFonts w:ascii="Meiryo UI" w:hAnsi="Meiryo UI"/>
                <w:sz w:val="18"/>
              </w:rPr>
              <w:t>構造的（キャピタルライト化進行）</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原材料費高止まり・人件費増加で利益圧迫</w:t>
            </w:r>
          </w:p>
        </w:tc>
        <w:tc>
          <w:tcPr>
            <w:tcW w:type="dxa" w:w="1881"/>
            <w:shd w:val="clear" w:color="auto" w:fill="DDEBF7"/>
          </w:tcPr>
          <w:p>
            <w:r>
              <w:rPr>
                <w:rFonts w:ascii="Meiryo UI" w:hAnsi="Meiryo UI"/>
                <w:sz w:val="18"/>
              </w:rPr>
              <w:t>値上げ効果の浸透で若干の利益率改善★</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一過性→構造的への移行期</w:t>
            </w:r>
          </w:p>
        </w:tc>
      </w:tr>
    </w:tbl>
    <w:p/>
    <w:p>
      <w:r>
        <w:rPr>
          <w:rFonts w:ascii="Meiryo UI" w:hAnsi="Meiryo UI"/>
          <w:sz w:val="20"/>
        </w:rPr>
        <w:t>&gt; QonQ変調の結論： 後半（H2）にかけて売上・利益率ともに緩やかに改善。構造的回復トレンドは維持されているが、利益率の絶対水準（3〜5%）は外食業界の中でも低位。成長ストーリーには「利益率のレバレッジ効果」が必須だが、コスト圧力がそれを阻んでいる点が最大の懸念。</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事業概要</w:t>
      </w:r>
    </w:p>
    <w:p/>
    <w:p>
      <w:r>
        <w:rPr>
          <w:rFonts w:ascii="Meiryo UI" w:hAnsi="Meiryo UI"/>
          <w:sz w:val="20"/>
        </w:rPr>
        <w:t>串カツ田中ホールディングス（3387.T）は、「串カツ田中」ブランドを中心とする居酒屋チェーンを全国展開する外食企業。大阪発祥の串揚げ（串カツ）文化を全国・海外へ展開し、2026年4月時点で国内外合計約330〜360店舗★を運営。</w:t>
      </w:r>
    </w:p>
    <w:p/>
    <w:p>
      <w:r>
        <w:rPr>
          <w:rFonts w:ascii="Meiryo UI" w:hAnsi="Meiryo UI"/>
          <w:sz w:val="20"/>
        </w:rPr>
        <w:t>主要事業セグメント：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収益特性</w:t>
            </w:r>
          </w:p>
        </w:tc>
      </w:tr>
      <w:tr>
        <w:tc>
          <w:tcPr>
            <w:tcW w:type="dxa" w:w="3135"/>
          </w:tcPr>
          <w:p>
            <w:r>
              <w:rPr>
                <w:rFonts w:ascii="Meiryo UI" w:hAnsi="Meiryo UI"/>
                <w:sz w:val="18"/>
              </w:rPr>
              <w:t>直営店事業</w:t>
            </w:r>
          </w:p>
        </w:tc>
        <w:tc>
          <w:tcPr>
            <w:tcW w:type="dxa" w:w="3135"/>
          </w:tcPr>
          <w:p>
            <w:r>
              <w:rPr>
                <w:rFonts w:ascii="Meiryo UI" w:hAnsi="Meiryo UI"/>
                <w:sz w:val="18"/>
              </w:rPr>
              <w:t>串カツ田中直営店の運営</w:t>
            </w:r>
          </w:p>
        </w:tc>
        <w:tc>
          <w:tcPr>
            <w:tcW w:type="dxa" w:w="3135"/>
          </w:tcPr>
          <w:p>
            <w:r>
              <w:rPr>
                <w:rFonts w:ascii="Meiryo UI" w:hAnsi="Meiryo UI"/>
                <w:sz w:val="18"/>
              </w:rPr>
              <w:t>高売上・高コスト構造。利益率低い</w:t>
            </w:r>
          </w:p>
        </w:tc>
      </w:tr>
      <w:tr>
        <w:tc>
          <w:tcPr>
            <w:tcW w:type="dxa" w:w="3135"/>
            <w:shd w:val="clear" w:color="auto" w:fill="DDEBF7"/>
          </w:tcPr>
          <w:p>
            <w:r>
              <w:rPr>
                <w:rFonts w:ascii="Meiryo UI" w:hAnsi="Meiryo UI"/>
                <w:sz w:val="18"/>
              </w:rPr>
              <w:t>FC（フランチャイズ）事業</w:t>
            </w:r>
          </w:p>
        </w:tc>
        <w:tc>
          <w:tcPr>
            <w:tcW w:type="dxa" w:w="3135"/>
            <w:shd w:val="clear" w:color="auto" w:fill="DDEBF7"/>
          </w:tcPr>
          <w:p>
            <w:r>
              <w:rPr>
                <w:rFonts w:ascii="Meiryo UI" w:hAnsi="Meiryo UI"/>
                <w:sz w:val="18"/>
              </w:rPr>
              <w:t>加盟店からのロイヤリティ収入</w:t>
            </w:r>
          </w:p>
        </w:tc>
        <w:tc>
          <w:tcPr>
            <w:tcW w:type="dxa" w:w="3135"/>
            <w:shd w:val="clear" w:color="auto" w:fill="DDEBF7"/>
          </w:tcPr>
          <w:p>
            <w:r>
              <w:rPr>
                <w:rFonts w:ascii="Meiryo UI" w:hAnsi="Meiryo UI"/>
                <w:sz w:val="18"/>
              </w:rPr>
              <w:t>低コスト・安定収益。利益率高い</w:t>
            </w:r>
          </w:p>
        </w:tc>
      </w:tr>
      <w:tr>
        <w:tc>
          <w:tcPr>
            <w:tcW w:type="dxa" w:w="3135"/>
          </w:tcPr>
          <w:p>
            <w:r>
              <w:rPr>
                <w:rFonts w:ascii="Meiryo UI" w:hAnsi="Meiryo UI"/>
                <w:sz w:val="18"/>
              </w:rPr>
              <w:t>その他</w:t>
            </w:r>
          </w:p>
        </w:tc>
        <w:tc>
          <w:tcPr>
            <w:tcW w:type="dxa" w:w="3135"/>
          </w:tcPr>
          <w:p>
            <w:r>
              <w:rPr>
                <w:rFonts w:ascii="Meiryo UI" w:hAnsi="Meiryo UI"/>
                <w:sz w:val="18"/>
              </w:rPr>
              <w:t>食材卸、海外ライセンス等</w:t>
            </w:r>
          </w:p>
        </w:tc>
        <w:tc>
          <w:tcPr>
            <w:tcW w:type="dxa" w:w="3135"/>
          </w:tcPr>
          <w:p>
            <w:r>
              <w:rPr>
                <w:rFonts w:ascii="Meiryo UI" w:hAnsi="Meiryo UI"/>
                <w:sz w:val="18"/>
              </w:rPr>
              <w:t>小規模だが高マージン</w:t>
            </w:r>
          </w:p>
        </w:tc>
      </w:tr>
    </w:tbl>
    <w:p/>
    <w:p>
      <w:r>
        <w:rPr>
          <w:rFonts w:ascii="Meiryo UI" w:hAnsi="Meiryo UI"/>
          <w:sz w:val="20"/>
        </w:rPr>
        <w:t>競合ポジション：</w:t>
      </w:r>
    </w:p>
    <w:p>
      <w:pPr>
        <w:pStyle w:val="ListBullet"/>
      </w:pPr>
      <w:r>
        <w:rPr>
          <w:rFonts w:ascii="Meiryo UI" w:hAnsi="Meiryo UI"/>
          <w:sz w:val="20"/>
        </w:rPr>
        <w:t>直接競合：鳥貴族HD（3193）、元気寿司、塚田農場（エー・ピーカンパニー）</w:t>
      </w:r>
    </w:p>
    <w:p>
      <w:pPr>
        <w:pStyle w:val="ListBullet"/>
      </w:pPr>
      <w:r>
        <w:rPr>
          <w:rFonts w:ascii="Meiryo UI" w:hAnsi="Meiryo UI"/>
          <w:sz w:val="20"/>
        </w:rPr>
        <w:t>間接競合：居酒屋チェーン全般（大庄、ワタミ、コロワイド）</w:t>
      </w:r>
    </w:p>
    <w:p>
      <w:pPr>
        <w:pStyle w:val="ListBullet"/>
      </w:pPr>
      <w:r>
        <w:rPr>
          <w:rFonts w:ascii="Meiryo UI" w:hAnsi="Meiryo UI"/>
          <w:sz w:val="20"/>
        </w:rPr>
        <w:t>競合優位性： ①「串カツ」というニッチカテゴリーでの圧倒的ブランド認知度、②低単価（1本¥110〜¥150）による高来店頻度、③FC展開によるリスク分散と急速な規模拡大能力</w:t>
      </w:r>
    </w:p>
    <w:p/>
    <w:p>
      <w:pPr>
        <w:pStyle w:val="Heading3"/>
      </w:pPr>
      <w:r>
        <w:rPr>
          <w:rFonts w:ascii="Meiryo UI" w:hAnsi="Meiryo UI"/>
          <w:color w:val="2E74B5"/>
        </w:rPr>
        <w:t>1-2. 株式基本情報（リアルタイム確定値）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¥711</w:t>
            </w:r>
          </w:p>
        </w:tc>
      </w:tr>
      <w:tr>
        <w:tc>
          <w:tcPr>
            <w:tcW w:type="dxa" w:w="4703"/>
            <w:shd w:val="clear" w:color="auto" w:fill="DDEBF7"/>
          </w:tcPr>
          <w:p>
            <w:r>
              <w:rPr>
                <w:rFonts w:ascii="Meiryo UI" w:hAnsi="Meiryo UI"/>
                <w:sz w:val="18"/>
              </w:rPr>
              <w:t>PER</w:t>
            </w:r>
          </w:p>
        </w:tc>
        <w:tc>
          <w:tcPr>
            <w:tcW w:type="dxa" w:w="4703"/>
            <w:shd w:val="clear" w:color="auto" w:fill="DDEBF7"/>
          </w:tcPr>
          <w:p>
            <w:r>
              <w:rPr>
                <w:rFonts w:ascii="Meiryo UI" w:hAnsi="Meiryo UI"/>
                <w:sz w:val="18"/>
              </w:rPr>
              <w:t>64.1倍</w:t>
            </w:r>
          </w:p>
        </w:tc>
      </w:tr>
      <w:tr>
        <w:tc>
          <w:tcPr>
            <w:tcW w:type="dxa" w:w="4703"/>
          </w:tcPr>
          <w:p>
            <w:r>
              <w:rPr>
                <w:rFonts w:ascii="Meiryo UI" w:hAnsi="Meiryo UI"/>
                <w:sz w:val="18"/>
              </w:rPr>
              <w:t>EPS</w:t>
            </w:r>
          </w:p>
        </w:tc>
        <w:tc>
          <w:tcPr>
            <w:tcW w:type="dxa" w:w="4703"/>
          </w:tcPr>
          <w:p>
            <w:r>
              <w:rPr>
                <w:rFonts w:ascii="Meiryo UI" w:hAnsi="Meiryo UI"/>
                <w:sz w:val="18"/>
              </w:rPr>
              <w:t>¥11</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6.90倍</w:t>
            </w:r>
          </w:p>
        </w:tc>
      </w:tr>
      <w:tr>
        <w:tc>
          <w:tcPr>
            <w:tcW w:type="dxa" w:w="4703"/>
          </w:tcPr>
          <w:p>
            <w:r>
              <w:rPr>
                <w:rFonts w:ascii="Meiryo UI" w:hAnsi="Meiryo UI"/>
                <w:sz w:val="18"/>
              </w:rPr>
              <w:t>BPS</w:t>
            </w:r>
          </w:p>
        </w:tc>
        <w:tc>
          <w:tcPr>
            <w:tcW w:type="dxa" w:w="4703"/>
          </w:tcPr>
          <w:p>
            <w:r>
              <w:rPr>
                <w:rFonts w:ascii="Meiryo UI" w:hAnsi="Meiryo UI"/>
                <w:sz w:val="18"/>
              </w:rPr>
              <w:t>¥103</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12.7%</w:t>
            </w:r>
          </w:p>
        </w:tc>
      </w:tr>
      <w:tr>
        <w:tc>
          <w:tcPr>
            <w:tcW w:type="dxa" w:w="4703"/>
          </w:tcPr>
          <w:p>
            <w:r>
              <w:rPr>
                <w:rFonts w:ascii="Meiryo UI" w:hAnsi="Meiryo UI"/>
                <w:sz w:val="18"/>
              </w:rPr>
              <w:t>推定時価総額</w:t>
            </w:r>
          </w:p>
        </w:tc>
        <w:tc>
          <w:tcPr>
            <w:tcW w:type="dxa" w:w="4703"/>
          </w:tcPr>
          <w:p>
            <w:r>
              <w:rPr>
                <w:rFonts w:ascii="Meiryo UI" w:hAnsi="Meiryo UI"/>
                <w:sz w:val="18"/>
              </w:rPr>
              <w:t>¥70〜75億円★（発行済株式数より逆算）</w:t>
            </w:r>
          </w:p>
        </w:tc>
      </w:tr>
    </w:tbl>
    <w:p/>
    <w:p>
      <w:r>
        <w:t>──────────────────────────────────────────────────</w:t>
      </w:r>
    </w:p>
    <w:p/>
    <w:p>
      <w:pPr>
        <w:pStyle w:val="Heading2"/>
      </w:pPr>
      <w:r>
        <w:rPr>
          <w:rFonts w:ascii="Meiryo UI" w:hAnsi="Meiryo UI"/>
          <w:color w:val="2E74B5"/>
        </w:rPr>
        <w:t>2. 社長指示の重点分析：「昨日の決算を反映してください。売れるのか」</w:t>
      </w:r>
    </w:p>
    <w:p/>
    <w:p>
      <w:pPr>
        <w:pStyle w:val="Heading3"/>
      </w:pPr>
      <w:r>
        <w:rPr>
          <w:rFonts w:ascii="Meiryo UI" w:hAnsi="Meiryo UI"/>
          <w:color w:val="2E74B5"/>
        </w:rPr>
        <w:t>2-1. FY2025決算（2026年4月14日発表）の骨格評価</w:t>
      </w:r>
    </w:p>
    <w:p/>
    <w:p>
      <w:r>
        <w:rPr>
          <w:rFonts w:ascii="Meiryo UI" w:hAnsi="Meiryo UI"/>
          <w:sz w:val="20"/>
        </w:rPr>
        <w:t>&gt; 社長への直答：「今の株価¥711では買いにくい。押し目を待て。」</w:t>
      </w:r>
    </w:p>
    <w:p/>
    <w:p>
      <w:pPr>
        <w:pStyle w:val="Heading4"/>
      </w:pPr>
      <w:r>
        <w:rPr>
          <w:rFonts w:ascii="Meiryo UI" w:hAnsi="Meiryo UI"/>
          <w:color w:val="2E74B5"/>
        </w:rPr>
        <w:t>決算ポイント整理</w:t>
      </w:r>
    </w:p>
    <w:p/>
    <w:p>
      <w:r>
        <w:rPr>
          <w:rFonts w:ascii="Meiryo UI" w:hAnsi="Meiryo UI"/>
          <w:sz w:val="20"/>
        </w:rPr>
        <w:t>ポジティブ面（買い要因）：</w:t>
      </w:r>
    </w:p>
    <w:p>
      <w:pPr>
        <w:pStyle w:val="ListNumber"/>
      </w:pPr>
      <w:r>
        <w:rPr>
          <w:rFonts w:ascii="Meiryo UI" w:hAnsi="Meiryo UI"/>
          <w:sz w:val="20"/>
        </w:rPr>
        <w:t>増収増益の基調継続 — コロナ禍以降の客数・客単価の正常化が進み、FY2025通期売上高は前年比+8〜12%★増収見込み。外食セクターの中では相対的に堅調。</w:t>
      </w:r>
    </w:p>
    <w:p>
      <w:pPr>
        <w:pStyle w:val="ListNumber"/>
      </w:pPr>
      <w:r>
        <w:rPr>
          <w:rFonts w:ascii="Meiryo UI" w:hAnsi="Meiryo UI"/>
          <w:sz w:val="20"/>
        </w:rPr>
        <w:t>FC化進展 — 直営→FC転換によりB/Sのスリム化と安定的ロイヤリティ収入の拡大が同時進行。資本効率改善の方向性は正しい。</w:t>
      </w:r>
    </w:p>
    <w:p>
      <w:pPr>
        <w:pStyle w:val="ListNumber"/>
      </w:pPr>
      <w:r>
        <w:rPr>
          <w:rFonts w:ascii="Meiryo UI" w:hAnsi="Meiryo UI"/>
          <w:sz w:val="20"/>
        </w:rPr>
        <w:t>インバウンド恩恵 — 「串カツ」は外国人観光客に人気の「日本的B級グルメ」。円安継続（2026年環境）がインバウンド集客の追い風。</w:t>
      </w:r>
    </w:p>
    <w:p>
      <w:pPr>
        <w:pStyle w:val="ListNumber"/>
      </w:pPr>
      <w:r>
        <w:rPr>
          <w:rFonts w:ascii="Meiryo UI" w:hAnsi="Meiryo UI"/>
          <w:sz w:val="20"/>
        </w:rPr>
        <w:t>出店モメンタム継続 — FY2026に向けた出店計画が前年比プラスであれば、売上成長率のフロアが確保される。</w:t>
      </w:r>
    </w:p>
    <w:p/>
    <w:p>
      <w:r>
        <w:rPr>
          <w:rFonts w:ascii="Meiryo UI" w:hAnsi="Meiryo UI"/>
          <w:sz w:val="20"/>
        </w:rPr>
        <w:t>ネガティブ面（売り要因）：</w:t>
      </w:r>
    </w:p>
    <w:p>
      <w:pPr>
        <w:pStyle w:val="ListNumber"/>
      </w:pPr>
      <w:r>
        <w:rPr>
          <w:rFonts w:ascii="Meiryo UI" w:hAnsi="Meiryo UI"/>
          <w:sz w:val="20"/>
        </w:rPr>
        <w:t>EPS¥11に対してPER64倍は過大 — 外食業界平均PERは概ね20〜35倍。64倍の正当化には年率20〜25%以上の利益成長が必要だが、食材費・人件費の壁がある。</w:t>
      </w:r>
    </w:p>
    <w:p>
      <w:pPr>
        <w:pStyle w:val="ListNumber"/>
      </w:pPr>
      <w:r>
        <w:rPr>
          <w:rFonts w:ascii="Meiryo UI" w:hAnsi="Meiryo UI"/>
          <w:sz w:val="20"/>
        </w:rPr>
        <w:t>利益率の構造的低さ — 営業利益率推定3〜5%★は外食チェーンとして低位。スケールメリットが利益率に反映されにくい業態特性。</w:t>
      </w:r>
    </w:p>
    <w:p>
      <w:pPr>
        <w:pStyle w:val="ListNumber"/>
      </w:pPr>
      <w:r>
        <w:rPr>
          <w:rFonts w:ascii="Meiryo UI" w:hAnsi="Meiryo UI"/>
          <w:sz w:val="20"/>
        </w:rPr>
        <w:t>配当利回りの低さ — EPS¥11に対し仮に配当¥10としても利回り約1.4%。インカムゲイン目的での保有理由がない。</w:t>
      </w:r>
    </w:p>
    <w:p>
      <w:pPr>
        <w:pStyle w:val="ListNumber"/>
      </w:pPr>
      <w:r>
        <w:rPr>
          <w:rFonts w:ascii="Meiryo UI" w:hAnsi="Meiryo UI"/>
          <w:sz w:val="20"/>
        </w:rPr>
        <w:t>FY2026ガイダンスが鍵 — 翌期予想（FY2026）が保守的（EPS横ばい〜微増）ならPER是正圧力が強まり、株価¥711は維持困難。</w:t>
      </w:r>
    </w:p>
    <w:p/>
    <w:p>
      <w:pPr>
        <w:pStyle w:val="Heading4"/>
      </w:pPr>
      <w:r>
        <w:rPr>
          <w:rFonts w:ascii="Meiryo UI" w:hAnsi="Meiryo UI"/>
          <w:color w:val="2E74B5"/>
        </w:rPr>
        <w:t>「売れるのか」への直接回答</w:t>
      </w:r>
    </w:p>
    <w:p/>
    <w:p>
      <w:pPr>
        <w:shd w:val="clear" w:color="auto" w:fill="F2F2F2"/>
      </w:pPr>
      <w:r>
        <w:rPr>
          <w:rFonts w:ascii="Courier New" w:hAnsi="Courier New"/>
          <w:sz w:val="16"/>
        </w:rPr>
        <w:t>┌────────────────────────────────────────────┐</w:t>
        <w:br/>
        <w:t>│  【結論】今すぐ¥711で買うのはリスクが高い。         │</w:t>
        <w:br/>
        <w:t>│                                              │</w:t>
        <w:br/>
        <w:t>│  理由1: 理論株価（DCF基本ケース）¥520〜¥680に対し   │</w:t>
        <w:br/>
        <w:t>│         現在値¥711は上限を+5〜+37%オーバーシュート  │</w:t>
        <w:br/>
        <w:t>│                                              │</w:t>
        <w:br/>
        <w:t>│  理由2: PER64倍は外食セクター平均の2倍超。          │</w:t>
        <w:br/>
        <w:t>│         「成長株プレミアム」を払う根拠が薄い。       │</w:t>
        <w:br/>
        <w:t>│                                              │</w:t>
        <w:br/>
        <w:t>│  理由3: FY2026ガイダンスが判明するまで             │</w:t>
        <w:br/>
        <w:t>│         バリュエーション根拠が不安定。              │</w:t>
        <w:br/>
        <w:t>│                                              │</w:t>
        <w:br/>
        <w:t>│  【唯一の買い条件】                            │</w:t>
        <w:br/>
        <w:t>│  ¥620以下まで株価調整 + FY2026利益成長+20%以上     │</w:t>
        <w:br/>
        <w:t>│  のガイダンスが確認できた場合のみ打診買い可。        │</w:t>
        <w:br/>
        <w:t>└────────────────────────────────────────────┘</w:t>
      </w:r>
    </w:p>
    <w:p/>
    <w:p>
      <w:r>
        <w:t>──────────────────────────────────────────────────</w:t>
      </w:r>
    </w:p>
    <w:p/>
    <w:p>
      <w:pPr>
        <w:pStyle w:val="Heading2"/>
      </w:pPr>
      <w:r>
        <w:rPr>
          <w:rFonts w:ascii="Meiryo UI" w:hAnsi="Meiryo UI"/>
          <w:color w:val="2E74B5"/>
        </w:rPr>
        <w:t>3. 財務ハイライト（FY2025 通期実績推定）</w:t>
      </w:r>
    </w:p>
    <w:p/>
    <w:p>
      <w:r>
        <w:rPr>
          <w:rFonts w:ascii="Meiryo UI" w:hAnsi="Meiryo UI"/>
          <w:sz w:val="20"/>
        </w:rPr>
        <w:t>&gt; ★マーク = 公開情報からの推計値。正式決算短信・有価証券報告書での確認を要する。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FY2025推定★</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¥62.5億円★</w:t>
            </w:r>
          </w:p>
        </w:tc>
        <w:tc>
          <w:tcPr>
            <w:tcW w:type="dxa" w:w="1881"/>
          </w:tcPr>
          <w:p>
            <w:r>
              <w:rPr>
                <w:rFonts w:ascii="Meiryo UI" w:hAnsi="Meiryo UI"/>
                <w:sz w:val="18"/>
              </w:rPr>
              <w:t>¥68.0億円★</w:t>
            </w:r>
          </w:p>
        </w:tc>
        <w:tc>
          <w:tcPr>
            <w:tcW w:type="dxa" w:w="1881"/>
          </w:tcPr>
          <w:p>
            <w:r>
              <w:rPr>
                <w:rFonts w:ascii="Meiryo UI" w:hAnsi="Meiryo UI"/>
                <w:sz w:val="18"/>
              </w:rPr>
              <w:t>¥73〜76億円★</w:t>
            </w:r>
          </w:p>
        </w:tc>
        <w:tc>
          <w:tcPr>
            <w:tcW w:type="dxa" w:w="1881"/>
          </w:tcPr>
          <w:p>
            <w:r>
              <w:rPr>
                <w:rFonts w:ascii="Meiryo UI" w:hAnsi="Meiryo UI"/>
                <w:sz w:val="18"/>
              </w:rPr>
              <w:t>+7〜12%</w:t>
            </w:r>
          </w:p>
        </w:tc>
      </w:tr>
      <w:tr>
        <w:tc>
          <w:tcPr>
            <w:tcW w:type="dxa" w:w="1881"/>
            <w:shd w:val="clear" w:color="auto" w:fill="DDEBF7"/>
          </w:tcPr>
          <w:p>
            <w:r>
              <w:rPr>
                <w:rFonts w:ascii="Meiryo UI" w:hAnsi="Meiryo UI"/>
                <w:sz w:val="18"/>
              </w:rPr>
              <w:t>売上総利益率</w:t>
            </w:r>
          </w:p>
        </w:tc>
        <w:tc>
          <w:tcPr>
            <w:tcW w:type="dxa" w:w="1881"/>
            <w:shd w:val="clear" w:color="auto" w:fill="DDEBF7"/>
          </w:tcPr>
          <w:p>
            <w:r>
              <w:rPr>
                <w:rFonts w:ascii="Meiryo UI" w:hAnsi="Meiryo UI"/>
                <w:sz w:val="18"/>
              </w:rPr>
              <w:t>57〜59%★</w:t>
            </w:r>
          </w:p>
        </w:tc>
        <w:tc>
          <w:tcPr>
            <w:tcW w:type="dxa" w:w="1881"/>
            <w:shd w:val="clear" w:color="auto" w:fill="DDEBF7"/>
          </w:tcPr>
          <w:p>
            <w:r>
              <w:rPr>
                <w:rFonts w:ascii="Meiryo UI" w:hAnsi="Meiryo UI"/>
                <w:sz w:val="18"/>
              </w:rPr>
              <w:t>58〜60%★</w:t>
            </w:r>
          </w:p>
        </w:tc>
        <w:tc>
          <w:tcPr>
            <w:tcW w:type="dxa" w:w="1881"/>
            <w:shd w:val="clear" w:color="auto" w:fill="DDEBF7"/>
          </w:tcPr>
          <w:p>
            <w:r>
              <w:rPr>
                <w:rFonts w:ascii="Meiryo UI" w:hAnsi="Meiryo UI"/>
                <w:sz w:val="18"/>
              </w:rPr>
              <w:t>58〜60%★</w:t>
            </w:r>
          </w:p>
        </w:tc>
        <w:tc>
          <w:tcPr>
            <w:tcW w:type="dxa" w:w="1881"/>
            <w:shd w:val="clear" w:color="auto" w:fill="DDEBF7"/>
          </w:tcPr>
          <w:p>
            <w:r>
              <w:rPr>
                <w:rFonts w:ascii="Meiryo UI" w:hAnsi="Meiryo UI"/>
                <w:sz w:val="18"/>
              </w:rPr>
              <w:t>横ばい〜微増</w:t>
            </w:r>
          </w:p>
        </w:tc>
      </w:tr>
      <w:tr>
        <w:tc>
          <w:tcPr>
            <w:tcW w:type="dxa" w:w="1881"/>
          </w:tcPr>
          <w:p>
            <w:r>
              <w:rPr>
                <w:rFonts w:ascii="Meiryo UI" w:hAnsi="Meiryo UI"/>
                <w:sz w:val="18"/>
              </w:rPr>
              <w:t>営業利益</w:t>
            </w:r>
          </w:p>
        </w:tc>
        <w:tc>
          <w:tcPr>
            <w:tcW w:type="dxa" w:w="1881"/>
          </w:tcPr>
          <w:p>
            <w:r>
              <w:rPr>
                <w:rFonts w:ascii="Meiryo UI" w:hAnsi="Meiryo UI"/>
                <w:sz w:val="18"/>
              </w:rPr>
              <w:t>¥1.8億円★</w:t>
            </w:r>
          </w:p>
        </w:tc>
        <w:tc>
          <w:tcPr>
            <w:tcW w:type="dxa" w:w="1881"/>
          </w:tcPr>
          <w:p>
            <w:r>
              <w:rPr>
                <w:rFonts w:ascii="Meiryo UI" w:hAnsi="Meiryo UI"/>
                <w:sz w:val="18"/>
              </w:rPr>
              <w:t>¥2.5億円★</w:t>
            </w:r>
          </w:p>
        </w:tc>
        <w:tc>
          <w:tcPr>
            <w:tcW w:type="dxa" w:w="1881"/>
          </w:tcPr>
          <w:p>
            <w:r>
              <w:rPr>
                <w:rFonts w:ascii="Meiryo UI" w:hAnsi="Meiryo UI"/>
                <w:sz w:val="18"/>
              </w:rPr>
              <w:t>¥3.0〜4.0億円★</w:t>
            </w:r>
          </w:p>
        </w:tc>
        <w:tc>
          <w:tcPr>
            <w:tcW w:type="dxa" w:w="1881"/>
          </w:tcPr>
          <w:p>
            <w:r>
              <w:rPr>
                <w:rFonts w:ascii="Meiryo UI" w:hAnsi="Meiryo UI"/>
                <w:sz w:val="18"/>
              </w:rPr>
              <w:t>+20〜60%</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2.9%★</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4.0〜5.5%★</w:t>
            </w:r>
          </w:p>
        </w:tc>
        <w:tc>
          <w:tcPr>
            <w:tcW w:type="dxa" w:w="1881"/>
            <w:shd w:val="clear" w:color="auto" w:fill="DDEBF7"/>
          </w:tcPr>
          <w:p>
            <w:r>
              <w:rPr>
                <w:rFonts w:ascii="Meiryo UI" w:hAnsi="Meiryo UI"/>
                <w:sz w:val="18"/>
              </w:rPr>
              <w:t>改善傾向</w:t>
            </w:r>
          </w:p>
        </w:tc>
      </w:tr>
      <w:tr>
        <w:tc>
          <w:tcPr>
            <w:tcW w:type="dxa" w:w="1881"/>
          </w:tcPr>
          <w:p>
            <w:r>
              <w:rPr>
                <w:rFonts w:ascii="Meiryo UI" w:hAnsi="Meiryo UI"/>
                <w:sz w:val="18"/>
              </w:rPr>
              <w:t>経常利益</w:t>
            </w:r>
          </w:p>
        </w:tc>
        <w:tc>
          <w:tcPr>
            <w:tcW w:type="dxa" w:w="1881"/>
          </w:tcPr>
          <w:p>
            <w:r>
              <w:rPr>
                <w:rFonts w:ascii="Meiryo UI" w:hAnsi="Meiryo UI"/>
                <w:sz w:val="18"/>
              </w:rPr>
              <w:t>¥2.0億円★</w:t>
            </w:r>
          </w:p>
        </w:tc>
        <w:tc>
          <w:tcPr>
            <w:tcW w:type="dxa" w:w="1881"/>
          </w:tcPr>
          <w:p>
            <w:r>
              <w:rPr>
                <w:rFonts w:ascii="Meiryo UI" w:hAnsi="Meiryo UI"/>
                <w:sz w:val="18"/>
              </w:rPr>
              <w:t>¥2.8億円★</w:t>
            </w:r>
          </w:p>
        </w:tc>
        <w:tc>
          <w:tcPr>
            <w:tcW w:type="dxa" w:w="1881"/>
          </w:tcPr>
          <w:p>
            <w:r>
              <w:rPr>
                <w:rFonts w:ascii="Meiryo UI" w:hAnsi="Meiryo UI"/>
                <w:sz w:val="18"/>
              </w:rPr>
              <w:t>¥3.2〜4.2億円★</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¥1.2億円★</w:t>
            </w:r>
          </w:p>
        </w:tc>
        <w:tc>
          <w:tcPr>
            <w:tcW w:type="dxa" w:w="1881"/>
            <w:shd w:val="clear" w:color="auto" w:fill="DDEBF7"/>
          </w:tcPr>
          <w:p>
            <w:r>
              <w:rPr>
                <w:rFonts w:ascii="Meiryo UI" w:hAnsi="Meiryo UI"/>
                <w:sz w:val="18"/>
              </w:rPr>
              <w:t>¥3.0億円★</w:t>
            </w:r>
          </w:p>
        </w:tc>
        <w:tc>
          <w:tcPr>
            <w:tcW w:type="dxa" w:w="1881"/>
            <w:shd w:val="clear" w:color="auto" w:fill="DDEBF7"/>
          </w:tcPr>
          <w:p>
            <w:r>
              <w:rPr>
                <w:rFonts w:ascii="Meiryo UI" w:hAnsi="Meiryo UI"/>
                <w:sz w:val="18"/>
              </w:rPr>
              <w:t>¥4.5〜5.5億円★</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EPS</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¥11（確定値）</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12.7%（確定値）</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BPS</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¥103（確定値）</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設備投資（CAPEX）</w:t>
            </w:r>
          </w:p>
        </w:tc>
        <w:tc>
          <w:tcPr>
            <w:tcW w:type="dxa" w:w="1881"/>
            <w:shd w:val="clear" w:color="auto" w:fill="DDEBF7"/>
          </w:tcPr>
          <w:p>
            <w:r>
              <w:rPr>
                <w:rFonts w:ascii="Meiryo UI" w:hAnsi="Meiryo UI"/>
                <w:sz w:val="18"/>
              </w:rPr>
              <w:t>¥3〜4億円★</w:t>
            </w:r>
          </w:p>
        </w:tc>
        <w:tc>
          <w:tcPr>
            <w:tcW w:type="dxa" w:w="1881"/>
            <w:shd w:val="clear" w:color="auto" w:fill="DDEBF7"/>
          </w:tcPr>
          <w:p>
            <w:r>
              <w:rPr>
                <w:rFonts w:ascii="Meiryo UI" w:hAnsi="Meiryo UI"/>
                <w:sz w:val="18"/>
              </w:rPr>
              <w:t>¥3〜5億円★</w:t>
            </w:r>
          </w:p>
        </w:tc>
        <w:tc>
          <w:tcPr>
            <w:tcW w:type="dxa" w:w="1881"/>
            <w:shd w:val="clear" w:color="auto" w:fill="DDEBF7"/>
          </w:tcPr>
          <w:p>
            <w:r>
              <w:rPr>
                <w:rFonts w:ascii="Meiryo UI" w:hAnsi="Meiryo UI"/>
                <w:sz w:val="18"/>
              </w:rPr>
              <w:t>¥4〜6億円★</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FCF（推定）</w:t>
            </w:r>
          </w:p>
        </w:tc>
        <w:tc>
          <w:tcPr>
            <w:tcW w:type="dxa" w:w="1881"/>
          </w:tcPr>
          <w:p>
            <w:r>
              <w:rPr>
                <w:rFonts w:ascii="Meiryo UI" w:hAnsi="Meiryo UI"/>
                <w:sz w:val="18"/>
              </w:rPr>
              <w:t>▲¥1〜+1億円★</w:t>
            </w:r>
          </w:p>
        </w:tc>
        <w:tc>
          <w:tcPr>
            <w:tcW w:type="dxa" w:w="1881"/>
          </w:tcPr>
          <w:p>
            <w:r>
              <w:rPr>
                <w:rFonts w:ascii="Meiryo UI" w:hAnsi="Meiryo UI"/>
                <w:sz w:val="18"/>
              </w:rPr>
              <w:t>+¥1〜2億円★</w:t>
            </w:r>
          </w:p>
        </w:tc>
        <w:tc>
          <w:tcPr>
            <w:tcW w:type="dxa" w:w="1881"/>
          </w:tcPr>
          <w:p>
            <w:r>
              <w:rPr>
                <w:rFonts w:ascii="Meiryo UI" w:hAnsi="Meiryo UI"/>
                <w:sz w:val="18"/>
              </w:rPr>
              <w:t>+¥1〜3億円★</w:t>
            </w:r>
          </w:p>
        </w:tc>
        <w:tc>
          <w:tcPr>
            <w:tcW w:type="dxa" w:w="1881"/>
          </w:tcPr>
          <w:p>
            <w:r>
              <w:rPr>
                <w:rFonts w:ascii="Meiryo UI" w:hAnsi="Meiryo UI"/>
                <w:sz w:val="18"/>
              </w:rPr>
              <w:t>改善傾向</w:t>
            </w:r>
          </w:p>
        </w:tc>
      </w:tr>
      <w:tr>
        <w:tc>
          <w:tcPr>
            <w:tcW w:type="dxa" w:w="1881"/>
            <w:shd w:val="clear" w:color="auto" w:fill="DDEBF7"/>
          </w:tcPr>
          <w:p>
            <w:r>
              <w:rPr>
                <w:rFonts w:ascii="Meiryo UI" w:hAnsi="Meiryo UI"/>
                <w:sz w:val="18"/>
              </w:rPr>
              <w:t>店舗数（期末）</w:t>
            </w:r>
          </w:p>
        </w:tc>
        <w:tc>
          <w:tcPr>
            <w:tcW w:type="dxa" w:w="1881"/>
            <w:shd w:val="clear" w:color="auto" w:fill="DDEBF7"/>
          </w:tcPr>
          <w:p>
            <w:r>
              <w:rPr>
                <w:rFonts w:ascii="Meiryo UI" w:hAnsi="Meiryo UI"/>
                <w:sz w:val="18"/>
              </w:rPr>
              <w:t>約290店★</w:t>
            </w:r>
          </w:p>
        </w:tc>
        <w:tc>
          <w:tcPr>
            <w:tcW w:type="dxa" w:w="1881"/>
            <w:shd w:val="clear" w:color="auto" w:fill="DDEBF7"/>
          </w:tcPr>
          <w:p>
            <w:r>
              <w:rPr>
                <w:rFonts w:ascii="Meiryo UI" w:hAnsi="Meiryo UI"/>
                <w:sz w:val="18"/>
              </w:rPr>
              <w:t>約315店★</w:t>
            </w:r>
          </w:p>
        </w:tc>
        <w:tc>
          <w:tcPr>
            <w:tcW w:type="dxa" w:w="1881"/>
            <w:shd w:val="clear" w:color="auto" w:fill="DDEBF7"/>
          </w:tcPr>
          <w:p>
            <w:r>
              <w:rPr>
                <w:rFonts w:ascii="Meiryo UI" w:hAnsi="Meiryo UI"/>
                <w:sz w:val="18"/>
              </w:rPr>
              <w:t>約330〜350店★</w:t>
            </w:r>
          </w:p>
        </w:tc>
        <w:tc>
          <w:tcPr>
            <w:tcW w:type="dxa" w:w="1881"/>
            <w:shd w:val="clear" w:color="auto" w:fill="DDEBF7"/>
          </w:tcPr>
          <w:p>
            <w:r>
              <w:rPr>
                <w:rFonts w:ascii="Meiryo UI" w:hAnsi="Meiryo UI"/>
                <w:sz w:val="18"/>
              </w:rPr>
              <w:t>—</w:t>
            </w:r>
          </w:p>
        </w:tc>
      </w:tr>
    </w:tbl>
    <w:p/>
    <w:p>
      <w:pPr>
        <w:pStyle w:val="Heading3"/>
      </w:pPr>
      <w:r>
        <w:rPr>
          <w:rFonts w:ascii="Meiryo UI" w:hAnsi="Meiryo UI"/>
          <w:color w:val="2E74B5"/>
        </w:rPr>
        <w:t>財務の特徴点</w:t>
      </w:r>
    </w:p>
    <w:p/>
    <w:p>
      <w:pPr>
        <w:pStyle w:val="ListBullet"/>
      </w:pPr>
      <w:r>
        <w:rPr>
          <w:rFonts w:ascii="Meiryo UI" w:hAnsi="Meiryo UI"/>
          <w:sz w:val="20"/>
        </w:rPr>
        <w:t>ROE 12.7%（確定値）： PBR6.9倍との組み合わせでは、ROEがさらに上昇しない限り、PBR正当化が難しい（ROE÷（PBR/1）= 暗黙の期待成長率が高すぎる）</w:t>
      </w:r>
    </w:p>
    <w:p>
      <w:pPr>
        <w:pStyle w:val="ListBullet"/>
      </w:pPr>
      <w:r>
        <w:rPr>
          <w:rFonts w:ascii="Meiryo UI" w:hAnsi="Meiryo UI"/>
          <w:sz w:val="20"/>
        </w:rPr>
        <w:t>FCFは黒字化傾向だが薄い： 出店投資継続によりFCFマージンは2〜4%★程度。成長投資と株主還元の両立が課題。</w:t>
      </w:r>
    </w:p>
    <w:p>
      <w:pPr>
        <w:pStyle w:val="ListBullet"/>
      </w:pPr>
      <w:r>
        <w:rPr>
          <w:rFonts w:ascii="Meiryo UI" w:hAnsi="Meiryo UI"/>
          <w:sz w:val="20"/>
        </w:rPr>
        <w:t>ネットキャッシュ/ネットデット： 外食チェーンとして中程度の有利子負債。FC比率上昇でB/S改善方向。</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リスクフリーレート（Rf）</w:t>
            </w:r>
          </w:p>
        </w:tc>
        <w:tc>
          <w:tcPr>
            <w:tcW w:type="dxa" w:w="3135"/>
          </w:tcPr>
          <w:p>
            <w:r>
              <w:rPr>
                <w:rFonts w:ascii="Meiryo UI" w:hAnsi="Meiryo UI"/>
                <w:sz w:val="18"/>
              </w:rPr>
              <w:t>2.423%</w:t>
            </w:r>
          </w:p>
        </w:tc>
        <w:tc>
          <w:tcPr>
            <w:tcW w:type="dxa" w:w="3135"/>
          </w:tcPr>
          <w:p>
            <w:r>
              <w:rPr>
                <w:rFonts w:ascii="Meiryo UI" w:hAnsi="Meiryo UI"/>
                <w:sz w:val="18"/>
              </w:rPr>
              <w:t>日本10年国債（JGB10Y）2026-04-15確定値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日本株式市場標準（Damodaran 2025推計ベース）</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外食チェーン業界β平均（ディフェンシブ性考慮）★</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Re = 2.423% + 0.85 × 5.5% = 7.10%</w:t>
            </w:r>
          </w:p>
        </w:tc>
        <w:tc>
          <w:tcPr>
            <w:tcW w:type="dxa" w:w="3135"/>
            <w:shd w:val="clear" w:color="auto" w:fill="DDEBF7"/>
          </w:tcPr>
          <w:p>
            <w:r>
              <w:rPr>
                <w:rFonts w:ascii="Meiryo UI" w:hAnsi="Meiryo UI"/>
                <w:sz w:val="18"/>
              </w:rPr>
              <w:t>上記算式</w:t>
            </w:r>
          </w:p>
        </w:tc>
      </w:tr>
      <w:tr>
        <w:tc>
          <w:tcPr>
            <w:tcW w:type="dxa" w:w="3135"/>
          </w:tcPr>
          <w:p>
            <w:r>
              <w:rPr>
                <w:rFonts w:ascii="Meiryo UI" w:hAnsi="Meiryo UI"/>
                <w:sz w:val="18"/>
              </w:rPr>
              <w:t>負債コスト税引後（Rd×(1-Tc)）</w:t>
            </w:r>
          </w:p>
        </w:tc>
        <w:tc>
          <w:tcPr>
            <w:tcW w:type="dxa" w:w="3135"/>
          </w:tcPr>
          <w:p>
            <w:r>
              <w:rPr>
                <w:rFonts w:ascii="Meiryo UI" w:hAnsi="Meiryo UI"/>
                <w:sz w:val="18"/>
              </w:rPr>
              <w:t>1.8%</w:t>
            </w:r>
          </w:p>
        </w:tc>
        <w:tc>
          <w:tcPr>
            <w:tcW w:type="dxa" w:w="3135"/>
          </w:tcPr>
          <w:p>
            <w:r>
              <w:rPr>
                <w:rFonts w:ascii="Meiryo UI" w:hAnsi="Meiryo UI"/>
                <w:sz w:val="18"/>
              </w:rPr>
              <w:t>外食中小企業借入金利2.5%×(1-0.28) ★</w:t>
            </w:r>
          </w:p>
        </w:tc>
      </w:tr>
      <w:tr>
        <w:tc>
          <w:tcPr>
            <w:tcW w:type="dxa" w:w="3135"/>
            <w:shd w:val="clear" w:color="auto" w:fill="DDEBF7"/>
          </w:tcPr>
          <w:p>
            <w:r>
              <w:rPr>
                <w:rFonts w:ascii="Meiryo UI" w:hAnsi="Meiryo UI"/>
                <w:sz w:val="18"/>
              </w:rPr>
              <w:t>資本構成（E/（D+E））</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t>外食FC主体企業の標準的レバレッジ★</w:t>
            </w:r>
          </w:p>
        </w:tc>
      </w:tr>
      <w:tr>
        <w:tc>
          <w:tcPr>
            <w:tcW w:type="dxa" w:w="3135"/>
          </w:tcPr>
          <w:p>
            <w:r>
              <w:rPr>
                <w:rFonts w:ascii="Meiryo UI" w:hAnsi="Meiryo UI"/>
                <w:sz w:val="18"/>
              </w:rPr>
              <w:t>WACC</w:t>
            </w:r>
          </w:p>
        </w:tc>
        <w:tc>
          <w:tcPr>
            <w:tcW w:type="dxa" w:w="3135"/>
          </w:tcPr>
          <w:p>
            <w:r>
              <w:rPr>
                <w:rFonts w:ascii="Meiryo UI" w:hAnsi="Meiryo UI"/>
                <w:sz w:val="18"/>
              </w:rPr>
              <w:t>= 0.75×7.10% + 0.25×1.8% = 5.78%</w:t>
            </w:r>
          </w:p>
        </w:tc>
        <w:tc>
          <w:tcPr>
            <w:tcW w:type="dxa" w:w="3135"/>
          </w:tcPr>
          <w:p>
            <w:r>
              <w:rPr>
                <w:rFonts w:ascii="Meiryo UI" w:hAnsi="Meiryo UI"/>
                <w:sz w:val="18"/>
              </w:rPr>
              <w:t>上記算式</w:t>
            </w:r>
          </w:p>
        </w:tc>
      </w:tr>
      <w:tr>
        <w:tc>
          <w:tcPr>
            <w:tcW w:type="dxa" w:w="3135"/>
            <w:shd w:val="clear" w:color="auto" w:fill="DDEBF7"/>
          </w:tcPr>
          <w:p>
            <w:r>
              <w:rPr>
                <w:rFonts w:ascii="Meiryo UI" w:hAnsi="Meiryo UI"/>
                <w:sz w:val="18"/>
              </w:rPr>
              <w:t>売上高成長率（FY2026〜FY2030）</w:t>
            </w:r>
          </w:p>
        </w:tc>
        <w:tc>
          <w:tcPr>
            <w:tcW w:type="dxa" w:w="3135"/>
            <w:shd w:val="clear" w:color="auto" w:fill="DDEBF7"/>
          </w:tcPr>
          <w:p>
            <w:r>
              <w:rPr>
                <w:rFonts w:ascii="Meiryo UI" w:hAnsi="Meiryo UI"/>
                <w:sz w:val="18"/>
              </w:rPr>
              <w:t>8%→7%→6%→5%→4%</w:t>
            </w:r>
          </w:p>
        </w:tc>
        <w:tc>
          <w:tcPr>
            <w:tcW w:type="dxa" w:w="3135"/>
            <w:shd w:val="clear" w:color="auto" w:fill="DDEBF7"/>
          </w:tcPr>
          <w:p>
            <w:r>
              <w:rPr>
                <w:rFonts w:ascii="Meiryo UI" w:hAnsi="Meiryo UI"/>
                <w:sz w:val="18"/>
              </w:rPr>
              <w:t>出店モメンタム+既存店回復の逓減★</w:t>
            </w:r>
          </w:p>
        </w:tc>
      </w:tr>
      <w:tr>
        <w:tc>
          <w:tcPr>
            <w:tcW w:type="dxa" w:w="3135"/>
          </w:tcPr>
          <w:p>
            <w:r>
              <w:rPr>
                <w:rFonts w:ascii="Meiryo UI" w:hAnsi="Meiryo UI"/>
                <w:sz w:val="18"/>
              </w:rPr>
              <w:t>EBIT利益率（定常）</w:t>
            </w:r>
          </w:p>
        </w:tc>
        <w:tc>
          <w:tcPr>
            <w:tcW w:type="dxa" w:w="3135"/>
          </w:tcPr>
          <w:p>
            <w:r>
              <w:rPr>
                <w:rFonts w:ascii="Meiryo UI" w:hAnsi="Meiryo UI"/>
                <w:sz w:val="18"/>
              </w:rPr>
              <w:t>5.5%→6.0%→6.5%（段階的改善）</w:t>
            </w:r>
          </w:p>
        </w:tc>
        <w:tc>
          <w:tcPr>
            <w:tcW w:type="dxa" w:w="3135"/>
          </w:tcPr>
          <w:p>
            <w:r>
              <w:rPr>
                <w:rFonts w:ascii="Meiryo UI" w:hAnsi="Meiryo UI"/>
                <w:sz w:val="18"/>
              </w:rPr>
              <w:t>FC化によるコスト低減効果★</w:t>
            </w:r>
          </w:p>
        </w:tc>
      </w:tr>
      <w:tr>
        <w:tc>
          <w:tcPr>
            <w:tcW w:type="dxa" w:w="3135"/>
            <w:shd w:val="clear" w:color="auto" w:fill="DDEBF7"/>
          </w:tcPr>
          <w:p>
            <w:r>
              <w:rPr>
                <w:rFonts w:ascii="Meiryo UI" w:hAnsi="Meiryo UI"/>
                <w:sz w:val="18"/>
              </w:rPr>
              <w:t>NOPAT税率（Tc）</w:t>
            </w:r>
          </w:p>
        </w:tc>
        <w:tc>
          <w:tcPr>
            <w:tcW w:type="dxa" w:w="3135"/>
            <w:shd w:val="clear" w:color="auto" w:fill="DDEBF7"/>
          </w:tcPr>
          <w:p>
            <w:r>
              <w:rPr>
                <w:rFonts w:ascii="Meiryo UI" w:hAnsi="Meiryo UI"/>
                <w:sz w:val="18"/>
              </w:rPr>
              <w:t>28%</w:t>
            </w:r>
          </w:p>
        </w:tc>
        <w:tc>
          <w:tcPr>
            <w:tcW w:type="dxa" w:w="3135"/>
            <w:shd w:val="clear" w:color="auto" w:fill="DDEBF7"/>
          </w:tcPr>
          <w:p>
            <w:r>
              <w:rPr>
                <w:rFonts w:ascii="Meiryo UI" w:hAnsi="Meiryo UI"/>
                <w:sz w:val="18"/>
              </w:rPr>
              <w:t>日本法人実効税率</w:t>
            </w:r>
          </w:p>
        </w:tc>
      </w:tr>
      <w:tr>
        <w:tc>
          <w:tcPr>
            <w:tcW w:type="dxa" w:w="3135"/>
          </w:tcPr>
          <w:p>
            <w:r>
              <w:rPr>
                <w:rFonts w:ascii="Meiryo UI" w:hAnsi="Meiryo UI"/>
                <w:sz w:val="18"/>
              </w:rPr>
              <w:t>再投資率（Reinvestment Rate）</w:t>
            </w:r>
          </w:p>
        </w:tc>
        <w:tc>
          <w:tcPr>
            <w:tcW w:type="dxa" w:w="3135"/>
          </w:tcPr>
          <w:p>
            <w:r>
              <w:rPr>
                <w:rFonts w:ascii="Meiryo UI" w:hAnsi="Meiryo UI"/>
                <w:sz w:val="18"/>
              </w:rPr>
              <w:t>45%</w:t>
            </w:r>
          </w:p>
        </w:tc>
        <w:tc>
          <w:tcPr>
            <w:tcW w:type="dxa" w:w="3135"/>
          </w:tcPr>
          <w:p>
            <w:r>
              <w:rPr>
                <w:rFonts w:ascii="Meiryo UI" w:hAnsi="Meiryo UI"/>
                <w:sz w:val="18"/>
              </w:rPr>
              <w:t>出店投資継続を考慮★</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外食内需の長期成長率（保守的設定）</w:t>
            </w:r>
          </w:p>
        </w:tc>
      </w:tr>
      <w:tr>
        <w:tc>
          <w:tcPr>
            <w:tcW w:type="dxa" w:w="3135"/>
          </w:tcPr>
          <w:p>
            <w:r>
              <w:rPr>
                <w:rFonts w:ascii="Meiryo UI" w:hAnsi="Meiryo UI"/>
                <w:sz w:val="18"/>
              </w:rPr>
              <w:t>ターミナルバリュー計算</w:t>
            </w:r>
          </w:p>
        </w:tc>
        <w:tc>
          <w:tcPr>
            <w:tcW w:type="dxa" w:w="3135"/>
          </w:tcPr>
          <w:p>
            <w:r>
              <w:rPr>
                <w:rFonts w:ascii="Meiryo UI" w:hAnsi="Meiryo UI"/>
                <w:sz w:val="18"/>
              </w:rPr>
              <w:t>FCF÷(WACC-g) = FCF÷4.78%</w:t>
            </w:r>
          </w:p>
        </w:tc>
        <w:tc>
          <w:tcPr>
            <w:tcW w:type="dxa" w:w="3135"/>
          </w:tcPr>
          <w:p>
            <w:r>
              <w:rPr>
                <w:rFonts w:ascii="Meiryo UI" w:hAnsi="Meiryo UI"/>
                <w:sz w:val="18"/>
              </w:rPr>
              <w:t>—</w:t>
            </w:r>
          </w:p>
        </w:tc>
      </w:tr>
    </w:tbl>
    <w:p/>
    <w:p>
      <w:r>
        <w:t>──────────────────────────────────────────────────</w:t>
      </w:r>
    </w:p>
    <w:p/>
    <w:p>
      <w:pPr>
        <w:pStyle w:val="Heading3"/>
      </w:pPr>
      <w:r>
        <w:rPr>
          <w:rFonts w:ascii="Meiryo UI" w:hAnsi="Meiryo UI"/>
          <w:color w:val="2E74B5"/>
        </w:rPr>
        <w:t>4-2. DCFモデル（基本ケース）</w:t>
      </w:r>
    </w:p>
    <w:p/>
    <w:p>
      <w:r>
        <w:rPr>
          <w:rFonts w:ascii="Meiryo UI" w:hAnsi="Meiryo UI"/>
          <w:sz w:val="20"/>
        </w:rPr>
        <w:t>ベース売上高：¥75億円（FY2025推定中央値）★</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売上高成長率</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EBIT率</w:t>
            </w:r>
          </w:p>
        </w:tc>
        <w:tc>
          <w:tcPr>
            <w:tcW w:type="dxa" w:w="1176"/>
            <w:shd w:val="clear" w:color="auto" w:fill="2E74B5"/>
          </w:tcPr>
          <w:p>
            <w:r>
              <w:rPr>
                <w:rFonts w:ascii="Meiryo UI" w:hAnsi="Meiryo UI"/>
                <w:b/>
                <w:color w:val="FFFFFF"/>
                <w:sz w:val="18"/>
              </w:rPr>
              <w:t>EBIT（億円）</w:t>
            </w:r>
          </w:p>
        </w:tc>
        <w:tc>
          <w:tcPr>
            <w:tcW w:type="dxa" w:w="1176"/>
            <w:shd w:val="clear" w:color="auto" w:fill="2E74B5"/>
          </w:tcPr>
          <w:p>
            <w:r>
              <w:rPr>
                <w:rFonts w:ascii="Meiryo UI" w:hAnsi="Meiryo UI"/>
                <w:b/>
                <w:color w:val="FFFFFF"/>
                <w:sz w:val="18"/>
              </w:rPr>
              <w:t>NOPAT（億円）</w:t>
            </w:r>
          </w:p>
        </w:tc>
        <w:tc>
          <w:tcPr>
            <w:tcW w:type="dxa" w:w="1176"/>
            <w:shd w:val="clear" w:color="auto" w:fill="2E74B5"/>
          </w:tcPr>
          <w:p>
            <w:r>
              <w:rPr>
                <w:rFonts w:ascii="Meiryo UI" w:hAnsi="Meiryo UI"/>
                <w:b/>
                <w:color w:val="FFFFFF"/>
                <w:sz w:val="18"/>
              </w:rPr>
              <w:t>CAPEX+ΔWC（億円）★</w:t>
            </w:r>
          </w:p>
        </w:tc>
        <w:tc>
          <w:tcPr>
            <w:tcW w:type="dxa" w:w="1176"/>
            <w:shd w:val="clear" w:color="auto" w:fill="2E74B5"/>
          </w:tcPr>
          <w:p>
            <w:r>
              <w:rPr>
                <w:rFonts w:ascii="Meiryo UI" w:hAnsi="Meiryo UI"/>
                <w:b/>
                <w:color w:val="FFFFFF"/>
                <w:sz w:val="18"/>
              </w:rPr>
              <w:t>FCF（億円）</w:t>
            </w:r>
          </w:p>
        </w:tc>
      </w:tr>
      <w:tr>
        <w:tc>
          <w:tcPr>
            <w:tcW w:type="dxa" w:w="1176"/>
          </w:tcPr>
          <w:p>
            <w:r>
              <w:rPr>
                <w:rFonts w:ascii="Meiryo UI" w:hAnsi="Meiryo UI"/>
                <w:sz w:val="18"/>
              </w:rPr>
              <w:t>FY2026</w:t>
            </w:r>
          </w:p>
        </w:tc>
        <w:tc>
          <w:tcPr>
            <w:tcW w:type="dxa" w:w="1176"/>
          </w:tcPr>
          <w:p>
            <w:r>
              <w:rPr>
                <w:rFonts w:ascii="Meiryo UI" w:hAnsi="Meiryo UI"/>
                <w:sz w:val="18"/>
              </w:rPr>
              <w:t>+8%</w:t>
            </w:r>
          </w:p>
        </w:tc>
        <w:tc>
          <w:tcPr>
            <w:tcW w:type="dxa" w:w="1176"/>
          </w:tcPr>
          <w:p>
            <w:r>
              <w:rPr>
                <w:rFonts w:ascii="Meiryo UI" w:hAnsi="Meiryo UI"/>
                <w:sz w:val="18"/>
              </w:rPr>
              <w:t>81.0</w:t>
            </w:r>
          </w:p>
        </w:tc>
        <w:tc>
          <w:tcPr>
            <w:tcW w:type="dxa" w:w="1176"/>
          </w:tcPr>
          <w:p>
            <w:r>
              <w:rPr>
                <w:rFonts w:ascii="Meiryo UI" w:hAnsi="Meiryo UI"/>
                <w:sz w:val="18"/>
              </w:rPr>
              <w:t>5.5%</w:t>
            </w:r>
          </w:p>
        </w:tc>
        <w:tc>
          <w:tcPr>
            <w:tcW w:type="dxa" w:w="1176"/>
          </w:tcPr>
          <w:p>
            <w:r>
              <w:rPr>
                <w:rFonts w:ascii="Meiryo UI" w:hAnsi="Meiryo UI"/>
                <w:sz w:val="18"/>
              </w:rPr>
              <w:t>4.46</w:t>
            </w:r>
          </w:p>
        </w:tc>
        <w:tc>
          <w:tcPr>
            <w:tcW w:type="dxa" w:w="1176"/>
          </w:tcPr>
          <w:p>
            <w:r>
              <w:rPr>
                <w:rFonts w:ascii="Meiryo UI" w:hAnsi="Meiryo UI"/>
                <w:sz w:val="18"/>
              </w:rPr>
              <w:t>3.21</w:t>
            </w:r>
          </w:p>
        </w:tc>
        <w:tc>
          <w:tcPr>
            <w:tcW w:type="dxa" w:w="1176"/>
          </w:tcPr>
          <w:p>
            <w:r>
              <w:rPr>
                <w:rFonts w:ascii="Meiryo UI" w:hAnsi="Meiryo UI"/>
                <w:sz w:val="18"/>
              </w:rPr>
              <w:t>1.44</w:t>
            </w:r>
          </w:p>
        </w:tc>
        <w:tc>
          <w:tcPr>
            <w:tcW w:type="dxa" w:w="1176"/>
          </w:tcPr>
          <w:p>
            <w:r>
              <w:rPr>
                <w:rFonts w:ascii="Meiryo UI" w:hAnsi="Meiryo UI"/>
                <w:sz w:val="18"/>
              </w:rPr>
              <w:t>1.77</w:t>
            </w:r>
          </w:p>
        </w:tc>
      </w:tr>
      <w:tr>
        <w:tc>
          <w:tcPr>
            <w:tcW w:type="dxa" w:w="1176"/>
            <w:shd w:val="clear" w:color="auto" w:fill="DDEBF7"/>
          </w:tcPr>
          <w:p>
            <w:r>
              <w:rPr>
                <w:rFonts w:ascii="Meiryo UI" w:hAnsi="Meiryo UI"/>
                <w:sz w:val="18"/>
              </w:rPr>
              <w:t>FY2027</w:t>
            </w:r>
          </w:p>
        </w:tc>
        <w:tc>
          <w:tcPr>
            <w:tcW w:type="dxa" w:w="1176"/>
            <w:shd w:val="clear" w:color="auto" w:fill="DDEBF7"/>
          </w:tcPr>
          <w:p>
            <w:r>
              <w:rPr>
                <w:rFonts w:ascii="Meiryo UI" w:hAnsi="Meiryo UI"/>
                <w:sz w:val="18"/>
              </w:rPr>
              <w:t>+7%</w:t>
            </w:r>
          </w:p>
        </w:tc>
        <w:tc>
          <w:tcPr>
            <w:tcW w:type="dxa" w:w="1176"/>
            <w:shd w:val="clear" w:color="auto" w:fill="DDEBF7"/>
          </w:tcPr>
          <w:p>
            <w:r>
              <w:rPr>
                <w:rFonts w:ascii="Meiryo UI" w:hAnsi="Meiryo UI"/>
                <w:sz w:val="18"/>
              </w:rPr>
              <w:t>86.7</w:t>
            </w:r>
          </w:p>
        </w:tc>
        <w:tc>
          <w:tcPr>
            <w:tcW w:type="dxa" w:w="1176"/>
            <w:shd w:val="clear" w:color="auto" w:fill="DDEBF7"/>
          </w:tcPr>
          <w:p>
            <w:r>
              <w:rPr>
                <w:rFonts w:ascii="Meiryo UI" w:hAnsi="Meiryo UI"/>
                <w:sz w:val="18"/>
              </w:rPr>
              <w:t>5.8%</w:t>
            </w:r>
          </w:p>
        </w:tc>
        <w:tc>
          <w:tcPr>
            <w:tcW w:type="dxa" w:w="1176"/>
            <w:shd w:val="clear" w:color="auto" w:fill="DDEBF7"/>
          </w:tcPr>
          <w:p>
            <w:r>
              <w:rPr>
                <w:rFonts w:ascii="Meiryo UI" w:hAnsi="Meiryo UI"/>
                <w:sz w:val="18"/>
              </w:rPr>
              <w:t>5.03</w:t>
            </w:r>
          </w:p>
        </w:tc>
        <w:tc>
          <w:tcPr>
            <w:tcW w:type="dxa" w:w="1176"/>
            <w:shd w:val="clear" w:color="auto" w:fill="DDEBF7"/>
          </w:tcPr>
          <w:p>
            <w:r>
              <w:rPr>
                <w:rFonts w:ascii="Meiryo UI" w:hAnsi="Meiryo UI"/>
                <w:sz w:val="18"/>
              </w:rPr>
              <w:t>3.62</w:t>
            </w:r>
          </w:p>
        </w:tc>
        <w:tc>
          <w:tcPr>
            <w:tcW w:type="dxa" w:w="1176"/>
            <w:shd w:val="clear" w:color="auto" w:fill="DDEBF7"/>
          </w:tcPr>
          <w:p>
            <w:r>
              <w:rPr>
                <w:rFonts w:ascii="Meiryo UI" w:hAnsi="Meiryo UI"/>
                <w:sz w:val="18"/>
              </w:rPr>
              <w:t>1.63</w:t>
            </w:r>
          </w:p>
        </w:tc>
        <w:tc>
          <w:tcPr>
            <w:tcW w:type="dxa" w:w="1176"/>
            <w:shd w:val="clear" w:color="auto" w:fill="DDEBF7"/>
          </w:tcPr>
          <w:p>
            <w:r>
              <w:rPr>
                <w:rFonts w:ascii="Meiryo UI" w:hAnsi="Meiryo UI"/>
                <w:sz w:val="18"/>
              </w:rPr>
              <w:t>1.99</w:t>
            </w:r>
          </w:p>
        </w:tc>
      </w:tr>
      <w:tr>
        <w:tc>
          <w:tcPr>
            <w:tcW w:type="dxa" w:w="1176"/>
          </w:tcPr>
          <w:p>
            <w:r>
              <w:rPr>
                <w:rFonts w:ascii="Meiryo UI" w:hAnsi="Meiryo UI"/>
                <w:sz w:val="18"/>
              </w:rPr>
              <w:t>FY2028</w:t>
            </w:r>
          </w:p>
        </w:tc>
        <w:tc>
          <w:tcPr>
            <w:tcW w:type="dxa" w:w="1176"/>
          </w:tcPr>
          <w:p>
            <w:r>
              <w:rPr>
                <w:rFonts w:ascii="Meiryo UI" w:hAnsi="Meiryo UI"/>
                <w:sz w:val="18"/>
              </w:rPr>
              <w:t>+6%</w:t>
            </w:r>
          </w:p>
        </w:tc>
        <w:tc>
          <w:tcPr>
            <w:tcW w:type="dxa" w:w="1176"/>
          </w:tcPr>
          <w:p>
            <w:r>
              <w:rPr>
                <w:rFonts w:ascii="Meiryo UI" w:hAnsi="Meiryo UI"/>
                <w:sz w:val="18"/>
              </w:rPr>
              <w:t>91.9</w:t>
            </w:r>
          </w:p>
        </w:tc>
        <w:tc>
          <w:tcPr>
            <w:tcW w:type="dxa" w:w="1176"/>
          </w:tcPr>
          <w:p>
            <w:r>
              <w:rPr>
                <w:rFonts w:ascii="Meiryo UI" w:hAnsi="Meiryo UI"/>
                <w:sz w:val="18"/>
              </w:rPr>
              <w:t>6.0%</w:t>
            </w:r>
          </w:p>
        </w:tc>
        <w:tc>
          <w:tcPr>
            <w:tcW w:type="dxa" w:w="1176"/>
          </w:tcPr>
          <w:p>
            <w:r>
              <w:rPr>
                <w:rFonts w:ascii="Meiryo UI" w:hAnsi="Meiryo UI"/>
                <w:sz w:val="18"/>
              </w:rPr>
              <w:t>5.51</w:t>
            </w:r>
          </w:p>
        </w:tc>
        <w:tc>
          <w:tcPr>
            <w:tcW w:type="dxa" w:w="1176"/>
          </w:tcPr>
          <w:p>
            <w:r>
              <w:rPr>
                <w:rFonts w:ascii="Meiryo UI" w:hAnsi="Meiryo UI"/>
                <w:sz w:val="18"/>
              </w:rPr>
              <w:t>3.97</w:t>
            </w:r>
          </w:p>
        </w:tc>
        <w:tc>
          <w:tcPr>
            <w:tcW w:type="dxa" w:w="1176"/>
          </w:tcPr>
          <w:p>
            <w:r>
              <w:rPr>
                <w:rFonts w:ascii="Meiryo UI" w:hAnsi="Meiryo UI"/>
                <w:sz w:val="18"/>
              </w:rPr>
              <w:t>1.79</w:t>
            </w:r>
          </w:p>
        </w:tc>
        <w:tc>
          <w:tcPr>
            <w:tcW w:type="dxa" w:w="1176"/>
          </w:tcPr>
          <w:p>
            <w:r>
              <w:rPr>
                <w:rFonts w:ascii="Meiryo UI" w:hAnsi="Meiryo UI"/>
                <w:sz w:val="18"/>
              </w:rPr>
              <w:t>2.18</w:t>
            </w:r>
          </w:p>
        </w:tc>
      </w:tr>
      <w:tr>
        <w:tc>
          <w:tcPr>
            <w:tcW w:type="dxa" w:w="1176"/>
            <w:shd w:val="clear" w:color="auto" w:fill="DDEBF7"/>
          </w:tcPr>
          <w:p>
            <w:r>
              <w:rPr>
                <w:rFonts w:ascii="Meiryo UI" w:hAnsi="Meiryo UI"/>
                <w:sz w:val="18"/>
              </w:rPr>
              <w:t>FY2029</w:t>
            </w:r>
          </w:p>
        </w:tc>
        <w:tc>
          <w:tcPr>
            <w:tcW w:type="dxa" w:w="1176"/>
            <w:shd w:val="clear" w:color="auto" w:fill="DDEBF7"/>
          </w:tcPr>
          <w:p>
            <w:r>
              <w:rPr>
                <w:rFonts w:ascii="Meiryo UI" w:hAnsi="Meiryo UI"/>
                <w:sz w:val="18"/>
              </w:rPr>
              <w:t>+5%</w:t>
            </w:r>
          </w:p>
        </w:tc>
        <w:tc>
          <w:tcPr>
            <w:tcW w:type="dxa" w:w="1176"/>
            <w:shd w:val="clear" w:color="auto" w:fill="DDEBF7"/>
          </w:tcPr>
          <w:p>
            <w:r>
              <w:rPr>
                <w:rFonts w:ascii="Meiryo UI" w:hAnsi="Meiryo UI"/>
                <w:sz w:val="18"/>
              </w:rPr>
              <w:t>96.5</w:t>
            </w:r>
          </w:p>
        </w:tc>
        <w:tc>
          <w:tcPr>
            <w:tcW w:type="dxa" w:w="1176"/>
            <w:shd w:val="clear" w:color="auto" w:fill="DDEBF7"/>
          </w:tcPr>
          <w:p>
            <w:r>
              <w:rPr>
                <w:rFonts w:ascii="Meiryo UI" w:hAnsi="Meiryo UI"/>
                <w:sz w:val="18"/>
              </w:rPr>
              <w:t>6.2%</w:t>
            </w:r>
          </w:p>
        </w:tc>
        <w:tc>
          <w:tcPr>
            <w:tcW w:type="dxa" w:w="1176"/>
            <w:shd w:val="clear" w:color="auto" w:fill="DDEBF7"/>
          </w:tcPr>
          <w:p>
            <w:r>
              <w:rPr>
                <w:rFonts w:ascii="Meiryo UI" w:hAnsi="Meiryo UI"/>
                <w:sz w:val="18"/>
              </w:rPr>
              <w:t>5.98</w:t>
            </w:r>
          </w:p>
        </w:tc>
        <w:tc>
          <w:tcPr>
            <w:tcW w:type="dxa" w:w="1176"/>
            <w:shd w:val="clear" w:color="auto" w:fill="DDEBF7"/>
          </w:tcPr>
          <w:p>
            <w:r>
              <w:rPr>
                <w:rFonts w:ascii="Meiryo UI" w:hAnsi="Meiryo UI"/>
                <w:sz w:val="18"/>
              </w:rPr>
              <w:t>4.31</w:t>
            </w:r>
          </w:p>
        </w:tc>
        <w:tc>
          <w:tcPr>
            <w:tcW w:type="dxa" w:w="1176"/>
            <w:shd w:val="clear" w:color="auto" w:fill="DDEBF7"/>
          </w:tcPr>
          <w:p>
            <w:r>
              <w:rPr>
                <w:rFonts w:ascii="Meiryo UI" w:hAnsi="Meiryo UI"/>
                <w:sz w:val="18"/>
              </w:rPr>
              <w:t>1.94</w:t>
            </w:r>
          </w:p>
        </w:tc>
        <w:tc>
          <w:tcPr>
            <w:tcW w:type="dxa" w:w="1176"/>
            <w:shd w:val="clear" w:color="auto" w:fill="DDEBF7"/>
          </w:tcPr>
          <w:p>
            <w:r>
              <w:rPr>
                <w:rFonts w:ascii="Meiryo UI" w:hAnsi="Meiryo UI"/>
                <w:sz w:val="18"/>
              </w:rPr>
              <w:t>2.37</w:t>
            </w:r>
          </w:p>
        </w:tc>
      </w:tr>
      <w:tr>
        <w:tc>
          <w:tcPr>
            <w:tcW w:type="dxa" w:w="1176"/>
          </w:tcPr>
          <w:p>
            <w:r>
              <w:rPr>
                <w:rFonts w:ascii="Meiryo UI" w:hAnsi="Meiryo UI"/>
                <w:sz w:val="18"/>
              </w:rPr>
              <w:t>FY2030</w:t>
            </w:r>
          </w:p>
        </w:tc>
        <w:tc>
          <w:tcPr>
            <w:tcW w:type="dxa" w:w="1176"/>
          </w:tcPr>
          <w:p>
            <w:r>
              <w:rPr>
                <w:rFonts w:ascii="Meiryo UI" w:hAnsi="Meiryo UI"/>
                <w:sz w:val="18"/>
              </w:rPr>
              <w:t>+4%</w:t>
            </w:r>
          </w:p>
        </w:tc>
        <w:tc>
          <w:tcPr>
            <w:tcW w:type="dxa" w:w="1176"/>
          </w:tcPr>
          <w:p>
            <w:r>
              <w:rPr>
                <w:rFonts w:ascii="Meiryo UI" w:hAnsi="Meiryo UI"/>
                <w:sz w:val="18"/>
              </w:rPr>
              <w:t>100.4</w:t>
            </w:r>
          </w:p>
        </w:tc>
        <w:tc>
          <w:tcPr>
            <w:tcW w:type="dxa" w:w="1176"/>
          </w:tcPr>
          <w:p>
            <w:r>
              <w:rPr>
                <w:rFonts w:ascii="Meiryo UI" w:hAnsi="Meiryo UI"/>
                <w:sz w:val="18"/>
              </w:rPr>
              <w:t>6.5%</w:t>
            </w:r>
          </w:p>
        </w:tc>
        <w:tc>
          <w:tcPr>
            <w:tcW w:type="dxa" w:w="1176"/>
          </w:tcPr>
          <w:p>
            <w:r>
              <w:rPr>
                <w:rFonts w:ascii="Meiryo UI" w:hAnsi="Meiryo UI"/>
                <w:sz w:val="18"/>
              </w:rPr>
              <w:t>6.53</w:t>
            </w:r>
          </w:p>
        </w:tc>
        <w:tc>
          <w:tcPr>
            <w:tcW w:type="dxa" w:w="1176"/>
          </w:tcPr>
          <w:p>
            <w:r>
              <w:rPr>
                <w:rFonts w:ascii="Meiryo UI" w:hAnsi="Meiryo UI"/>
                <w:sz w:val="18"/>
              </w:rPr>
              <w:t>4.70</w:t>
            </w:r>
          </w:p>
        </w:tc>
        <w:tc>
          <w:tcPr>
            <w:tcW w:type="dxa" w:w="1176"/>
          </w:tcPr>
          <w:p>
            <w:r>
              <w:rPr>
                <w:rFonts w:ascii="Meiryo UI" w:hAnsi="Meiryo UI"/>
                <w:sz w:val="18"/>
              </w:rPr>
              <w:t>2.12</w:t>
            </w:r>
          </w:p>
        </w:tc>
        <w:tc>
          <w:tcPr>
            <w:tcW w:type="dxa" w:w="1176"/>
          </w:tcPr>
          <w:p>
            <w:r>
              <w:rPr>
                <w:rFonts w:ascii="Meiryo UI" w:hAnsi="Meiryo UI"/>
                <w:sz w:val="18"/>
              </w:rPr>
              <w:t>2.58</w:t>
            </w:r>
          </w:p>
        </w:tc>
      </w:tr>
    </w:tbl>
    <w:p/>
    <w:p>
      <w:r>
        <w:rPr>
          <w:rFonts w:ascii="Meiryo UI" w:hAnsi="Meiryo UI"/>
          <w:sz w:val="20"/>
        </w:rPr>
        <w:t>現在価値の合計（予測期間）：</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割引係数（WACC=5.78%）</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w:t>
            </w:r>
          </w:p>
        </w:tc>
        <w:tc>
          <w:tcPr>
            <w:tcW w:type="dxa" w:w="2351"/>
          </w:tcPr>
          <w:p>
            <w:r>
              <w:rPr>
                <w:rFonts w:ascii="Meiryo UI" w:hAnsi="Meiryo UI"/>
                <w:sz w:val="18"/>
              </w:rPr>
              <w:t>1.77</w:t>
            </w:r>
          </w:p>
        </w:tc>
        <w:tc>
          <w:tcPr>
            <w:tcW w:type="dxa" w:w="2351"/>
          </w:tcPr>
          <w:p>
            <w:r>
              <w:rPr>
                <w:rFonts w:ascii="Meiryo UI" w:hAnsi="Meiryo UI"/>
                <w:sz w:val="18"/>
              </w:rPr>
              <w:t>0.9454</w:t>
            </w:r>
          </w:p>
        </w:tc>
        <w:tc>
          <w:tcPr>
            <w:tcW w:type="dxa" w:w="2351"/>
          </w:tcPr>
          <w:p>
            <w:r>
              <w:rPr>
                <w:rFonts w:ascii="Meiryo UI" w:hAnsi="Meiryo UI"/>
                <w:sz w:val="18"/>
              </w:rPr>
              <w:t>1.67</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1.99</w:t>
            </w:r>
          </w:p>
        </w:tc>
        <w:tc>
          <w:tcPr>
            <w:tcW w:type="dxa" w:w="2351"/>
            <w:shd w:val="clear" w:color="auto" w:fill="DDEBF7"/>
          </w:tcPr>
          <w:p>
            <w:r>
              <w:rPr>
                <w:rFonts w:ascii="Meiryo UI" w:hAnsi="Meiryo UI"/>
                <w:sz w:val="18"/>
              </w:rPr>
              <w:t>0.8938</w:t>
            </w:r>
          </w:p>
        </w:tc>
        <w:tc>
          <w:tcPr>
            <w:tcW w:type="dxa" w:w="2351"/>
            <w:shd w:val="clear" w:color="auto" w:fill="DDEBF7"/>
          </w:tcPr>
          <w:p>
            <w:r>
              <w:rPr>
                <w:rFonts w:ascii="Meiryo UI" w:hAnsi="Meiryo UI"/>
                <w:sz w:val="18"/>
              </w:rPr>
              <w:t>1.78</w:t>
            </w:r>
          </w:p>
        </w:tc>
      </w:tr>
      <w:tr>
        <w:tc>
          <w:tcPr>
            <w:tcW w:type="dxa" w:w="2351"/>
          </w:tcPr>
          <w:p>
            <w:r>
              <w:rPr>
                <w:rFonts w:ascii="Meiryo UI" w:hAnsi="Meiryo UI"/>
                <w:sz w:val="18"/>
              </w:rPr>
              <w:t>FY2028</w:t>
            </w:r>
          </w:p>
        </w:tc>
        <w:tc>
          <w:tcPr>
            <w:tcW w:type="dxa" w:w="2351"/>
          </w:tcPr>
          <w:p>
            <w:r>
              <w:rPr>
                <w:rFonts w:ascii="Meiryo UI" w:hAnsi="Meiryo UI"/>
                <w:sz w:val="18"/>
              </w:rPr>
              <w:t>2.18</w:t>
            </w:r>
          </w:p>
        </w:tc>
        <w:tc>
          <w:tcPr>
            <w:tcW w:type="dxa" w:w="2351"/>
          </w:tcPr>
          <w:p>
            <w:r>
              <w:rPr>
                <w:rFonts w:ascii="Meiryo UI" w:hAnsi="Meiryo UI"/>
                <w:sz w:val="18"/>
              </w:rPr>
              <w:t>0.8450</w:t>
            </w:r>
          </w:p>
        </w:tc>
        <w:tc>
          <w:tcPr>
            <w:tcW w:type="dxa" w:w="2351"/>
          </w:tcPr>
          <w:p>
            <w:r>
              <w:rPr>
                <w:rFonts w:ascii="Meiryo UI" w:hAnsi="Meiryo UI"/>
                <w:sz w:val="18"/>
              </w:rPr>
              <w:t>1.84</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2.37</w:t>
            </w:r>
          </w:p>
        </w:tc>
        <w:tc>
          <w:tcPr>
            <w:tcW w:type="dxa" w:w="2351"/>
            <w:shd w:val="clear" w:color="auto" w:fill="DDEBF7"/>
          </w:tcPr>
          <w:p>
            <w:r>
              <w:rPr>
                <w:rFonts w:ascii="Meiryo UI" w:hAnsi="Meiryo UI"/>
                <w:sz w:val="18"/>
              </w:rPr>
              <w:t>0.7989</w:t>
            </w:r>
          </w:p>
        </w:tc>
        <w:tc>
          <w:tcPr>
            <w:tcW w:type="dxa" w:w="2351"/>
            <w:shd w:val="clear" w:color="auto" w:fill="DDEBF7"/>
          </w:tcPr>
          <w:p>
            <w:r>
              <w:rPr>
                <w:rFonts w:ascii="Meiryo UI" w:hAnsi="Meiryo UI"/>
                <w:sz w:val="18"/>
              </w:rPr>
              <w:t>1.89</w:t>
            </w:r>
          </w:p>
        </w:tc>
      </w:tr>
      <w:tr>
        <w:tc>
          <w:tcPr>
            <w:tcW w:type="dxa" w:w="2351"/>
          </w:tcPr>
          <w:p>
            <w:r>
              <w:rPr>
                <w:rFonts w:ascii="Meiryo UI" w:hAnsi="Meiryo UI"/>
                <w:sz w:val="18"/>
              </w:rPr>
              <w:t>FY2030</w:t>
            </w:r>
          </w:p>
        </w:tc>
        <w:tc>
          <w:tcPr>
            <w:tcW w:type="dxa" w:w="2351"/>
          </w:tcPr>
          <w:p>
            <w:r>
              <w:rPr>
                <w:rFonts w:ascii="Meiryo UI" w:hAnsi="Meiryo UI"/>
                <w:sz w:val="18"/>
              </w:rPr>
              <w:t>2.58</w:t>
            </w:r>
          </w:p>
        </w:tc>
        <w:tc>
          <w:tcPr>
            <w:tcW w:type="dxa" w:w="2351"/>
          </w:tcPr>
          <w:p>
            <w:r>
              <w:rPr>
                <w:rFonts w:ascii="Meiryo UI" w:hAnsi="Meiryo UI"/>
                <w:sz w:val="18"/>
              </w:rPr>
              <w:t>0.7553</w:t>
            </w:r>
          </w:p>
        </w:tc>
        <w:tc>
          <w:tcPr>
            <w:tcW w:type="dxa" w:w="2351"/>
          </w:tcPr>
          <w:p>
            <w:r>
              <w:rPr>
                <w:rFonts w:ascii="Meiryo UI" w:hAnsi="Meiryo UI"/>
                <w:sz w:val="18"/>
              </w:rPr>
              <w:t>1.95</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9.13億円</w:t>
            </w:r>
          </w:p>
        </w:tc>
      </w:tr>
    </w:tbl>
    <w:p/>
    <w:p>
      <w:r>
        <w:rPr>
          <w:rFonts w:ascii="Meiryo UI" w:hAnsi="Meiryo UI"/>
          <w:sz w:val="20"/>
        </w:rPr>
        <w:t>ターミナルバリュー（FY2030末）：</w:t>
      </w:r>
    </w:p>
    <w:p>
      <w:pPr>
        <w:pStyle w:val="ListBullet"/>
      </w:pPr>
      <w:r>
        <w:rPr>
          <w:rFonts w:ascii="Meiryo UI" w:hAnsi="Meiryo UI"/>
          <w:sz w:val="20"/>
        </w:rPr>
        <w:t>TV = 2.58 × (1+1.0%) / (5.78% - 1.0%) = 2.606 / 4.78% = 54.5億円</w:t>
      </w:r>
    </w:p>
    <w:p>
      <w:pPr>
        <w:pStyle w:val="ListBullet"/>
      </w:pPr>
      <w:r>
        <w:rPr>
          <w:rFonts w:ascii="Meiryo UI" w:hAnsi="Meiryo UI"/>
          <w:sz w:val="20"/>
        </w:rPr>
        <w:t>TV現在価値 = 54.5 × 0.7553 = 41.2億円</w:t>
      </w:r>
    </w:p>
    <w:p/>
    <w:p>
      <w:r>
        <w:rPr>
          <w:rFonts w:ascii="Meiryo UI" w:hAnsi="Meiryo UI"/>
          <w:sz w:val="20"/>
        </w:rPr>
        <w:t>企業価値（EV）= 9.13 + 41.2 = 50.3億円★</w:t>
      </w:r>
    </w:p>
    <w:p/>
    <w:p>
      <w:r>
        <w:rPr>
          <w:rFonts w:ascii="Meiryo UI" w:hAnsi="Meiryo UI"/>
          <w:sz w:val="20"/>
        </w:rPr>
        <w:t>純資産調整（ネットデット控除後）：</w:t>
      </w:r>
    </w:p>
    <w:p>
      <w:pPr>
        <w:pStyle w:val="ListBullet"/>
      </w:pPr>
      <w:r>
        <w:rPr>
          <w:rFonts w:ascii="Meiryo UI" w:hAnsi="Meiryo UI"/>
          <w:sz w:val="20"/>
        </w:rPr>
        <w:t>推定ネットデット（有利子負債 - 現預金）：▲5〜10億円★ → 中央値▲7.5億円</w:t>
      </w:r>
    </w:p>
    <w:p>
      <w:pPr>
        <w:pStyle w:val="ListBullet"/>
      </w:pPr>
      <w:r>
        <w:rPr>
          <w:rFonts w:ascii="Meiryo UI" w:hAnsi="Meiryo UI"/>
          <w:sz w:val="20"/>
        </w:rPr>
        <w:t>株式価値 = 50.3 - 7.5 = 42.8億円★</w:t>
      </w:r>
    </w:p>
    <w:p/>
    <w:p>
      <w:r>
        <w:rPr>
          <w:rFonts w:ascii="Meiryo UI" w:hAnsi="Meiryo UI"/>
          <w:sz w:val="20"/>
        </w:rPr>
        <w:t>理論株価（基本ケース）：</w:t>
      </w:r>
    </w:p>
    <w:p>
      <w:pPr>
        <w:pStyle w:val="ListBullet"/>
      </w:pPr>
      <w:r>
        <w:rPr>
          <w:rFonts w:ascii="Meiryo UI" w:hAnsi="Meiryo UI"/>
          <w:sz w:val="20"/>
        </w:rPr>
        <w:t>発行済株式数：推定約650〜700万株★（時価総額¥71〜72億円÷¥711より逆算: 約1,000万株）</w:t>
      </w:r>
    </w:p>
    <w:p/>
    <w:p>
      <w:r>
        <w:rPr>
          <w:rFonts w:ascii="Meiryo UI" w:hAnsi="Meiryo UI"/>
          <w:sz w:val="20"/>
        </w:rPr>
        <w:t>&gt; ⚠️ 株式数修正： 時価総額 = ¥711 × 発行済株式数。仮にPER64.1倍・EPS¥11なら純利益 = EPS × 株式数。純利益推定¥5億円 ÷ ¥11 ≒ 発行済株式数 約455万株。</w:t>
      </w:r>
    </w:p>
    <w:p/>
    <w:p>
      <w:pPr>
        <w:pStyle w:val="ListBullet"/>
      </w:pPr>
      <w:r>
        <w:rPr>
          <w:rFonts w:ascii="Meiryo UI" w:hAnsi="Meiryo UI"/>
          <w:sz w:val="20"/>
        </w:rPr>
        <w:t>再計算： 株式価値¥42.8億円 ÷ 455万株 = 約¥941/株（基本ケース上値）</w:t>
      </w:r>
    </w:p>
    <w:p/>
    <w:p>
      <w:r>
        <w:rPr>
          <w:rFonts w:ascii="Meiryo UI" w:hAnsi="Meiryo UI"/>
          <w:sz w:val="20"/>
        </w:rPr>
        <w:t>&gt; 🔴 重要な注記： DCF理論株価がPER・PBRベースの割高シグナルと乖離するのは、DCFの「成長前提の楽観バイアス」による。以下のマルチプル検証で cross-check する。</w:t>
      </w:r>
    </w:p>
    <w:p/>
    <w:p>
      <w:r>
        <w:t>──────────────────────────────────────────────────</w:t>
      </w:r>
    </w:p>
    <w:p/>
    <w:p>
      <w:pPr>
        <w:pStyle w:val="Heading3"/>
      </w:pPr>
      <w:r>
        <w:rPr>
          <w:rFonts w:ascii="Meiryo UI" w:hAnsi="Meiryo UI"/>
          <w:color w:val="2E74B5"/>
        </w:rPr>
        <w:t>4-3. マルチプルバリュエーション（PERベース・クロスチェック）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前提</w:t>
            </w:r>
          </w:p>
        </w:tc>
        <w:tc>
          <w:tcPr>
            <w:tcW w:type="dxa" w:w="3135"/>
            <w:shd w:val="clear" w:color="auto" w:fill="2E74B5"/>
          </w:tcPr>
          <w:p>
            <w:r>
              <w:rPr>
                <w:rFonts w:ascii="Meiryo UI" w:hAnsi="Meiryo UI"/>
                <w:b/>
                <w:color w:val="FFFFFF"/>
                <w:sz w:val="18"/>
              </w:rPr>
              <w:t>理論株価</w:t>
            </w:r>
          </w:p>
        </w:tc>
      </w:tr>
      <w:tr>
        <w:tc>
          <w:tcPr>
            <w:tcW w:type="dxa" w:w="3135"/>
          </w:tcPr>
          <w:p>
            <w:r>
              <w:rPr>
                <w:rFonts w:ascii="Meiryo UI" w:hAnsi="Meiryo UI"/>
                <w:sz w:val="18"/>
              </w:rPr>
              <w:t>PERベース（同業比較）</w:t>
            </w:r>
          </w:p>
        </w:tc>
        <w:tc>
          <w:tcPr>
            <w:tcW w:type="dxa" w:w="3135"/>
          </w:tcPr>
          <w:p>
            <w:r>
              <w:rPr>
                <w:rFonts w:ascii="Meiryo UI" w:hAnsi="Meiryo UI"/>
                <w:sz w:val="18"/>
              </w:rPr>
              <w:t>業界平均PER25〜30倍 × EPS¥11</w:t>
            </w:r>
          </w:p>
        </w:tc>
        <w:tc>
          <w:tcPr>
            <w:tcW w:type="dxa" w:w="3135"/>
          </w:tcPr>
          <w:p>
            <w:r>
              <w:rPr>
                <w:rFonts w:ascii="Meiryo UI" w:hAnsi="Meiryo UI"/>
                <w:sz w:val="18"/>
              </w:rPr>
              <w:t>¥275〜¥330</w:t>
            </w:r>
          </w:p>
        </w:tc>
      </w:tr>
      <w:tr>
        <w:tc>
          <w:tcPr>
            <w:tcW w:type="dxa" w:w="3135"/>
            <w:shd w:val="clear" w:color="auto" w:fill="DDEBF7"/>
          </w:tcPr>
          <w:p>
            <w:r>
              <w:rPr>
                <w:rFonts w:ascii="Meiryo UI" w:hAnsi="Meiryo UI"/>
                <w:sz w:val="18"/>
              </w:rPr>
              <w:t>PERベース（成長プレミアム込み）</w:t>
            </w:r>
          </w:p>
        </w:tc>
        <w:tc>
          <w:tcPr>
            <w:tcW w:type="dxa" w:w="3135"/>
            <w:shd w:val="clear" w:color="auto" w:fill="DDEBF7"/>
          </w:tcPr>
          <w:p>
            <w:r>
              <w:rPr>
                <w:rFonts w:ascii="Meiryo UI" w:hAnsi="Meiryo UI"/>
                <w:sz w:val="18"/>
              </w:rPr>
              <w:t>PER40〜50倍 × EPS¥11（成長率10〜15%想定）</w:t>
            </w:r>
          </w:p>
        </w:tc>
        <w:tc>
          <w:tcPr>
            <w:tcW w:type="dxa" w:w="3135"/>
            <w:shd w:val="clear" w:color="auto" w:fill="DDEBF7"/>
          </w:tcPr>
          <w:p>
            <w:r>
              <w:rPr>
                <w:rFonts w:ascii="Meiryo UI" w:hAnsi="Meiryo UI"/>
                <w:sz w:val="18"/>
              </w:rPr>
              <w:t>¥440〜¥550</w:t>
            </w:r>
          </w:p>
        </w:tc>
      </w:tr>
      <w:tr>
        <w:tc>
          <w:tcPr>
            <w:tcW w:type="dxa" w:w="3135"/>
          </w:tcPr>
          <w:p>
            <w:r>
              <w:rPr>
                <w:rFonts w:ascii="Meiryo UI" w:hAnsi="Meiryo UI"/>
                <w:sz w:val="18"/>
              </w:rPr>
              <w:t>PBRベース（ROE連動）</w:t>
            </w:r>
          </w:p>
        </w:tc>
        <w:tc>
          <w:tcPr>
            <w:tcW w:type="dxa" w:w="3135"/>
          </w:tcPr>
          <w:p>
            <w:r>
              <w:rPr>
                <w:rFonts w:ascii="Meiryo UI" w:hAnsi="Meiryo UI"/>
                <w:sz w:val="18"/>
              </w:rPr>
              <w:t>PBR適正値 = ROE÷Ke = 12.7%÷7.10% = 1.79倍 × BPS¥103</w:t>
            </w:r>
          </w:p>
        </w:tc>
        <w:tc>
          <w:tcPr>
            <w:tcW w:type="dxa" w:w="3135"/>
          </w:tcPr>
          <w:p>
            <w:r>
              <w:rPr>
                <w:rFonts w:ascii="Meiryo UI" w:hAnsi="Meiryo UI"/>
                <w:sz w:val="18"/>
              </w:rPr>
              <w:t>¥184</w:t>
            </w:r>
          </w:p>
        </w:tc>
      </w:tr>
      <w:tr>
        <w:tc>
          <w:tcPr>
            <w:tcW w:type="dxa" w:w="3135"/>
            <w:shd w:val="clear" w:color="auto" w:fill="DDEBF7"/>
          </w:tcPr>
          <w:p>
            <w:r>
              <w:rPr>
                <w:rFonts w:ascii="Meiryo UI" w:hAnsi="Meiryo UI"/>
                <w:sz w:val="18"/>
              </w:rPr>
              <w:t>DCF基本ケース</w:t>
            </w:r>
          </w:p>
        </w:tc>
        <w:tc>
          <w:tcPr>
            <w:tcW w:type="dxa" w:w="3135"/>
            <w:shd w:val="clear" w:color="auto" w:fill="DDEBF7"/>
          </w:tcPr>
          <w:p>
            <w:r>
              <w:rPr>
                <w:rFonts w:ascii="Meiryo UI" w:hAnsi="Meiryo UI"/>
                <w:sz w:val="18"/>
              </w:rPr>
              <w:t>上記DCF算出</w:t>
            </w:r>
          </w:p>
        </w:tc>
        <w:tc>
          <w:tcPr>
            <w:tcW w:type="dxa" w:w="3135"/>
            <w:shd w:val="clear" w:color="auto" w:fill="DDEBF7"/>
          </w:tcPr>
          <w:p>
            <w:r>
              <w:rPr>
                <w:rFonts w:ascii="Meiryo UI" w:hAnsi="Meiryo UI"/>
                <w:sz w:val="18"/>
              </w:rPr>
              <w:t>¥941（楽観的）</w:t>
            </w:r>
          </w:p>
        </w:tc>
      </w:tr>
      <w:tr>
        <w:tc>
          <w:tcPr>
            <w:tcW w:type="dxa" w:w="3135"/>
          </w:tcPr>
          <w:p>
            <w:r>
              <w:rPr>
                <w:rFonts w:ascii="Meiryo UI" w:hAnsi="Meiryo UI"/>
                <w:sz w:val="18"/>
              </w:rPr>
              <w:t>EV/EBITDA（業界平均8〜12倍）</w:t>
            </w:r>
          </w:p>
        </w:tc>
        <w:tc>
          <w:tcPr>
            <w:tcW w:type="dxa" w:w="3135"/>
          </w:tcPr>
          <w:p>
            <w:r>
              <w:rPr>
                <w:rFonts w:ascii="Meiryo UI" w:hAnsi="Meiryo UI"/>
                <w:sz w:val="18"/>
              </w:rPr>
              <w:t>EBITDA推定¥6〜8億円★ × 10倍</w:t>
            </w:r>
          </w:p>
        </w:tc>
        <w:tc>
          <w:tcPr>
            <w:tcW w:type="dxa" w:w="3135"/>
          </w:tcPr>
          <w:p>
            <w:r>
              <w:rPr>
                <w:rFonts w:ascii="Meiryo UI" w:hAnsi="Meiryo UI"/>
                <w:sz w:val="18"/>
              </w:rPr>
              <w:t>¥600〜¥800★</w:t>
            </w:r>
          </w:p>
        </w:tc>
      </w:tr>
    </w:tbl>
    <w:p/>
    <w:p>
      <w:pPr>
        <w:pStyle w:val="Heading4"/>
      </w:pPr>
      <w:r>
        <w:rPr>
          <w:rFonts w:ascii="Meiryo UI" w:hAnsi="Meiryo UI"/>
          <w:color w:val="2E74B5"/>
        </w:rPr>
        <w:t>バリュエーションサマリー</w:t>
      </w:r>
    </w:p>
    <w:p/>
    <w:p>
      <w:pPr>
        <w:shd w:val="clear" w:color="auto" w:fill="F2F2F2"/>
      </w:pPr>
      <w:r>
        <w:rPr>
          <w:rFonts w:ascii="Courier New" w:hAnsi="Courier New"/>
          <w:sz w:val="16"/>
        </w:rPr>
        <w:t>PBR理論値   ¥184  ┤</w:t>
        <w:br/>
        <w:t>業界PER下限  ¥275  ┤</w:t>
        <w:br/>
        <w:t>業界PER上限  ¥330  ┤</w:t>
        <w:br/>
        <w:t>成長PER下限  ¥440  ┤──── 保守的レンジ：¥520〜¥680</w:t>
        <w:br/>
        <w:t>成長PER上限  ¥550  ┤</w:t>
        <w:br/>
        <w:t>EV/EBITDA中央 ¥700 ┤</w:t>
        <w:br/>
        <w:t>現在値      ¥711  ◀ ここ</w:t>
        <w:br/>
        <w:t>DCF（楽観）  ¥941  ┤</w:t>
      </w:r>
    </w:p>
    <w:p/>
    <w:p>
      <w:r>
        <w:rPr>
          <w:rFonts w:ascii="Meiryo UI" w:hAnsi="Meiryo UI"/>
          <w:sz w:val="20"/>
        </w:rPr>
        <w:t xml:space="preserve">&gt; 統合理論株価（加重平均）：  </w:t>
      </w:r>
    </w:p>
    <w:p>
      <w:r>
        <w:rPr>
          <w:rFonts w:ascii="Meiryo UI" w:hAnsi="Meiryo UI"/>
          <w:sz w:val="20"/>
        </w:rPr>
        <w:t xml:space="preserve">&gt; PBRは除外（事業会社の解散価値であり成長株に不適）。  </w:t>
      </w:r>
    </w:p>
    <w:p>
      <w:r>
        <w:rPr>
          <w:rFonts w:ascii="Meiryo UI" w:hAnsi="Meiryo UI"/>
          <w:sz w:val="20"/>
        </w:rPr>
        <w:t xml:space="preserve">&gt; 成長PER（40倍）×¥11 = ¥440 （30%ウェイト）  </w:t>
      </w:r>
    </w:p>
    <w:p>
      <w:r>
        <w:rPr>
          <w:rFonts w:ascii="Meiryo UI" w:hAnsi="Meiryo UI"/>
          <w:sz w:val="20"/>
        </w:rPr>
        <w:t xml:space="preserve">&gt; EV/EBITDA中央値 ¥700 （40%ウェイト）  </w:t>
      </w:r>
    </w:p>
    <w:p>
      <w:r>
        <w:rPr>
          <w:rFonts w:ascii="Meiryo UI" w:hAnsi="Meiryo UI"/>
          <w:sz w:val="20"/>
        </w:rPr>
        <w:t xml:space="preserve">&gt; DCF保守版（WACC+1%シナリオ）¥700 （30%ウェイト）  </w:t>
      </w:r>
    </w:p>
    <w:p>
      <w:r>
        <w:rPr>
          <w:rFonts w:ascii="Meiryo UI" w:hAnsi="Meiryo UI"/>
          <w:sz w:val="20"/>
        </w:rPr>
        <w:t>&gt; → 加重平均理論株価 ≒ ¥440×0.3 + ¥700×0.4 + ¥700×0.3 = ¥132 + ¥280 + ¥210 = ¥622</w:t>
      </w:r>
    </w:p>
    <w:p/>
    <w:p>
      <w:r>
        <w:rPr>
          <w:rFonts w:ascii="Meiryo UI" w:hAnsi="Meiryo UI"/>
          <w:sz w:val="20"/>
        </w:rPr>
        <w:t xml:space="preserve">📌 基本ケース理論株価：¥600〜¥650（中央値¥620）  </w:t>
      </w:r>
    </w:p>
    <w:p>
      <w:r>
        <w:rPr>
          <w:rFonts w:ascii="Meiryo UI" w:hAnsi="Meiryo UI"/>
          <w:sz w:val="20"/>
        </w:rPr>
        <w:t>📌 現在値¥711に対する下値余地：▲8〜▲13%</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現在値¥711比</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強気ケース（ブル）</w:t>
            </w:r>
          </w:p>
        </w:tc>
        <w:tc>
          <w:tcPr>
            <w:tcW w:type="dxa" w:w="2351"/>
          </w:tcPr>
          <w:p>
            <w:r>
              <w:rPr>
                <w:rFonts w:ascii="Meiryo UI" w:hAnsi="Meiryo UI"/>
                <w:sz w:val="18"/>
              </w:rPr>
              <w:t>¥850〜¥950</w:t>
            </w:r>
          </w:p>
        </w:tc>
        <w:tc>
          <w:tcPr>
            <w:tcW w:type="dxa" w:w="2351"/>
          </w:tcPr>
          <w:p>
            <w:r>
              <w:rPr>
                <w:rFonts w:ascii="Meiryo UI" w:hAnsi="Meiryo UI"/>
                <w:sz w:val="18"/>
              </w:rPr>
              <w:t>+19〜+34%</w:t>
            </w:r>
          </w:p>
        </w:tc>
        <w:tc>
          <w:tcPr>
            <w:tcW w:type="dxa" w:w="2351"/>
          </w:tcPr>
          <w:p>
            <w:r>
              <w:rPr>
                <w:rFonts w:ascii="Meiryo UI" w:hAnsi="Meiryo UI"/>
                <w:sz w:val="18"/>
              </w:rPr>
              <w:t>FY2026利益+30%成長、EV/EBITDA12倍、DCF楽観</w:t>
            </w:r>
          </w:p>
        </w:tc>
      </w:tr>
      <w:tr>
        <w:tc>
          <w:tcPr>
            <w:tcW w:type="dxa" w:w="2351"/>
            <w:shd w:val="clear" w:color="auto" w:fill="DDEBF7"/>
          </w:tcPr>
          <w:p>
            <w:r>
              <w:rPr>
                <w:rFonts w:ascii="Meiryo UI" w:hAnsi="Meiryo UI"/>
                <w:sz w:val="18"/>
              </w:rPr>
              <w:t>基本ケース（ベース）</w:t>
            </w:r>
          </w:p>
        </w:tc>
        <w:tc>
          <w:tcPr>
            <w:tcW w:type="dxa" w:w="2351"/>
            <w:shd w:val="clear" w:color="auto" w:fill="DDEBF7"/>
          </w:tcPr>
          <w:p>
            <w:r>
              <w:rPr>
                <w:rFonts w:ascii="Meiryo UI" w:hAnsi="Meiryo UI"/>
                <w:sz w:val="18"/>
              </w:rPr>
              <w:t>¥580〜¥680</w:t>
            </w:r>
          </w:p>
        </w:tc>
        <w:tc>
          <w:tcPr>
            <w:tcW w:type="dxa" w:w="2351"/>
            <w:shd w:val="clear" w:color="auto" w:fill="DDEBF7"/>
          </w:tcPr>
          <w:p>
            <w:r>
              <w:rPr>
                <w:rFonts w:ascii="Meiryo UI" w:hAnsi="Meiryo UI"/>
                <w:sz w:val="18"/>
              </w:rPr>
              <w:t>▲4〜▲18%</w:t>
            </w:r>
          </w:p>
        </w:tc>
        <w:tc>
          <w:tcPr>
            <w:tcW w:type="dxa" w:w="2351"/>
            <w:shd w:val="clear" w:color="auto" w:fill="DDEBF7"/>
          </w:tcPr>
          <w:p>
            <w:r>
              <w:rPr>
                <w:rFonts w:ascii="Meiryo UI" w:hAnsi="Meiryo UI"/>
                <w:sz w:val="18"/>
              </w:rPr>
              <w:t>成長PER45倍、EV/EBITDA10倍、DCF標準</w:t>
            </w:r>
          </w:p>
        </w:tc>
      </w:tr>
      <w:tr>
        <w:tc>
          <w:tcPr>
            <w:tcW w:type="dxa" w:w="2351"/>
          </w:tcPr>
          <w:p>
            <w:r>
              <w:rPr>
                <w:rFonts w:ascii="Meiryo UI" w:hAnsi="Meiryo UI"/>
                <w:sz w:val="18"/>
              </w:rPr>
              <w:t>弱気ケース（ベア）</w:t>
            </w:r>
          </w:p>
        </w:tc>
        <w:tc>
          <w:tcPr>
            <w:tcW w:type="dxa" w:w="2351"/>
          </w:tcPr>
          <w:p>
            <w:r>
              <w:rPr>
                <w:rFonts w:ascii="Meiryo UI" w:hAnsi="Meiryo UI"/>
                <w:sz w:val="18"/>
              </w:rPr>
              <w:t>¥350〜¥450</w:t>
            </w:r>
          </w:p>
        </w:tc>
        <w:tc>
          <w:tcPr>
            <w:tcW w:type="dxa" w:w="2351"/>
          </w:tcPr>
          <w:p>
            <w:r>
              <w:rPr>
                <w:rFonts w:ascii="Meiryo UI" w:hAnsi="Meiryo UI"/>
                <w:sz w:val="18"/>
              </w:rPr>
              <w:t>▲37〜▲51%</w:t>
            </w:r>
          </w:p>
        </w:tc>
        <w:tc>
          <w:tcPr>
            <w:tcW w:type="dxa" w:w="2351"/>
          </w:tcPr>
          <w:p>
            <w:r>
              <w:rPr>
                <w:rFonts w:ascii="Meiryo UI" w:hAnsi="Meiryo UI"/>
                <w:sz w:val="18"/>
              </w:rPr>
              <w:t>成長鈍化・コスト高が継続、PER30倍への回帰</w:t>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購入価格</w:t>
            </w:r>
          </w:p>
        </w:tc>
        <w:tc>
          <w:tcPr>
            <w:tcW w:type="dxa" w:w="2351"/>
            <w:shd w:val="clear" w:color="auto" w:fill="2E74B5"/>
          </w:tcPr>
          <w:p>
            <w:r>
              <w:rPr>
                <w:rFonts w:ascii="Meiryo UI" w:hAnsi="Meiryo UI"/>
                <w:b/>
                <w:color w:val="FFFFFF"/>
                <w:sz w:val="18"/>
              </w:rPr>
              <w:t>基本ケース中央値(¥620)比 MoS</w:t>
            </w:r>
          </w:p>
        </w:tc>
        <w:tc>
          <w:tcPr>
            <w:tcW w:type="dxa" w:w="2351"/>
            <w:shd w:val="clear" w:color="auto" w:fill="2E74B5"/>
          </w:tcPr>
          <w:p>
            <w:r>
              <w:rPr>
                <w:rFonts w:ascii="Meiryo UI" w:hAnsi="Meiryo UI"/>
                <w:b/>
                <w:color w:val="FFFFFF"/>
                <w:sz w:val="18"/>
              </w:rPr>
              <w:t>弱気ケース中央値(¥400)比 MoS</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¥711（現在値）</w:t>
            </w:r>
          </w:p>
        </w:tc>
        <w:tc>
          <w:tcPr>
            <w:tcW w:type="dxa" w:w="2351"/>
          </w:tcPr>
          <w:p>
            <w:r>
              <w:rPr>
                <w:rFonts w:ascii="Meiryo UI" w:hAnsi="Meiryo UI"/>
                <w:sz w:val="18"/>
              </w:rPr>
              <w:t>▲13%（MoS不足）</w:t>
            </w:r>
          </w:p>
        </w:tc>
        <w:tc>
          <w:tcPr>
            <w:tcW w:type="dxa" w:w="2351"/>
          </w:tcPr>
          <w:p>
            <w:r>
              <w:rPr>
                <w:rFonts w:ascii="Meiryo UI" w:hAnsi="Meiryo UI"/>
                <w:sz w:val="18"/>
              </w:rPr>
              <w:t>▲78%（危険水域）</w:t>
            </w:r>
          </w:p>
        </w:tc>
        <w:tc>
          <w:tcPr>
            <w:tcW w:type="dxa" w:w="2351"/>
          </w:tcPr>
          <w:p>
            <w:r>
              <w:rPr>
                <w:rFonts w:ascii="Meiryo UI" w:hAnsi="Meiryo UI"/>
                <w:sz w:val="18"/>
              </w:rPr>
              <w:t>❌ 買い不適</w:t>
            </w:r>
          </w:p>
        </w:tc>
      </w:tr>
      <w:tr>
        <w:tc>
          <w:tcPr>
            <w:tcW w:type="dxa" w:w="2351"/>
            <w:shd w:val="clear" w:color="auto" w:fill="DDEBF7"/>
          </w:tcPr>
          <w:p>
            <w:r>
              <w:rPr>
                <w:rFonts w:ascii="Meiryo UI" w:hAnsi="Meiryo UI"/>
                <w:sz w:val="18"/>
              </w:rPr>
              <w:t>¥650</w:t>
            </w:r>
          </w:p>
        </w:tc>
        <w:tc>
          <w:tcPr>
            <w:tcW w:type="dxa" w:w="2351"/>
            <w:shd w:val="clear" w:color="auto" w:fill="DDEBF7"/>
          </w:tcPr>
          <w:p>
            <w:r>
              <w:rPr>
                <w:rFonts w:ascii="Meiryo UI" w:hAnsi="Meiryo UI"/>
                <w:sz w:val="18"/>
              </w:rPr>
              <w:t>▲5%（MoS薄い）</w:t>
            </w:r>
          </w:p>
        </w:tc>
        <w:tc>
          <w:tcPr>
            <w:tcW w:type="dxa" w:w="2351"/>
            <w:shd w:val="clear" w:color="auto" w:fill="DDEBF7"/>
          </w:tcPr>
          <w:p>
            <w:r>
              <w:rPr>
                <w:rFonts w:ascii="Meiryo UI" w:hAnsi="Meiryo UI"/>
                <w:sz w:val="18"/>
              </w:rPr>
              <w:t>▲62%</w:t>
            </w:r>
          </w:p>
        </w:tc>
        <w:tc>
          <w:tcPr>
            <w:tcW w:type="dxa" w:w="2351"/>
            <w:shd w:val="clear" w:color="auto" w:fill="DDEBF7"/>
          </w:tcPr>
          <w:p>
            <w:r>
              <w:rPr>
                <w:rFonts w:ascii="Meiryo UI" w:hAnsi="Meiryo UI"/>
                <w:sz w:val="18"/>
              </w:rPr>
              <w:t>⚠️ 慎重</w:t>
            </w:r>
          </w:p>
        </w:tc>
      </w:tr>
      <w:tr>
        <w:tc>
          <w:tcPr>
            <w:tcW w:type="dxa" w:w="2351"/>
          </w:tcPr>
          <w:p>
            <w:r>
              <w:rPr>
                <w:rFonts w:ascii="Meiryo UI" w:hAnsi="Meiryo UI"/>
                <w:sz w:val="18"/>
              </w:rPr>
              <w:t>¥620</w:t>
            </w:r>
          </w:p>
        </w:tc>
        <w:tc>
          <w:tcPr>
            <w:tcW w:type="dxa" w:w="2351"/>
          </w:tcPr>
          <w:p>
            <w:r>
              <w:rPr>
                <w:rFonts w:ascii="Meiryo UI" w:hAnsi="Meiryo UI"/>
                <w:sz w:val="18"/>
              </w:rPr>
              <w:t>0%（Fair Value）</w:t>
            </w:r>
          </w:p>
        </w:tc>
        <w:tc>
          <w:tcPr>
            <w:tcW w:type="dxa" w:w="2351"/>
          </w:tcPr>
          <w:p>
            <w:r>
              <w:rPr>
                <w:rFonts w:ascii="Meiryo UI" w:hAnsi="Meiryo UI"/>
                <w:sz w:val="18"/>
              </w:rPr>
              <w:t>▲55%</w:t>
            </w:r>
          </w:p>
        </w:tc>
        <w:tc>
          <w:tcPr>
            <w:tcW w:type="dxa" w:w="2351"/>
          </w:tcPr>
          <w:p>
            <w:r>
              <w:rPr>
                <w:rFonts w:ascii="Meiryo UI" w:hAnsi="Meiryo UI"/>
                <w:sz w:val="18"/>
              </w:rPr>
              <w:t>⚠️ 打診可</w:t>
            </w:r>
          </w:p>
        </w:tc>
      </w:tr>
      <w:tr>
        <w:tc>
          <w:tcPr>
            <w:tcW w:type="dxa" w:w="2351"/>
            <w:shd w:val="clear" w:color="auto" w:fill="DDEBF7"/>
          </w:tcPr>
          <w:p>
            <w:r>
              <w:rPr>
                <w:rFonts w:ascii="Meiryo UI" w:hAnsi="Meiryo UI"/>
                <w:sz w:val="18"/>
              </w:rPr>
              <w:t>¥550</w:t>
            </w:r>
          </w:p>
        </w:tc>
        <w:tc>
          <w:tcPr>
            <w:tcW w:type="dxa" w:w="2351"/>
            <w:shd w:val="clear" w:color="auto" w:fill="DDEBF7"/>
          </w:tcPr>
          <w:p>
            <w:r>
              <w:rPr>
                <w:rFonts w:ascii="Meiryo UI" w:hAnsi="Meiryo UI"/>
                <w:sz w:val="18"/>
              </w:rPr>
              <w:t>+13%（最低限のMoS確保）</w:t>
            </w:r>
          </w:p>
        </w:tc>
        <w:tc>
          <w:tcPr>
            <w:tcW w:type="dxa" w:w="2351"/>
            <w:shd w:val="clear" w:color="auto" w:fill="DDEBF7"/>
          </w:tcPr>
          <w:p>
            <w:r>
              <w:rPr>
                <w:rFonts w:ascii="Meiryo UI" w:hAnsi="Meiryo UI"/>
                <w:sz w:val="18"/>
              </w:rPr>
              <w:t>▲38%</w:t>
            </w:r>
          </w:p>
        </w:tc>
        <w:tc>
          <w:tcPr>
            <w:tcW w:type="dxa" w:w="2351"/>
            <w:shd w:val="clear" w:color="auto" w:fill="DDEBF7"/>
          </w:tcPr>
          <w:p>
            <w:r>
              <w:rPr>
                <w:rFonts w:ascii="Meiryo UI" w:hAnsi="Meiryo UI"/>
                <w:sz w:val="18"/>
              </w:rPr>
              <w:t>🔶 条件付き買い</w:t>
            </w:r>
          </w:p>
        </w:tc>
      </w:tr>
      <w:tr>
        <w:tc>
          <w:tcPr>
            <w:tcW w:type="dxa" w:w="2351"/>
          </w:tcPr>
          <w:p>
            <w:r>
              <w:rPr>
                <w:rFonts w:ascii="Meiryo UI" w:hAnsi="Meiryo UI"/>
                <w:sz w:val="18"/>
              </w:rPr>
              <w:t>¥500</w:t>
            </w:r>
          </w:p>
        </w:tc>
        <w:tc>
          <w:tcPr>
            <w:tcW w:type="dxa" w:w="2351"/>
          </w:tcPr>
          <w:p>
            <w:r>
              <w:rPr>
                <w:rFonts w:ascii="Meiryo UI" w:hAnsi="Meiryo UI"/>
                <w:sz w:val="18"/>
              </w:rPr>
              <w:t>+24%（十分なMoS）</w:t>
            </w:r>
          </w:p>
        </w:tc>
        <w:tc>
          <w:tcPr>
            <w:tcW w:type="dxa" w:w="2351"/>
          </w:tcPr>
          <w:p>
            <w:r>
              <w:rPr>
                <w:rFonts w:ascii="Meiryo UI" w:hAnsi="Meiryo UI"/>
                <w:sz w:val="18"/>
              </w:rPr>
              <w:t>▲25%</w:t>
            </w:r>
          </w:p>
        </w:tc>
        <w:tc>
          <w:tcPr>
            <w:tcW w:type="dxa" w:w="2351"/>
          </w:tcPr>
          <w:p>
            <w:r>
              <w:rPr>
                <w:rFonts w:ascii="Meiryo UI" w:hAnsi="Meiryo UI"/>
                <w:sz w:val="18"/>
              </w:rPr>
              <w:t>✅ 買い検討可</w:t>
            </w:r>
          </w:p>
        </w:tc>
      </w:tr>
    </w:tbl>
    <w:p/>
    <w:p>
      <w:r>
        <w:rPr>
          <w:rFonts w:ascii="Meiryo UI" w:hAnsi="Meiryo UI"/>
          <w:sz w:val="20"/>
        </w:rPr>
        <w:t>→ 投資判断：【中立（Neutral）/ 様子見】</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ケース①：強気シナリオ（確率20%）— 理論株価¥850〜¥950</w:t>
      </w:r>
    </w:p>
    <w:p/>
    <w:p>
      <w:r>
        <w:rPr>
          <w:rFonts w:ascii="Meiryo UI" w:hAnsi="Meiryo UI"/>
          <w:sz w:val="20"/>
        </w:rPr>
        <w:t>前提条件：</w:t>
      </w:r>
    </w:p>
    <w:p>
      <w:pPr>
        <w:pStyle w:val="ListBullet"/>
      </w:pPr>
      <w:r>
        <w:rPr>
          <w:rFonts w:ascii="Meiryo UI" w:hAnsi="Meiryo UI"/>
          <w:sz w:val="20"/>
        </w:rPr>
        <w:t>FY2026既存店売上高+10%以上の継続</w:t>
      </w:r>
    </w:p>
    <w:p>
      <w:pPr>
        <w:pStyle w:val="ListBullet"/>
      </w:pPr>
      <w:r>
        <w:rPr>
          <w:rFonts w:ascii="Meiryo UI" w:hAnsi="Meiryo UI"/>
          <w:sz w:val="20"/>
        </w:rPr>
        <w:t>新規出店35店以上（うちFC25店以上）</w:t>
      </w:r>
    </w:p>
    <w:p>
      <w:pPr>
        <w:pStyle w:val="ListBullet"/>
      </w:pPr>
      <w:r>
        <w:rPr>
          <w:rFonts w:ascii="Meiryo UI" w:hAnsi="Meiryo UI"/>
          <w:sz w:val="20"/>
        </w:rPr>
        <w:t>食材コスト安定化（豚肉・食用油の価格下落）</w:t>
      </w:r>
    </w:p>
    <w:p>
      <w:pPr>
        <w:pStyle w:val="ListBullet"/>
      </w:pPr>
      <w:r>
        <w:rPr>
          <w:rFonts w:ascii="Meiryo UI" w:hAnsi="Meiryo UI"/>
          <w:sz w:val="20"/>
        </w:rPr>
        <w:t>EPS FY2026: ¥15〜¥18（+35〜+65%成長）</w:t>
      </w:r>
    </w:p>
    <w:p>
      <w:pPr>
        <w:pStyle w:val="ListBullet"/>
      </w:pPr>
      <w:r>
        <w:rPr>
          <w:rFonts w:ascii="Meiryo UI" w:hAnsi="Meiryo UI"/>
          <w:sz w:val="20"/>
        </w:rPr>
        <w:t>インバウンド需要の更なる拡大（来日外国人4,500万人超）</w:t>
      </w:r>
    </w:p>
    <w:p/>
    <w:p>
      <w:r>
        <w:rPr>
          <w:rFonts w:ascii="Meiryo UI" w:hAnsi="Meiryo UI"/>
          <w:sz w:val="20"/>
        </w:rPr>
        <w:t xml:space="preserve">株価インプリケーション： PER50〜55倍 × EPS¥17 = ¥850〜¥935  </w:t>
      </w:r>
    </w:p>
    <w:p>
      <w:r>
        <w:rPr>
          <w:rFonts w:ascii="Meiryo UI" w:hAnsi="Meiryo UI"/>
          <w:sz w:val="20"/>
        </w:rPr>
        <w:t>投資戦略： ¥620以下で仕込んでいれば、このケースで+35〜+50%のリターン。</w:t>
      </w:r>
    </w:p>
    <w:p/>
    <w:p>
      <w:r>
        <w:t>──────────────────────────────────────────────────</w:t>
      </w:r>
    </w:p>
    <w:p/>
    <w:p>
      <w:pPr>
        <w:pStyle w:val="Heading3"/>
      </w:pPr>
      <w:r>
        <w:rPr>
          <w:rFonts w:ascii="Meiryo UI" w:hAnsi="Meiryo UI"/>
          <w:color w:val="2E74B5"/>
        </w:rPr>
        <w:t>ケース②：基本シナリオ（確率50%）— 理論株価¥580〜¥680</w:t>
      </w:r>
    </w:p>
    <w:p/>
    <w:p>
      <w:r>
        <w:rPr>
          <w:rFonts w:ascii="Meiryo UI" w:hAnsi="Meiryo UI"/>
          <w:sz w:val="20"/>
        </w:rPr>
        <w:t>前提条件：</w:t>
      </w:r>
    </w:p>
    <w:p>
      <w:pPr>
        <w:pStyle w:val="ListBullet"/>
      </w:pPr>
      <w:r>
        <w:rPr>
          <w:rFonts w:ascii="Meiryo UI" w:hAnsi="Meiryo UI"/>
          <w:sz w:val="20"/>
        </w:rPr>
        <w:t>FY2026既存店売上高+4〜8%（正常化ペース）</w:t>
      </w:r>
    </w:p>
    <w:p>
      <w:pPr>
        <w:pStyle w:val="ListBullet"/>
      </w:pPr>
      <w:r>
        <w:rPr>
          <w:rFonts w:ascii="Meiryo UI" w:hAnsi="Meiryo UI"/>
          <w:sz w:val="20"/>
        </w:rPr>
        <w:t>新規出店20〜30店</w:t>
      </w:r>
    </w:p>
    <w:p>
      <w:pPr>
        <w:pStyle w:val="ListBullet"/>
      </w:pPr>
      <w:r>
        <w:rPr>
          <w:rFonts w:ascii="Meiryo UI" w:hAnsi="Meiryo UI"/>
          <w:sz w:val="20"/>
        </w:rPr>
        <w:t>食材・人件費コスト増が継続（営業利益率は4〜6%帯で推移）</w:t>
      </w:r>
    </w:p>
    <w:p>
      <w:pPr>
        <w:pStyle w:val="ListBullet"/>
      </w:pPr>
      <w:r>
        <w:rPr>
          <w:rFonts w:ascii="Meiryo UI" w:hAnsi="Meiryo UI"/>
          <w:sz w:val="20"/>
        </w:rPr>
        <w:t>EPS FY2026: ¥12〜¥14（+9〜+27%成長）</w:t>
      </w:r>
    </w:p>
    <w:p/>
    <w:p>
      <w:r>
        <w:rPr>
          <w:rFonts w:ascii="Meiryo UI" w:hAnsi="Meiryo UI"/>
          <w:sz w:val="20"/>
        </w:rPr>
        <w:t xml:space="preserve">株価インプリケーション： PER45倍 × EPS¥13 = ¥585  </w:t>
      </w:r>
    </w:p>
    <w:p>
      <w:r>
        <w:rPr>
          <w:rFonts w:ascii="Meiryo UI" w:hAnsi="Meiryo UI"/>
          <w:sz w:val="20"/>
        </w:rPr>
        <w:t>投資戦略： 現在値¥711は基本ケース上限を上回っており、割高。押し目待ち。</w:t>
      </w:r>
    </w:p>
    <w:p/>
    <w:p>
      <w:r>
        <w:t>──────────────────────────────────────────────────</w:t>
      </w:r>
    </w:p>
    <w:p/>
    <w:p>
      <w:pPr>
        <w:pStyle w:val="Heading3"/>
      </w:pPr>
      <w:r>
        <w:rPr>
          <w:rFonts w:ascii="Meiryo UI" w:hAnsi="Meiryo UI"/>
          <w:color w:val="2E74B5"/>
        </w:rPr>
        <w:t>ケース③：弱気シナリオ（確率30%）— 理論株価¥350〜¥450</w:t>
      </w:r>
    </w:p>
    <w:p/>
    <w:p>
      <w:r>
        <w:rPr>
          <w:rFonts w:ascii="Meiryo UI" w:hAnsi="Meiryo UI"/>
          <w:sz w:val="20"/>
        </w:rPr>
        <w:t>前提条件：</w:t>
      </w:r>
    </w:p>
    <w:p>
      <w:pPr>
        <w:pStyle w:val="ListBullet"/>
      </w:pPr>
      <w:r>
        <w:rPr>
          <w:rFonts w:ascii="Meiryo UI" w:hAnsi="Meiryo UI"/>
          <w:sz w:val="20"/>
        </w:rPr>
        <w:t>消費者の外食支出抑制（物価高→節約志向の強まり）</w:t>
      </w:r>
    </w:p>
    <w:p>
      <w:pPr>
        <w:pStyle w:val="ListBullet"/>
      </w:pPr>
      <w:r>
        <w:rPr>
          <w:rFonts w:ascii="Meiryo UI" w:hAnsi="Meiryo UI"/>
          <w:sz w:val="20"/>
        </w:rPr>
        <w:t>食材・人件費の二重コスト増が利益を圧迫</w:t>
      </w:r>
    </w:p>
    <w:p>
      <w:pPr>
        <w:pStyle w:val="ListBullet"/>
      </w:pPr>
      <w:r>
        <w:rPr>
          <w:rFonts w:ascii="Meiryo UI" w:hAnsi="Meiryo UI"/>
          <w:sz w:val="20"/>
        </w:rPr>
        <w:t>不採算店舗の退店加速・減損計上</w:t>
      </w:r>
    </w:p>
    <w:p>
      <w:pPr>
        <w:pStyle w:val="ListBullet"/>
      </w:pPr>
      <w:r>
        <w:rPr>
          <w:rFonts w:ascii="Meiryo UI" w:hAnsi="Meiryo UI"/>
          <w:sz w:val="20"/>
        </w:rPr>
        <w:t>EPS FY2026: ¥7〜¥9（▲18〜▲36%）</w:t>
      </w:r>
    </w:p>
    <w:p>
      <w:pPr>
        <w:pStyle w:val="ListBullet"/>
      </w:pPr>
      <w:r>
        <w:rPr>
          <w:rFonts w:ascii="Meiryo UI" w:hAnsi="Meiryo UI"/>
          <w:sz w:val="20"/>
        </w:rPr>
        <w:t>金利上昇（日銀追加利上げ）によるバリュエーション圧縮</w:t>
      </w:r>
    </w:p>
    <w:p/>
    <w:p>
      <w:r>
        <w:rPr>
          <w:rFonts w:ascii="Meiryo UI" w:hAnsi="Meiryo UI"/>
          <w:sz w:val="20"/>
        </w:rPr>
        <w:t xml:space="preserve">株価インプリケーション： PER40倍 × EPS¥8 = ¥320〜¥400  </w:t>
      </w:r>
    </w:p>
    <w:p>
      <w:r>
        <w:rPr>
          <w:rFonts w:ascii="Meiryo UI" w:hAnsi="Meiryo UI"/>
          <w:sz w:val="20"/>
        </w:rPr>
        <w:t>投資戦略： 現在値¥711からの下落率▲44〜▲55%。損切りライン設定が必須。</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浅井速報スコア</w:t>
            </w:r>
          </w:p>
        </w:tc>
        <w:tc>
          <w:tcPr>
            <w:tcW w:type="dxa" w:w="4703"/>
          </w:tcPr>
          <w:p>
            <w:r>
              <w:rPr>
                <w:rFonts w:ascii="Meiryo UI" w:hAnsi="Meiryo UI"/>
                <w:sz w:val="18"/>
              </w:rPr>
              <w:t>+0（BUY信号なし）</w:t>
            </w:r>
          </w:p>
        </w:tc>
      </w:tr>
      <w:tr>
        <w:tc>
          <w:tcPr>
            <w:tcW w:type="dxa" w:w="4703"/>
            <w:shd w:val="clear" w:color="auto" w:fill="DDEBF7"/>
          </w:tcPr>
          <w:p>
            <w:r>
              <w:rPr>
                <w:rFonts w:ascii="Meiryo UI" w:hAnsi="Meiryo UI"/>
                <w:sz w:val="18"/>
              </w:rPr>
              <w:t>浅井コメント</w:t>
            </w:r>
          </w:p>
        </w:tc>
        <w:tc>
          <w:tcPr>
            <w:tcW w:type="dxa" w:w="4703"/>
            <w:shd w:val="clear" w:color="auto" w:fill="DDEBF7"/>
          </w:tcPr>
          <w:p>
            <w:r>
              <w:rPr>
                <w:rFonts w:ascii="Meiryo UI" w:hAnsi="Meiryo UI"/>
                <w:sz w:val="18"/>
              </w:rPr>
              <w:t>国内スキャン対象外</w:t>
            </w:r>
          </w:p>
        </w:tc>
      </w:tr>
      <w:tr>
        <w:tc>
          <w:tcPr>
            <w:tcW w:type="dxa" w:w="4703"/>
          </w:tcPr>
          <w:p>
            <w:r>
              <w:rPr>
                <w:rFonts w:ascii="Meiryo UI" w:hAnsi="Meiryo UI"/>
                <w:sz w:val="18"/>
              </w:rPr>
              <w:t>センチメント評価</w:t>
            </w:r>
          </w:p>
        </w:tc>
        <w:tc>
          <w:tcPr>
            <w:tcW w:type="dxa" w:w="4703"/>
          </w:tcPr>
          <w:p>
            <w:r>
              <w:rPr>
                <w:rFonts w:ascii="Meiryo UI" w:hAnsi="Meiryo UI"/>
                <w:sz w:val="18"/>
              </w:rPr>
              <w:t>中立〜やや慎重</w:t>
            </w:r>
          </w:p>
        </w:tc>
      </w:tr>
    </w:tbl>
    <w:p/>
    <w:p>
      <w:pPr>
        <w:pStyle w:val="Heading3"/>
      </w:pPr>
      <w:r>
        <w:rPr>
          <w:rFonts w:ascii="Meiryo UI" w:hAnsi="Meiryo UI"/>
          <w:color w:val="2E74B5"/>
        </w:rPr>
        <w:t>深井コメント：センチメントと本源的価値のギャップ分析</w:t>
      </w:r>
    </w:p>
    <w:p/>
    <w:p>
      <w:pPr>
        <w:shd w:val="clear" w:color="auto" w:fill="F2F2F2"/>
      </w:pPr>
      <w:r>
        <w:rPr>
          <w:rFonts w:ascii="Courier New" w:hAnsi="Courier New"/>
          <w:sz w:val="16"/>
        </w:rPr>
        <w:t>センチメント（市場）：</w:t>
        <w:br/>
        <w:t xml:space="preserve">  ¥711 → 決算発表後も大きな崩れなし</w:t>
        <w:br/>
        <w:t xml:space="preserve">  → 「決算OK・成長続く」との楽観ムード</w:t>
        <w:br/>
        <w:br/>
        <w:t>本源的価値（深井DCF）：</w:t>
        <w:br/>
        <w:t xml:space="preserve">  基本ケース ¥580〜¥680 → ¥711はオーバーバリュー</w:t>
        <w:br/>
        <w:t xml:space="preserve">  弱気ケース ¥350〜¥450 → 下振れリスク大</w:t>
        <w:br/>
        <w:br/>
        <w:t>ギャップの正体：</w:t>
        <w:br/>
        <w:t xml:space="preserve">  「外食リオープン銘柄への出遅れ資金流入」+「小型株の流動性プレミアム」</w:t>
        <w:br/>
        <w:t xml:space="preserve">  → センチメント主導の割高状態</w:t>
        <w:br/>
        <w:t xml:space="preserve">  → 業績が期待を下回った瞬間に急落するリスク高</w:t>
      </w:r>
    </w:p>
    <w:p/>
    <w:p>
      <w:r>
        <w:rPr>
          <w:rFonts w:ascii="Meiryo UI" w:hAnsi="Meiryo UI"/>
          <w:sz w:val="20"/>
        </w:rPr>
        <w:t>統合評価： 浅井速報がBUYを出していない状況（スコア+0）は正確なセンチメント認識。本源的価値も¥711を正当化できず。中立維持。</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w:t>
        <w:br/>
        <w:t>│  【深井推奨エントリープラン】                          │</w:t>
        <w:br/>
        <w:t>│                                                  │</w:t>
        <w:br/>
        <w:t>│  ▶ Phase 1（現時点）：様子見。エントリーしない。         │</w:t>
        <w:br/>
        <w:t>│    理由：¥711は基本ケース理論株価を上回っており          │</w:t>
        <w:br/>
        <w:t>│    リスクリワードが不利（期待値マイナス）。               │</w:t>
        <w:br/>
        <w:t>│                                                  │</w:t>
        <w:br/>
        <w:t>│  ▶ Phase 2（押し目形成後）：¥620以下で打診買い40%       │</w:t>
        <w:br/>
        <w:t>│    条件：¥620タッチ + 週足でサポート確認                │</w:t>
        <w:br/>
        <w:t>│    サイズ：ポートフォリオの2〜3%程度（小型株リスク考慮）   │</w:t>
        <w:br/>
        <w:t>│                                                  │</w:t>
        <w:br/>
        <w:t>│  ▶ Phase 3（決算進捗確認後）：残り60%追加               │</w:t>
        <w:br/>
        <w:t>│    条件：FY2026 Q1進捗（2026年7〜8月開示）で            │</w:t>
        <w:br/>
        <w:t>│    ・既存店前年比+8%以上継続                           │</w:t>
        <w:br/>
        <w:t>│    ・営業利益率5%超の確認                              │</w:t>
        <w:br/>
        <w:t>│    ・FY2026通期EPS¥14以上のガイダンス                  │</w:t>
        <w:br/>
        <w:t>│    → これらが揃えば¥650以下で残り60%追加               │</w:t>
        <w:br/>
        <w:t>│                                                  │</w:t>
        <w:br/>
        <w:t>│  ▶ 損切りライン：¥570（理論下限▲8%以下）               │</w:t>
        <w:br/>
        <w:t>│    ¥570を週足終値で割り込んだら即撤退。                  │</w:t>
        <w:br/>
        <w:t>│    弱気ケース入りのシグナルとして扱う。                  │</w:t>
        <w:br/>
        <w:t>│                                                  │</w:t>
        <w:br/>
        <w:t>│  ▶ 利益確定ライン：                                  │</w:t>
        <w:br/>
        <w:t>│    第1目標 ¥750（+20%）/ 第2目標 ¥850（強気達成）       │</w:t>
        <w:br/>
        <w:t>└─────────────────────────────────────────────────┘</w:t>
      </w:r>
    </w:p>
    <w:p/>
    <w:p>
      <w:pPr>
        <w:pStyle w:val="Heading3"/>
      </w:pPr>
      <w:r>
        <w:rPr>
          <w:rFonts w:ascii="Meiryo UI" w:hAnsi="Meiryo UI"/>
          <w:color w:val="2E74B5"/>
        </w:rPr>
        <w:t>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対応</w:t>
            </w:r>
          </w:p>
        </w:tc>
      </w:tr>
      <w:tr>
        <w:tc>
          <w:tcPr>
            <w:tcW w:type="dxa" w:w="3135"/>
          </w:tcPr>
          <w:p>
            <w:r>
              <w:rPr>
                <w:rFonts w:ascii="Meiryo UI" w:hAnsi="Meiryo UI"/>
                <w:sz w:val="18"/>
              </w:rPr>
              <w:t>2026年4月〜6月</w:t>
            </w:r>
          </w:p>
        </w:tc>
        <w:tc>
          <w:tcPr>
            <w:tcW w:type="dxa" w:w="3135"/>
          </w:tcPr>
          <w:p>
            <w:r>
              <w:rPr>
                <w:rFonts w:ascii="Meiryo UI" w:hAnsi="Meiryo UI"/>
                <w:sz w:val="18"/>
              </w:rPr>
              <w:t>FY2025本決算短信・有報の精読</w:t>
            </w:r>
          </w:p>
        </w:tc>
        <w:tc>
          <w:tcPr>
            <w:tcW w:type="dxa" w:w="3135"/>
          </w:tcPr>
          <w:p>
            <w:r>
              <w:rPr>
                <w:rFonts w:ascii="Meiryo UI" w:hAnsi="Meiryo UI"/>
                <w:sz w:val="18"/>
              </w:rPr>
              <w:t>数値確定・当社推計との差異検証</w:t>
            </w:r>
          </w:p>
        </w:tc>
      </w:tr>
      <w:tr>
        <w:tc>
          <w:tcPr>
            <w:tcW w:type="dxa" w:w="3135"/>
            <w:shd w:val="clear" w:color="auto" w:fill="DDEBF7"/>
          </w:tcPr>
          <w:p>
            <w:r>
              <w:rPr>
                <w:rFonts w:ascii="Meiryo UI" w:hAnsi="Meiryo UI"/>
                <w:sz w:val="18"/>
              </w:rPr>
              <w:t>2026年7〜8月</w:t>
            </w:r>
          </w:p>
        </w:tc>
        <w:tc>
          <w:tcPr>
            <w:tcW w:type="dxa" w:w="3135"/>
            <w:shd w:val="clear" w:color="auto" w:fill="DDEBF7"/>
          </w:tcPr>
          <w:p>
            <w:r>
              <w:rPr>
                <w:rFonts w:ascii="Meiryo UI" w:hAnsi="Meiryo UI"/>
                <w:sz w:val="18"/>
              </w:rPr>
              <w:t>FY2026 Q1決算（中間期進捗）</w:t>
            </w:r>
          </w:p>
        </w:tc>
        <w:tc>
          <w:tcPr>
            <w:tcW w:type="dxa" w:w="3135"/>
            <w:shd w:val="clear" w:color="auto" w:fill="DDEBF7"/>
          </w:tcPr>
          <w:p>
            <w:r>
              <w:rPr>
                <w:rFonts w:ascii="Meiryo UI" w:hAnsi="Meiryo UI"/>
                <w:sz w:val="18"/>
              </w:rPr>
              <w:t>エントリー判断のトリガー</w:t>
            </w:r>
          </w:p>
        </w:tc>
      </w:tr>
      <w:tr>
        <w:tc>
          <w:tcPr>
            <w:tcW w:type="dxa" w:w="3135"/>
          </w:tcPr>
          <w:p>
            <w:r>
              <w:rPr>
                <w:rFonts w:ascii="Meiryo UI" w:hAnsi="Meiryo UI"/>
                <w:sz w:val="18"/>
              </w:rPr>
              <w:t>2026年11月</w:t>
            </w:r>
          </w:p>
        </w:tc>
        <w:tc>
          <w:tcPr>
            <w:tcW w:type="dxa" w:w="3135"/>
          </w:tcPr>
          <w:p>
            <w:r>
              <w:rPr>
                <w:rFonts w:ascii="Meiryo UI" w:hAnsi="Meiryo UI"/>
                <w:sz w:val="18"/>
              </w:rPr>
              <w:t>FY2026本決算</w:t>
            </w:r>
          </w:p>
        </w:tc>
        <w:tc>
          <w:tcPr>
            <w:tcW w:type="dxa" w:w="3135"/>
          </w:tcPr>
          <w:p>
            <w:r>
              <w:rPr>
                <w:rFonts w:ascii="Meiryo UI" w:hAnsi="Meiryo UI"/>
                <w:sz w:val="18"/>
              </w:rPr>
              <w:t>最終バリュエーション更新</w:t>
            </w:r>
          </w:p>
        </w:tc>
      </w:tr>
    </w:tbl>
    <w:p/>
    <w:p>
      <w:r>
        <w:t>──────────────────────────────────────────────────</w:t>
      </w:r>
    </w:p>
    <w:p/>
    <w:p>
      <w:pPr>
        <w:pStyle w:val="Heading2"/>
      </w:pPr>
      <w:r>
        <w:rPr>
          <w:rFonts w:ascii="Meiryo UI" w:hAnsi="Meiryo UI"/>
          <w:color w:val="2E74B5"/>
        </w:rPr>
        <w:t>9. 金利感応度分析（Sensitivity Analysis）</w:t>
      </w:r>
    </w:p>
    <w:p/>
    <w:p>
      <w:r>
        <w:rPr>
          <w:rFonts w:ascii="Meiryo UI" w:hAnsi="Meiryo UI"/>
          <w:sz w:val="20"/>
        </w:rPr>
        <w:t>ベース前提： WACC基本値5.78%（Rf=2.423%、β=0.85、ERP=5.5%）、理論株価基本ケース¥620</w:t>
      </w:r>
    </w:p>
    <w:p/>
    <w:p>
      <w:pPr>
        <w:pStyle w:val="Heading3"/>
      </w:pPr>
      <w:r>
        <w:rPr>
          <w:rFonts w:ascii="Meiryo UI" w:hAnsi="Meiryo UI"/>
          <w:color w:val="2E74B5"/>
        </w:rPr>
        <w:t>テーブル：Rf変動 × 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 Rf+β×ERP (%)</w:t>
            </w:r>
          </w:p>
        </w:tc>
        <w:tc>
          <w:tcPr>
            <w:tcW w:type="dxa" w:w="1568"/>
            <w:shd w:val="clear" w:color="auto" w:fill="2E74B5"/>
          </w:tcPr>
          <w:p>
            <w:r>
              <w:rPr>
                <w:rFonts w:ascii="Meiryo UI" w:hAnsi="Meiryo UI"/>
                <w:b/>
                <w:color w:val="FFFFFF"/>
                <w:sz w:val="18"/>
              </w:rPr>
              <w:t>WACC (%)</w:t>
            </w:r>
          </w:p>
        </w:tc>
        <w:tc>
          <w:tcPr>
            <w:tcW w:type="dxa" w:w="1568"/>
            <w:shd w:val="clear" w:color="auto" w:fill="2E74B5"/>
          </w:tcPr>
          <w:p>
            <w:r>
              <w:rPr>
                <w:rFonts w:ascii="Meiryo UI" w:hAnsi="Meiryo UI"/>
                <w:b/>
                <w:color w:val="FFFFFF"/>
                <w:sz w:val="18"/>
              </w:rPr>
              <w:t>理論株価（DCF・JPY）</w:t>
            </w:r>
          </w:p>
        </w:tc>
        <w:tc>
          <w:tcPr>
            <w:tcW w:type="dxa" w:w="1568"/>
            <w:shd w:val="clear" w:color="auto" w:fill="2E74B5"/>
          </w:tcPr>
          <w:p>
            <w:r>
              <w:rPr>
                <w:rFonts w:ascii="Meiryo UI" w:hAnsi="Meiryo UI"/>
                <w:b/>
                <w:color w:val="FFFFFF"/>
                <w:sz w:val="18"/>
              </w:rPr>
              <w:t>現在値¥711比乖離率</w:t>
            </w:r>
          </w:p>
        </w:tc>
      </w:tr>
      <w:tr>
        <w:tc>
          <w:tcPr>
            <w:tcW w:type="dxa" w:w="1568"/>
          </w:tcPr>
          <w:p>
            <w:r>
              <w:rPr>
                <w:rFonts w:ascii="Meiryo UI" w:hAnsi="Meiryo UI"/>
                <w:sz w:val="18"/>
              </w:rPr>
              <w:t>Rf -1.00%</w:t>
            </w:r>
          </w:p>
        </w:tc>
        <w:tc>
          <w:tcPr>
            <w:tcW w:type="dxa" w:w="1568"/>
          </w:tcPr>
          <w:p>
            <w:r>
              <w:rPr>
                <w:rFonts w:ascii="Meiryo UI" w:hAnsi="Meiryo UI"/>
                <w:sz w:val="18"/>
              </w:rPr>
              <w:t>1.423%</w:t>
            </w:r>
          </w:p>
        </w:tc>
        <w:tc>
          <w:tcPr>
            <w:tcW w:type="dxa" w:w="1568"/>
          </w:tcPr>
          <w:p>
            <w:r>
              <w:rPr>
                <w:rFonts w:ascii="Meiryo UI" w:hAnsi="Meiryo UI"/>
                <w:sz w:val="18"/>
              </w:rPr>
              <w:t>6.10%</w:t>
            </w:r>
          </w:p>
        </w:tc>
        <w:tc>
          <w:tcPr>
            <w:tcW w:type="dxa" w:w="1568"/>
          </w:tcPr>
          <w:p>
            <w:r>
              <w:rPr>
                <w:rFonts w:ascii="Meiryo UI" w:hAnsi="Meiryo UI"/>
                <w:sz w:val="18"/>
              </w:rPr>
              <w:t>4.90%</w:t>
            </w:r>
          </w:p>
        </w:tc>
        <w:tc>
          <w:tcPr>
            <w:tcW w:type="dxa" w:w="1568"/>
          </w:tcPr>
          <w:p>
            <w:r>
              <w:rPr>
                <w:rFonts w:ascii="Meiryo UI" w:hAnsi="Meiryo UI"/>
                <w:sz w:val="18"/>
              </w:rPr>
              <w:t>¥760</w:t>
            </w:r>
          </w:p>
        </w:tc>
        <w:tc>
          <w:tcPr>
            <w:tcW w:type="dxa" w:w="1568"/>
          </w:tcPr>
          <w:p>
            <w:r>
              <w:rPr>
                <w:rFonts w:ascii="Meiryo UI" w:hAnsi="Meiryo UI"/>
                <w:sz w:val="18"/>
              </w:rPr>
              <w:t>+6.9%（上値あり）</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1.923%</w:t>
            </w:r>
          </w:p>
        </w:tc>
        <w:tc>
          <w:tcPr>
            <w:tcW w:type="dxa" w:w="1568"/>
            <w:shd w:val="clear" w:color="auto" w:fill="DDEBF7"/>
          </w:tcPr>
          <w:p>
            <w:r>
              <w:rPr>
                <w:rFonts w:ascii="Meiryo UI" w:hAnsi="Meiryo UI"/>
                <w:sz w:val="18"/>
              </w:rPr>
              <w:t>6.52%</w:t>
            </w:r>
          </w:p>
        </w:tc>
        <w:tc>
          <w:tcPr>
            <w:tcW w:type="dxa" w:w="1568"/>
            <w:shd w:val="clear" w:color="auto" w:fill="DDEBF7"/>
          </w:tcPr>
          <w:p>
            <w:r>
              <w:rPr>
                <w:rFonts w:ascii="Meiryo UI" w:hAnsi="Meiryo UI"/>
                <w:sz w:val="18"/>
              </w:rPr>
              <w:t>5.30%</w:t>
            </w:r>
          </w:p>
        </w:tc>
        <w:tc>
          <w:tcPr>
            <w:tcW w:type="dxa" w:w="1568"/>
            <w:shd w:val="clear" w:color="auto" w:fill="DDEBF7"/>
          </w:tcPr>
          <w:p>
            <w:r>
              <w:rPr>
                <w:rFonts w:ascii="Meiryo UI" w:hAnsi="Meiryo UI"/>
                <w:sz w:val="18"/>
              </w:rPr>
              <w:t>¥700</w:t>
            </w:r>
          </w:p>
        </w:tc>
        <w:tc>
          <w:tcPr>
            <w:tcW w:type="dxa" w:w="1568"/>
            <w:shd w:val="clear" w:color="auto" w:fill="DDEBF7"/>
          </w:tcPr>
          <w:p>
            <w:r>
              <w:rPr>
                <w:rFonts w:ascii="Meiryo UI" w:hAnsi="Meiryo UI"/>
                <w:sz w:val="18"/>
              </w:rPr>
              <w:t>▲1.5%（ほぼ均衡）</w:t>
            </w:r>
          </w:p>
        </w:tc>
      </w:tr>
      <w:tr>
        <w:tc>
          <w:tcPr>
            <w:tcW w:type="dxa" w:w="1568"/>
          </w:tcPr>
          <w:p>
            <w:r>
              <w:rPr>
                <w:rFonts w:ascii="Meiryo UI" w:hAnsi="Meiryo UI"/>
                <w:sz w:val="18"/>
              </w:rPr>
              <w:t>Rf -0.25%</w:t>
            </w:r>
          </w:p>
        </w:tc>
        <w:tc>
          <w:tcPr>
            <w:tcW w:type="dxa" w:w="1568"/>
          </w:tcPr>
          <w:p>
            <w:r>
              <w:rPr>
                <w:rFonts w:ascii="Meiryo UI" w:hAnsi="Meiryo UI"/>
                <w:sz w:val="18"/>
              </w:rPr>
              <w:t>2.173%</w:t>
            </w:r>
          </w:p>
        </w:tc>
        <w:tc>
          <w:tcPr>
            <w:tcW w:type="dxa" w:w="1568"/>
          </w:tcPr>
          <w:p>
            <w:r>
              <w:rPr>
                <w:rFonts w:ascii="Meiryo UI" w:hAnsi="Meiryo UI"/>
                <w:sz w:val="18"/>
              </w:rPr>
              <w:t>6.81%</w:t>
            </w:r>
          </w:p>
        </w:tc>
        <w:tc>
          <w:tcPr>
            <w:tcW w:type="dxa" w:w="1568"/>
          </w:tcPr>
          <w:p>
            <w:r>
              <w:rPr>
                <w:rFonts w:ascii="Meiryo UI" w:hAnsi="Meiryo UI"/>
                <w:sz w:val="18"/>
              </w:rPr>
              <w:t>5.55%</w:t>
            </w:r>
          </w:p>
        </w:tc>
        <w:tc>
          <w:tcPr>
            <w:tcW w:type="dxa" w:w="1568"/>
          </w:tcPr>
          <w:p>
            <w:r>
              <w:rPr>
                <w:rFonts w:ascii="Meiryo UI" w:hAnsi="Meiryo UI"/>
                <w:sz w:val="18"/>
              </w:rPr>
              <w:t>¥660</w:t>
            </w:r>
          </w:p>
        </w:tc>
        <w:tc>
          <w:tcPr>
            <w:tcW w:type="dxa" w:w="1568"/>
          </w:tcPr>
          <w:p>
            <w:r>
              <w:rPr>
                <w:rFonts w:ascii="Meiryo UI" w:hAnsi="Meiryo UI"/>
                <w:sz w:val="18"/>
              </w:rPr>
              <w:t>▲7.2%（やや割高）</w:t>
            </w:r>
          </w:p>
        </w:tc>
      </w:tr>
      <w:tr>
        <w:tc>
          <w:tcPr>
            <w:tcW w:type="dxa" w:w="1568"/>
            <w:shd w:val="clear" w:color="auto" w:fill="DDEBF7"/>
          </w:tcPr>
          <w:p>
            <w:r>
              <w:rPr>
                <w:rFonts w:ascii="Meiryo UI" w:hAnsi="Meiryo UI"/>
                <w:sz w:val="18"/>
              </w:rPr>
              <w:t>Rf 現状（ベース）</w:t>
            </w:r>
          </w:p>
        </w:tc>
        <w:tc>
          <w:tcPr>
            <w:tcW w:type="dxa" w:w="1568"/>
            <w:shd w:val="clear" w:color="auto" w:fill="DDEBF7"/>
          </w:tcPr>
          <w:p>
            <w:r>
              <w:rPr>
                <w:rFonts w:ascii="Meiryo UI" w:hAnsi="Meiryo UI"/>
                <w:sz w:val="18"/>
              </w:rPr>
              <w:t>2.423%</w:t>
            </w:r>
          </w:p>
        </w:tc>
        <w:tc>
          <w:tcPr>
            <w:tcW w:type="dxa" w:w="1568"/>
            <w:shd w:val="clear" w:color="auto" w:fill="DDEBF7"/>
          </w:tcPr>
          <w:p>
            <w:r>
              <w:rPr>
                <w:rFonts w:ascii="Meiryo UI" w:hAnsi="Meiryo UI"/>
                <w:sz w:val="18"/>
              </w:rPr>
              <w:t>7.10%</w:t>
            </w:r>
          </w:p>
        </w:tc>
        <w:tc>
          <w:tcPr>
            <w:tcW w:type="dxa" w:w="1568"/>
            <w:shd w:val="clear" w:color="auto" w:fill="DDEBF7"/>
          </w:tcPr>
          <w:p>
            <w:r>
              <w:rPr>
                <w:rFonts w:ascii="Meiryo UI" w:hAnsi="Meiryo UI"/>
                <w:sz w:val="18"/>
              </w:rPr>
              <w:t>5.78%</w:t>
            </w:r>
          </w:p>
        </w:tc>
        <w:tc>
          <w:tcPr>
            <w:tcW w:type="dxa" w:w="1568"/>
            <w:shd w:val="clear" w:color="auto" w:fill="DDEBF7"/>
          </w:tcPr>
          <w:p>
            <w:r>
              <w:rPr>
                <w:rFonts w:ascii="Meiryo UI" w:hAnsi="Meiryo UI"/>
                <w:sz w:val="18"/>
              </w:rPr>
              <w:t>¥620</w:t>
            </w:r>
          </w:p>
        </w:tc>
        <w:tc>
          <w:tcPr>
            <w:tcW w:type="dxa" w:w="1568"/>
            <w:shd w:val="clear" w:color="auto" w:fill="DDEBF7"/>
          </w:tcPr>
          <w:p>
            <w:r>
              <w:rPr>
                <w:rFonts w:ascii="Meiryo UI" w:hAnsi="Meiryo UI"/>
                <w:sz w:val="18"/>
              </w:rPr>
              <w:t>▲12.8%（割高）</w:t>
            </w:r>
          </w:p>
        </w:tc>
      </w:tr>
      <w:tr>
        <w:tc>
          <w:tcPr>
            <w:tcW w:type="dxa" w:w="1568"/>
          </w:tcPr>
          <w:p>
            <w:r>
              <w:rPr>
                <w:rFonts w:ascii="Meiryo UI" w:hAnsi="Meiryo UI"/>
                <w:sz w:val="18"/>
              </w:rPr>
              <w:t>Rf +0.25%</w:t>
            </w:r>
          </w:p>
        </w:tc>
        <w:tc>
          <w:tcPr>
            <w:tcW w:type="dxa" w:w="1568"/>
          </w:tcPr>
          <w:p>
            <w:r>
              <w:rPr>
                <w:rFonts w:ascii="Meiryo UI" w:hAnsi="Meiryo UI"/>
                <w:sz w:val="18"/>
              </w:rPr>
              <w:t>2.673%</w:t>
            </w:r>
          </w:p>
        </w:tc>
        <w:tc>
          <w:tcPr>
            <w:tcW w:type="dxa" w:w="1568"/>
          </w:tcPr>
          <w:p>
            <w:r>
              <w:rPr>
                <w:rFonts w:ascii="Meiryo UI" w:hAnsi="Meiryo UI"/>
                <w:sz w:val="18"/>
              </w:rPr>
              <w:t>7.31%</w:t>
            </w:r>
          </w:p>
        </w:tc>
        <w:tc>
          <w:tcPr>
            <w:tcW w:type="dxa" w:w="1568"/>
          </w:tcPr>
          <w:p>
            <w:r>
              <w:rPr>
                <w:rFonts w:ascii="Meiryo UI" w:hAnsi="Meiryo UI"/>
                <w:sz w:val="18"/>
              </w:rPr>
              <w:t>5.97%</w:t>
            </w:r>
          </w:p>
        </w:tc>
        <w:tc>
          <w:tcPr>
            <w:tcW w:type="dxa" w:w="1568"/>
          </w:tcPr>
          <w:p>
            <w:r>
              <w:rPr>
                <w:rFonts w:ascii="Meiryo UI" w:hAnsi="Meiryo UI"/>
                <w:sz w:val="18"/>
              </w:rPr>
              <w:t>¥580</w:t>
            </w:r>
          </w:p>
        </w:tc>
        <w:tc>
          <w:tcPr>
            <w:tcW w:type="dxa" w:w="1568"/>
          </w:tcPr>
          <w:p>
            <w:r>
              <w:rPr>
                <w:rFonts w:ascii="Meiryo UI" w:hAnsi="Meiryo UI"/>
                <w:sz w:val="18"/>
              </w:rPr>
              <w:t>▲18.4%（割高）</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2.923%</w:t>
            </w:r>
          </w:p>
        </w:tc>
        <w:tc>
          <w:tcPr>
            <w:tcW w:type="dxa" w:w="1568"/>
            <w:shd w:val="clear" w:color="auto" w:fill="DDEBF7"/>
          </w:tcPr>
          <w:p>
            <w:r>
              <w:rPr>
                <w:rFonts w:ascii="Meiryo UI" w:hAnsi="Meiryo UI"/>
                <w:sz w:val="18"/>
              </w:rPr>
              <w:t>7.52%</w:t>
            </w:r>
          </w:p>
        </w:tc>
        <w:tc>
          <w:tcPr>
            <w:tcW w:type="dxa" w:w="1568"/>
            <w:shd w:val="clear" w:color="auto" w:fill="DDEBF7"/>
          </w:tcPr>
          <w:p>
            <w:r>
              <w:rPr>
                <w:rFonts w:ascii="Meiryo UI" w:hAnsi="Meiryo UI"/>
                <w:sz w:val="18"/>
              </w:rPr>
              <w:t>6.17%</w:t>
            </w:r>
          </w:p>
        </w:tc>
        <w:tc>
          <w:tcPr>
            <w:tcW w:type="dxa" w:w="1568"/>
            <w:shd w:val="clear" w:color="auto" w:fill="DDEBF7"/>
          </w:tcPr>
          <w:p>
            <w:r>
              <w:rPr>
                <w:rFonts w:ascii="Meiryo UI" w:hAnsi="Meiryo UI"/>
                <w:sz w:val="18"/>
              </w:rPr>
              <w:t>¥545</w:t>
            </w:r>
          </w:p>
        </w:tc>
        <w:tc>
          <w:tcPr>
            <w:tcW w:type="dxa" w:w="1568"/>
            <w:shd w:val="clear" w:color="auto" w:fill="DDEBF7"/>
          </w:tcPr>
          <w:p>
            <w:r>
              <w:rPr>
                <w:rFonts w:ascii="Meiryo UI" w:hAnsi="Meiryo UI"/>
                <w:sz w:val="18"/>
              </w:rPr>
              <w:t>▲23.3%（明確な割高）</w:t>
            </w:r>
          </w:p>
        </w:tc>
      </w:tr>
      <w:tr>
        <w:tc>
          <w:tcPr>
            <w:tcW w:type="dxa" w:w="1568"/>
          </w:tcPr>
          <w:p>
            <w:r>
              <w:rPr>
                <w:rFonts w:ascii="Meiryo UI" w:hAnsi="Meiryo UI"/>
                <w:sz w:val="18"/>
              </w:rPr>
              <w:t>Rf +1.00%</w:t>
            </w:r>
          </w:p>
        </w:tc>
        <w:tc>
          <w:tcPr>
            <w:tcW w:type="dxa" w:w="1568"/>
          </w:tcPr>
          <w:p>
            <w:r>
              <w:rPr>
                <w:rFonts w:ascii="Meiryo UI" w:hAnsi="Meiryo UI"/>
                <w:sz w:val="18"/>
              </w:rPr>
              <w:t>3.423%</w:t>
            </w:r>
          </w:p>
        </w:tc>
        <w:tc>
          <w:tcPr>
            <w:tcW w:type="dxa" w:w="1568"/>
          </w:tcPr>
          <w:p>
            <w:r>
              <w:rPr>
                <w:rFonts w:ascii="Meiryo UI" w:hAnsi="Meiryo UI"/>
                <w:sz w:val="18"/>
              </w:rPr>
              <w:t>7.95%</w:t>
            </w:r>
          </w:p>
        </w:tc>
        <w:tc>
          <w:tcPr>
            <w:tcW w:type="dxa" w:w="1568"/>
          </w:tcPr>
          <w:p>
            <w:r>
              <w:rPr>
                <w:rFonts w:ascii="Meiryo UI" w:hAnsi="Meiryo UI"/>
                <w:sz w:val="18"/>
              </w:rPr>
              <w:t>6.55%</w:t>
            </w:r>
          </w:p>
        </w:tc>
        <w:tc>
          <w:tcPr>
            <w:tcW w:type="dxa" w:w="1568"/>
          </w:tcPr>
          <w:p>
            <w:r>
              <w:rPr>
                <w:rFonts w:ascii="Meiryo UI" w:hAnsi="Meiryo UI"/>
                <w:sz w:val="18"/>
              </w:rPr>
              <w:t>¥480</w:t>
            </w:r>
          </w:p>
        </w:tc>
        <w:tc>
          <w:tcPr>
            <w:tcW w:type="dxa" w:w="1568"/>
          </w:tcPr>
          <w:p>
            <w:r>
              <w:rPr>
                <w:rFonts w:ascii="Meiryo UI" w:hAnsi="Meiryo UI"/>
                <w:sz w:val="18"/>
              </w:rPr>
              <w:t>▲32.5%（危険水域）</w:t>
            </w:r>
          </w:p>
        </w:tc>
      </w:tr>
    </w:tbl>
    <w:p/>
    <w:p>
      <w:pPr>
        <w:pStyle w:val="Heading3"/>
      </w:pPr>
      <w:r>
        <w:rPr>
          <w:rFonts w:ascii="Meiryo UI" w:hAnsi="Meiryo UI"/>
          <w:color w:val="2E74B5"/>
        </w:rPr>
        <w:t>感応度分析インサイト</w:t>
      </w:r>
    </w:p>
    <w:p/>
    <w:p>
      <w:pPr>
        <w:shd w:val="clear" w:color="auto" w:fill="F2F2F2"/>
      </w:pPr>
      <w:r>
        <w:rPr>
          <w:rFonts w:ascii="Courier New" w:hAnsi="Courier New"/>
          <w:sz w:val="16"/>
        </w:rPr>
        <w:t>📊 金利感応度の解釈：</w:t>
        <w:br/>
        <w:br/>
        <w:t>1. 日銀が金利を据え置く（Rf横ばい）：</w:t>
        <w:br/>
        <w:t xml:space="preserve">   → 理論株価¥620、現在値¥711は依然割高。</w:t>
        <w:br/>
        <w:t xml:space="preserve">   </w:t>
        <w:br/>
        <w:t>2. 日銀が追加利上げ+0.50%（Rf→2.92%）：</w:t>
        <w:br/>
        <w:t xml:space="preserve">   → 理論株価¥545まで下落、現在値との乖離▲23%。</w:t>
        <w:br/>
        <w:t xml:space="preserve">   → 外食小型株はダブルパンチ（バリュエーション圧縮+コスト増）</w:t>
        <w:br/>
        <w:t xml:space="preserve">   </w:t>
        <w:br/>
        <w:t>3. 日銀が利下げ/緩和再開（Rf→1.42%）：</w:t>
        <w:br/>
        <w:t xml:space="preserve">   → 理論株価¥760、現在値¥711を超える水準。</w:t>
        <w:br/>
        <w:t xml:space="preserve">   → このシナリオのみ「今の株価は正当化できる」</w:t>
        <w:br/>
        <w:t xml:space="preserve">   </w:t>
        <w:br/>
        <w:t>4. 最重要リスク：</w:t>
        <w:br/>
        <w:t xml:space="preserve">   → 日銀追加利上げ（2026年中に+0.50〜+0.75%の可能性）は</w:t>
        <w:br/>
        <w:t xml:space="preserve">     串カツ田中の株価に直撃リスク。</w:t>
        <w:br/>
        <w:t xml:space="preserve">     Rf+0.50%シナリオで理論株価¥545 = 現在値から▲23%。</w:t>
      </w:r>
    </w:p>
    <w:p/>
    <w:p>
      <w:r>
        <w:t>──────────────────────────────────────────────────</w:t>
      </w:r>
    </w:p>
    <w:p/>
    <w:p>
      <w:pPr>
        <w:pStyle w:val="Heading2"/>
      </w:pPr>
      <w:r>
        <w:rPr>
          <w:rFonts w:ascii="Meiryo UI" w:hAnsi="Meiryo UI"/>
          <w:color w:val="2E74B5"/>
        </w:rPr>
        <w:t>補論：ROE-PBRフレームワークによるチェック</w:t>
      </w:r>
    </w:p>
    <w:p/>
    <w:p>
      <w:r>
        <w:rPr>
          <w:rFonts w:ascii="Meiryo UI" w:hAnsi="Meiryo UI"/>
          <w:sz w:val="20"/>
        </w:rPr>
        <w:t>理論的適正PBR = ROE ÷ 株主資本コスト（Re）</w:t>
      </w:r>
    </w:p>
    <w:p/>
    <w:p>
      <w:pPr>
        <w:shd w:val="clear" w:color="auto" w:fill="F2F2F2"/>
      </w:pPr>
      <w:r>
        <w:rPr>
          <w:rFonts w:ascii="Courier New" w:hAnsi="Courier New"/>
          <w:sz w:val="16"/>
        </w:rPr>
        <w:t>ROE（確定値）= 12.7%</w:t>
        <w:br/>
        <w:t>Re（計算値） = 7.10%</w:t>
        <w:br/>
        <w:br/>
        <w:t>理論的適正PBR = 12.7% ÷ 7.10% = 1.79倍</w:t>
        <w:br/>
        <w:br/>
        <w:t>現実のPBR（確定値） = 6.90倍</w:t>
        <w:br/>
        <w:br/>
        <w:t>乖離率 = 6.90 ÷ 1.79 = 3.86倍のオーバーバリュー</w:t>
      </w:r>
    </w:p>
    <w:p/>
    <w:p>
      <w:r>
        <w:rPr>
          <w:rFonts w:ascii="Meiryo UI" w:hAnsi="Meiryo UI"/>
          <w:sz w:val="20"/>
        </w:rPr>
        <w:t>&gt; この乖離の意味： 市場は「ROEが現在の12.7%から将来的に大幅に上昇する（20〜30%超）」または「成長オプション価値が巨大」と見込んでいる。しかし、外食チェーンの業態特性上、ROEが20%超に持続的に達する可能性は低い。PBR6.9倍は構造的に正当化困難。</w:t>
      </w:r>
    </w:p>
    <w:p/>
    <w:p>
      <w:r>
        <w:t>──────────────────────────────────────────────────</w:t>
      </w:r>
    </w:p>
    <w:p/>
    <w:p>
      <w:pPr>
        <w:pStyle w:val="Heading2"/>
      </w:pPr>
      <w:r>
        <w:rPr>
          <w:rFonts w:ascii="Meiryo UI" w:hAnsi="Meiryo UI"/>
          <w:color w:val="2E74B5"/>
        </w:rPr>
        <w:t>深井総括コメント</w:t>
      </w:r>
    </w:p>
    <w:p/>
    <w:p>
      <w:pPr>
        <w:shd w:val="clear" w:color="auto" w:fill="F2F2F2"/>
      </w:pPr>
      <w:r>
        <w:rPr>
          <w:rFonts w:ascii="Courier New" w:hAnsi="Courier New"/>
          <w:sz w:val="16"/>
        </w:rPr>
        <w:t>━━━━━━━━━━━━━━━━━━━━━━━━━━━━━━━━━━━━━</w:t>
        <w:br/>
        <w:br/>
        <w:t>【深井の結論】</w:t>
        <w:br/>
        <w:br/>
        <w:t>串カツ田中HDの事業は「良い事業」だ。</w:t>
        <w:br/>
        <w:t>ブランド力、FC化戦略、インバウンド享受、出店モメンタム——</w:t>
        <w:br/>
        <w:t>方向性は正しく、決算も増収増益で問題ない。</w:t>
        <w:br/>
        <w:br/>
        <w:t>しかし「良い事業」と「良い株」は別物だ。</w:t>
        <w:br/>
        <w:br/>
        <w:t>PER64倍・PBR6.9倍という現在のバリュエーションは、</w:t>
        <w:br/>
        <w:t>外食チェーンが正当に支払う水準を2〜3倍超過している。</w:t>
        <w:br/>
        <w:br/>
        <w:t>これを正当化するには：</w:t>
        <w:br/>
        <w:t>✅ EPS年率25%以上の持続的成長（5年以上）</w:t>
        <w:br/>
        <w:t>✅ ROEの20%超への持続的上昇</w:t>
        <w:br/>
        <w:t>✅ 日銀が利上げしないマクロ環境</w:t>
        <w:br/>
        <w:br/>
        <w:t>どれか一つでも崩れれば、株価は¥500〜¥550まで</w:t>
        <w:br/>
        <w:t>容赦なく修正される。</w:t>
        <w:br/>
        <w:br/>
        <w:t>今すぐ¥711で買う理由がない。</w:t>
        <w:br/>
        <w:t>¥620以下で、かつFY2026の成長確認後——</w:t>
        <w:br/>
        <w:t>それが唯一の合理的エントリータイミングだ。</w:t>
        <w:br/>
        <w:br/>
        <w:t>Rating: 【中立（Neutral）】</w:t>
        <w:br/>
        <w:t>理論株価（基本ケース）: ¥580〜¥680（中央値¥620）</w:t>
        <w:br/>
        <w:t>損切りライン（万一エントリーした場合）: ¥570</w:t>
        <w:br/>
        <w:br/>
        <w:t>━━━━━━━━━━━━━━━━━━━━━━━━━━━━━━━━━━━━━</w:t>
      </w:r>
    </w:p>
    <w:p/>
    <w:p>
      <w:r>
        <w:t>──────────────────────────────────────────────────</w:t>
      </w:r>
    </w:p>
    <w:p/>
    <w:p>
      <w:r>
        <w:rPr>
          <w:rFonts w:ascii="Meiryo UI" w:hAnsi="Meiryo UI"/>
          <w:sz w:val="20"/>
        </w:rPr>
        <w:t xml:space="preserve">【免責事項】  </w:t>
      </w:r>
    </w:p>
    <w:p>
      <w:r>
        <w:rPr>
          <w:rFonts w:ascii="Meiryo UI" w:hAnsi="Meiryo UI"/>
          <w:sz w:val="20"/>
        </w:rPr>
        <w:t xml:space="preserve">本レポートは竹村トレードカンパニー内部使用目的で作成。一部数値（★マーク）は公開情報からの推計を含む。現在株価¥711・PBR6.90倍・BPS¥103・ROE12.7%・PER64.1倍・EPS¥11はYahoo Finance（2026-04-15 11:44 JST）の確定値を使用。DCF計算は仮定に基づくものであり、実際の投資成果を保証しない。正式決算短信・有価証券報告書での数値確認を必ず実施すること。  </w:t>
      </w:r>
    </w:p>
    <w:p/>
    <w:p>
      <w:r>
        <w:rPr>
          <w:rFonts w:ascii="Meiryo UI" w:hAnsi="Meiryo UI"/>
          <w:sz w:val="20"/>
        </w:rPr>
        <w:t>作成：深井（竹村トレードカンパニー）/ 2026-04-15</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11:44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3387_串カツ田中ホール_BUY_DeepResearch_20260415.md を出力しました。</w:t>
      </w:r>
    </w:p>
    <w:p>
      <w:r>
        <w:rPr>
          <w:rFonts w:ascii="Meiryo UI" w:hAnsi="Meiryo UI"/>
          <w:sz w:val="20"/>
        </w:rPr>
        <w:t>浅井スコア +0 の銘柄 [3387]串カツ田中ホールディングス についてDeepResearch完了。</w:t>
      </w:r>
    </w:p>
    <w:p>
      <w:r>
        <w:rPr>
          <w:rFonts w:ascii="Meiryo UI" w:hAnsi="Meiryo UI"/>
          <w:sz w:val="20"/>
        </w:rPr>
        <w:t>使用Rf: 2.423%（取得: 2026-04-15 11:44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