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[3426] アトムリビンテック</w:t>
      </w:r>
    </w:p>
    <w:p/>
    <w:p/>
    <w:p>
      <w:pPr>
        <w:jc w:val="center"/>
      </w:pPr>
      <w:r>
        <w:rPr>
          <w:rFonts w:ascii="Meiryo UI" w:hAnsi="Meiryo UI"/>
          <w:sz w:val="24"/>
        </w:rPr>
        <w:t>アナリスト：深井</w:t>
      </w:r>
    </w:p>
    <w:p>
      <w:pPr>
        <w:jc w:val="center"/>
      </w:pPr>
      <w:r>
        <w:rPr>
          <w:rFonts w:ascii="Meiryo UI" w:hAnsi="Meiryo UI"/>
          <w:sz w:val="24"/>
        </w:rPr>
        <w:t>分析日：2026-04-15</w:t>
      </w:r>
    </w:p>
    <w:p>
      <w:r>
        <w:br w:type="page"/>
      </w:r>
    </w:p>
    <w:p>
      <w:pPr>
        <w:pStyle w:val="Heading1"/>
      </w:pPr>
      <w:r>
        <w:rPr>
          <w:rFonts w:ascii="Meiryo UI" w:hAnsi="Meiryo UI"/>
          <w:color w:val="1F3864"/>
        </w:rPr>
        <w:t>深井 DeepResearchレポート — [3426] アトムリビンテック</w:t>
      </w:r>
    </w:p>
    <w:p>
      <w:r>
        <w:rPr>
          <w:rFonts w:ascii="Meiryo UI" w:hAnsi="Meiryo UI"/>
          <w:sz w:val="20"/>
        </w:rPr>
        <w:t>作成日: 2026-04-15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アトムリビンテック（3426.T）Deep Research レポート</w:t>
      </w:r>
    </w:p>
    <w:p>
      <w:r>
        <w:rPr>
          <w:rFonts w:ascii="Meiryo UI" w:hAnsi="Meiryo UI"/>
          <w:sz w:val="20"/>
        </w:rPr>
        <w:t>担当アナリスト: 深井 / 竹村トレードカンパニー</w:t>
      </w:r>
    </w:p>
    <w:p>
      <w:r>
        <w:rPr>
          <w:rFonts w:ascii="Meiryo UI" w:hAnsi="Meiryo UI"/>
          <w:sz w:val="20"/>
        </w:rPr>
        <w:t>分析日: 2026-04-15</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 → 条件付き買い】 — PBR0.49倍の資産バリュー×住宅リフォーム構造増が魅力だが、ROE3.6%の低収益性とホルムズリスク起因のコスト不透明性が解消されるまで全力投資は待て</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¥1,300 ／ 理論株価（FV）¥1,580〜¥1,720 ／ 上値余地 +22〜+32%</w:t>
            </w:r>
          </w:p>
        </w:tc>
      </w:tr>
      <w:tr>
        <w:tc>
          <w:tcPr>
            <w:tcW w:type="dxa" w:w="4703"/>
          </w:tcPr>
          <w:p>
            <w:r>
              <w:rPr>
                <w:rFonts w:ascii="Meiryo UI" w:hAnsi="Meiryo UI"/>
                <w:sz w:val="18"/>
              </w:rPr>
              <w:t>主要カタリスト</w:t>
            </w:r>
          </w:p>
        </w:tc>
        <w:tc>
          <w:tcPr>
            <w:tcW w:type="dxa" w:w="4703"/>
          </w:tcPr>
          <w:p>
            <w:r>
              <w:rPr>
                <w:rFonts w:ascii="Meiryo UI" w:hAnsi="Meiryo UI"/>
                <w:sz w:val="18"/>
              </w:rPr>
              <w:t>①2026年5月期本決算（2026年7月予定）でリフォーム受注単価上昇と粗利改善確認　②中古住宅流通量拡大（国交省2025年統計累計+8%）×ストック型収益化加速　③PBR1倍回復要請（東証プライム基準強化）による自社株買い・増配等の資本政策発動</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ホルムズ海峡封鎖長期化による建材・設備機器（給湯器・ユニットバス等）のLNG/石油化学製品コスト転嫁遅れ→粗利率▲2〜3pt悪化シナリオ。加えてROE3.6%低迷が続く場合、DCF理論値は¥1,200台割れリスク</w:t>
            </w:r>
          </w:p>
        </w:tc>
      </w:tr>
      <w:tr>
        <w:tc>
          <w:tcPr>
            <w:tcW w:type="dxa" w:w="4703"/>
          </w:tcPr>
          <w:p>
            <w:r>
              <w:rPr>
                <w:rFonts w:ascii="Meiryo UI" w:hAnsi="Meiryo UI"/>
                <w:sz w:val="18"/>
              </w:rPr>
              <w:t>社長への推奨アクション</w:t>
            </w:r>
          </w:p>
        </w:tc>
        <w:tc>
          <w:tcPr>
            <w:tcW w:type="dxa" w:w="4703"/>
          </w:tcPr>
          <w:p>
            <w:r>
              <w:rPr>
                <w:rFonts w:ascii="Meiryo UI" w:hAnsi="Meiryo UI"/>
                <w:sz w:val="18"/>
              </w:rPr>
              <w:t>第1トランシェ¥1,280〜¥1,320で30%エントリー（現在値近辺で最低ロット確保）。残り70%は2026年7月本決算×粗利率改善確認後に追加。損切りライン：¥1,100（BPS¥2,657の41%→PBR0.41倍割れ＝ネットキャッシュバリュー毀損水準）</w:t>
            </w:r>
          </w:p>
        </w:tc>
      </w:tr>
    </w:tbl>
    <w:p/>
    <w:p>
      <w:r>
        <w:t>──────────────────────────────────────────────────</w:t>
      </w:r>
    </w:p>
    <w:p/>
    <w:p>
      <w:pPr>
        <w:pStyle w:val="Heading2"/>
      </w:pPr>
      <w:r>
        <w:rPr>
          <w:rFonts w:ascii="Meiryo UI" w:hAnsi="Meiryo UI"/>
          <w:color w:val="2E74B5"/>
        </w:rPr>
        <w:t>セクション0：損益の「毒」と「薬」＆QonQ変調分析</w:t>
      </w:r>
    </w:p>
    <w:p/>
    <w:p>
      <w:pPr>
        <w:pStyle w:val="Heading3"/>
      </w:pPr>
      <w:r>
        <w:rPr>
          <w:rFonts w:ascii="Meiryo UI" w:hAnsi="Meiryo UI"/>
          <w:color w:val="2E74B5"/>
        </w:rPr>
        <w:t>0-A. 損益の「毒」と「薬」の仕分け（Good/Bad分析）</w:t>
      </w:r>
    </w:p>
    <w:p/>
    <w:p>
      <w:r>
        <w:rPr>
          <w:rFonts w:ascii="Meiryo UI" w:hAnsi="Meiryo UI"/>
          <w:sz w:val="20"/>
        </w:rPr>
        <w:t>&gt; ⚠️ データ注記: アトムリビンテック（3426）は東証スタンダード上場の中小型株。四半期別詳細開示は限定的（本決算・中間決算のみ）。以下は直近公開決算（2025年5月期実績）および2026年5月期中間期（2025年11月）開示情報をベースに構築。</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住宅リフォーム・リノベ受注の構造増</w:t>
            </w:r>
          </w:p>
        </w:tc>
        <w:tc>
          <w:tcPr>
            <w:tcW w:type="dxa" w:w="1881"/>
          </w:tcPr>
          <w:p>
            <w:r>
              <w:rPr>
                <w:rFonts w:ascii="Meiryo UI" w:hAnsi="Meiryo UI"/>
                <w:sz w:val="18"/>
              </w:rPr>
              <w:t>売上高約¥150億規模（推計）、前期比+5〜8%成長トレンド</w:t>
            </w:r>
          </w:p>
        </w:tc>
        <w:tc>
          <w:tcPr>
            <w:tcW w:type="dxa" w:w="1881"/>
          </w:tcPr>
          <w:p>
            <w:r>
              <w:rPr>
                <w:rFonts w:ascii="Meiryo UI" w:hAnsi="Meiryo UI"/>
                <w:sz w:val="18"/>
              </w:rPr>
              <w:t>構造的</w:t>
            </w:r>
          </w:p>
        </w:tc>
        <w:tc>
          <w:tcPr>
            <w:tcW w:type="dxa" w:w="1881"/>
          </w:tcPr>
          <w:p>
            <w:r>
              <w:rPr>
                <w:rFonts w:ascii="Meiryo UI" w:hAnsi="Meiryo UI"/>
                <w:sz w:val="18"/>
              </w:rPr>
              <w:t>中古住宅ストック活用政策の追い風。国交省補助金（子育てエコホーム等）が実需を下支え</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PBR0.49倍の深い割安性→解散価値バッファ</w:t>
            </w:r>
          </w:p>
        </w:tc>
        <w:tc>
          <w:tcPr>
            <w:tcW w:type="dxa" w:w="1881"/>
            <w:shd w:val="clear" w:color="auto" w:fill="DDEBF7"/>
          </w:tcPr>
          <w:p>
            <w:r>
              <w:rPr>
                <w:rFonts w:ascii="Meiryo UI" w:hAnsi="Meiryo UI"/>
                <w:sz w:val="18"/>
              </w:rPr>
              <w:t>BPS¥2,657に対し株価¥1,300。純資産の半値以下で買える</w:t>
            </w:r>
          </w:p>
        </w:tc>
        <w:tc>
          <w:tcPr>
            <w:tcW w:type="dxa" w:w="1881"/>
            <w:shd w:val="clear" w:color="auto" w:fill="DDEBF7"/>
          </w:tcPr>
          <w:p>
            <w:r>
              <w:rPr>
                <w:rFonts w:ascii="Meiryo UI" w:hAnsi="Meiryo UI"/>
                <w:sz w:val="18"/>
              </w:rPr>
              <w:t>構造的（資産バリュー）</w:t>
            </w:r>
          </w:p>
        </w:tc>
        <w:tc>
          <w:tcPr>
            <w:tcW w:type="dxa" w:w="1881"/>
            <w:shd w:val="clear" w:color="auto" w:fill="DDEBF7"/>
          </w:tcPr>
          <w:p>
            <w:r>
              <w:rPr>
                <w:rFonts w:ascii="Meiryo UI" w:hAnsi="Meiryo UI"/>
                <w:sz w:val="18"/>
              </w:rPr>
              <w:t>清算しても今の株価より高い。東証の資本効率改善要請が自社株買い・増配のトリガーになりやすい</w:t>
            </w:r>
          </w:p>
        </w:tc>
      </w:tr>
      <w:tr>
        <w:tc>
          <w:tcPr>
            <w:tcW w:type="dxa" w:w="1881"/>
          </w:tcPr>
          <w:p>
            <w:r>
              <w:rPr>
                <w:rFonts w:ascii="Meiryo UI" w:hAnsi="Meiryo UI"/>
                <w:sz w:val="18"/>
              </w:rPr>
              <w:t>💊 薬（ポジティブ）</w:t>
            </w:r>
          </w:p>
        </w:tc>
        <w:tc>
          <w:tcPr>
            <w:tcW w:type="dxa" w:w="1881"/>
          </w:tcPr>
          <w:p>
            <w:r>
              <w:rPr>
                <w:rFonts w:ascii="Meiryo UI" w:hAnsi="Meiryo UI"/>
                <w:sz w:val="18"/>
              </w:rPr>
              <w:t>設備ストック老朽化による更新需要</w:t>
            </w:r>
          </w:p>
        </w:tc>
        <w:tc>
          <w:tcPr>
            <w:tcW w:type="dxa" w:w="1881"/>
          </w:tcPr>
          <w:p>
            <w:r>
              <w:rPr>
                <w:rFonts w:ascii="Meiryo UI" w:hAnsi="Meiryo UI"/>
                <w:sz w:val="18"/>
              </w:rPr>
              <w:t>給湯器・内装更新サイクル到来（築20〜30年物件集中）</w:t>
            </w:r>
          </w:p>
        </w:tc>
        <w:tc>
          <w:tcPr>
            <w:tcW w:type="dxa" w:w="1881"/>
          </w:tcPr>
          <w:p>
            <w:r>
              <w:rPr>
                <w:rFonts w:ascii="Meiryo UI" w:hAnsi="Meiryo UI"/>
                <w:sz w:val="18"/>
              </w:rPr>
              <w:t>構造的・長期</w:t>
            </w:r>
          </w:p>
        </w:tc>
        <w:tc>
          <w:tcPr>
            <w:tcW w:type="dxa" w:w="1881"/>
          </w:tcPr>
          <w:p>
            <w:r>
              <w:rPr>
                <w:rFonts w:ascii="Meiryo UI" w:hAnsi="Meiryo UI"/>
                <w:sz w:val="18"/>
              </w:rPr>
              <w:t>リフォーム需要は景気と切り離された「壊れたら直す」確実需要。不況でもボトムが守られやすい</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ROE3.6%の慢性的低収益性</w:t>
            </w:r>
          </w:p>
        </w:tc>
        <w:tc>
          <w:tcPr>
            <w:tcW w:type="dxa" w:w="1881"/>
            <w:shd w:val="clear" w:color="auto" w:fill="DDEBF7"/>
          </w:tcPr>
          <w:p>
            <w:r>
              <w:rPr>
                <w:rFonts w:ascii="Meiryo UI" w:hAnsi="Meiryo UI"/>
                <w:sz w:val="18"/>
              </w:rPr>
              <w:t>EPS¥95、ROE3.6%（資本コスト≒8〜9%を大幅下回る）</w:t>
            </w:r>
          </w:p>
        </w:tc>
        <w:tc>
          <w:tcPr>
            <w:tcW w:type="dxa" w:w="1881"/>
            <w:shd w:val="clear" w:color="auto" w:fill="DDEBF7"/>
          </w:tcPr>
          <w:p>
            <w:r>
              <w:rPr>
                <w:rFonts w:ascii="Meiryo UI" w:hAnsi="Meiryo UI"/>
                <w:sz w:val="18"/>
              </w:rPr>
              <w:t>構造的（要改善）</w:t>
            </w:r>
          </w:p>
        </w:tc>
        <w:tc>
          <w:tcPr>
            <w:tcW w:type="dxa" w:w="1881"/>
            <w:shd w:val="clear" w:color="auto" w:fill="DDEBF7"/>
          </w:tcPr>
          <w:p>
            <w:r>
              <w:rPr>
                <w:rFonts w:ascii="Meiryo UI" w:hAnsi="Meiryo UI"/>
                <w:sz w:val="18"/>
              </w:rPr>
              <w:t>純資産を積んでいるのに儲けが薄い。資本の使い方が非効率。東証要請への具体的応答がまだ見えない</w:t>
            </w:r>
          </w:p>
        </w:tc>
      </w:tr>
      <w:tr>
        <w:tc>
          <w:tcPr>
            <w:tcW w:type="dxa" w:w="1881"/>
          </w:tcPr>
          <w:p>
            <w:r>
              <w:rPr>
                <w:rFonts w:ascii="Meiryo UI" w:hAnsi="Meiryo UI"/>
                <w:sz w:val="18"/>
              </w:rPr>
              <w:t>☠️ 毒（ネガティブ）</w:t>
            </w:r>
          </w:p>
        </w:tc>
        <w:tc>
          <w:tcPr>
            <w:tcW w:type="dxa" w:w="1881"/>
          </w:tcPr>
          <w:p>
            <w:r>
              <w:rPr>
                <w:rFonts w:ascii="Meiryo UI" w:hAnsi="Meiryo UI"/>
                <w:sz w:val="18"/>
              </w:rPr>
              <w:t>建材・設備機器のコスト高騰リスク</w:t>
            </w:r>
          </w:p>
        </w:tc>
        <w:tc>
          <w:tcPr>
            <w:tcW w:type="dxa" w:w="1881"/>
          </w:tcPr>
          <w:p>
            <w:r>
              <w:rPr>
                <w:rFonts w:ascii="Meiryo UI" w:hAnsi="Meiryo UI"/>
                <w:sz w:val="18"/>
              </w:rPr>
              <w:t>石油化学製品（配管・断熱材等）＋輸送コスト上昇。原油WTI$90/bbl水準での調達コスト増</w:t>
            </w:r>
          </w:p>
        </w:tc>
        <w:tc>
          <w:tcPr>
            <w:tcW w:type="dxa" w:w="1881"/>
          </w:tcPr>
          <w:p>
            <w:r>
              <w:rPr>
                <w:rFonts w:ascii="Meiryo UI" w:hAnsi="Meiryo UI"/>
                <w:sz w:val="18"/>
              </w:rPr>
              <w:t>一過性〜構造的移行リスク</w:t>
            </w:r>
          </w:p>
        </w:tc>
        <w:tc>
          <w:tcPr>
            <w:tcW w:type="dxa" w:w="1881"/>
          </w:tcPr>
          <w:p>
            <w:r>
              <w:rPr>
                <w:rFonts w:ascii="Meiryo UI" w:hAnsi="Meiryo UI"/>
                <w:sz w:val="18"/>
              </w:rPr>
              <w:t>石油系建材の仕入れ価格が上がっても、工事単価への転嫁に3〜6ヶ月ラグがある。ホルムズ封鎖が長引けば構造的毒に変質</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人件費・職人不足による工事原価上昇</w:t>
            </w:r>
          </w:p>
        </w:tc>
        <w:tc>
          <w:tcPr>
            <w:tcW w:type="dxa" w:w="1881"/>
            <w:shd w:val="clear" w:color="auto" w:fill="DDEBF7"/>
          </w:tcPr>
          <w:p>
            <w:r>
              <w:rPr>
                <w:rFonts w:ascii="Meiryo UI" w:hAnsi="Meiryo UI"/>
                <w:sz w:val="18"/>
              </w:rPr>
              <w:t>建設業2024年問題以降、職人賃金+10〜15%トレンド</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外注費・職人コストは下がらない。売上が増えても利益率が追いつかないリスク</w:t>
            </w:r>
          </w:p>
        </w:tc>
      </w:tr>
      <w:tr>
        <w:tc>
          <w:tcPr>
            <w:tcW w:type="dxa" w:w="1881"/>
          </w:tcPr>
          <w:p>
            <w:r>
              <w:rPr>
                <w:rFonts w:ascii="Meiryo UI" w:hAnsi="Meiryo UI"/>
                <w:sz w:val="18"/>
              </w:rPr>
              <w:t>☠️ 毒（ネガティブ）</w:t>
            </w:r>
          </w:p>
        </w:tc>
        <w:tc>
          <w:tcPr>
            <w:tcW w:type="dxa" w:w="1881"/>
          </w:tcPr>
          <w:p>
            <w:r>
              <w:rPr>
                <w:rFonts w:ascii="Meiryo UI" w:hAnsi="Meiryo UI"/>
                <w:sz w:val="18"/>
              </w:rPr>
              <w:t>情報開示の薄さ（中小型・スタンダード市場）</w:t>
            </w:r>
          </w:p>
        </w:tc>
        <w:tc>
          <w:tcPr>
            <w:tcW w:type="dxa" w:w="1881"/>
          </w:tcPr>
          <w:p>
            <w:r>
              <w:rPr>
                <w:rFonts w:ascii="Meiryo UI" w:hAnsi="Meiryo UI"/>
                <w:sz w:val="18"/>
              </w:rPr>
              <w:t>四半期詳細セグメント・受注残非開示</w:t>
            </w:r>
          </w:p>
        </w:tc>
        <w:tc>
          <w:tcPr>
            <w:tcW w:type="dxa" w:w="1881"/>
          </w:tcPr>
          <w:p>
            <w:r>
              <w:rPr>
                <w:rFonts w:ascii="Meiryo UI" w:hAnsi="Meiryo UI"/>
                <w:sz w:val="18"/>
              </w:rPr>
              <w:t>構造的（IR課題）</w:t>
            </w:r>
          </w:p>
        </w:tc>
        <w:tc>
          <w:tcPr>
            <w:tcW w:type="dxa" w:w="1881"/>
          </w:tcPr>
          <w:p>
            <w:r>
              <w:rPr>
                <w:rFonts w:ascii="Meiryo UI" w:hAnsi="Meiryo UI"/>
                <w:sz w:val="18"/>
              </w:rPr>
              <w:t>機関投資家が入りにくい。バリュー株として放置されやすい構造</w:t>
            </w:r>
          </w:p>
        </w:tc>
      </w:tr>
    </w:tbl>
    <w:p/>
    <w:p>
      <w:r>
        <w:rPr>
          <w:rFonts w:ascii="Meiryo UI" w:hAnsi="Meiryo UI"/>
          <w:sz w:val="20"/>
        </w:rPr>
        <w:t>📊 実力ベース純利益の推計</w:t>
      </w:r>
    </w:p>
    <w:p/>
    <w:p>
      <w:pPr>
        <w:shd w:val="clear" w:color="auto" w:fill="F2F2F2"/>
      </w:pPr>
      <w:r>
        <w:rPr>
          <w:rFonts w:ascii="Courier New" w:hAnsi="Courier New"/>
          <w:sz w:val="16"/>
        </w:rPr>
        <w:t>公式報告EPS:  ¥95（PER13.7倍ベース）</w:t>
        <w:br/>
        <w:t>一過性毒の除去:</w:t>
        <w:br/>
        <w:t xml:space="preserve">  - コスト高騰の一過性分（建材急騰、燃料サーチャージ等）: 推計▲¥10〜15/株</w:t>
        <w:br/>
        <w:t xml:space="preserve">  - 保守的な引当・費用処理: 推計▲¥5〜8/株</w:t>
        <w:br/>
        <w:br/>
        <w:t>実力ベースEPS（毒除去後）: ¥110〜¥120</w:t>
        <w:br/>
        <w:t>実力ベース純利益: ¥95 → ¥110〜120（+16〜+26%の上振れポテンシャル）</w:t>
      </w:r>
    </w:p>
    <w:p/>
    <w:p>
      <w:r>
        <w:rPr>
          <w:rFonts w:ascii="Meiryo UI" w:hAnsi="Meiryo UI"/>
          <w:sz w:val="20"/>
        </w:rPr>
        <w:t>&gt; 結論: 報告EPSはコスト圧迫で本来の稼ぐ力を低く見せている可能性あり。リフォーム単価転嫁が進めば実力EPS¥110〜120への回帰余地がある。</w:t>
      </w:r>
    </w:p>
    <w:p/>
    <w:p>
      <w:r>
        <w:t>──────────────────────────────────────────────────</w:t>
      </w:r>
    </w:p>
    <w:p/>
    <w:p>
      <w:pPr>
        <w:pStyle w:val="Heading3"/>
      </w:pPr>
      <w:r>
        <w:rPr>
          <w:rFonts w:ascii="Meiryo UI" w:hAnsi="Meiryo UI"/>
          <w:color w:val="2E74B5"/>
        </w:rPr>
        <w:t>0-B. 直近四半期（H1/H2）変調分析</w:t>
      </w:r>
    </w:p>
    <w:p/>
    <w:p>
      <w:r>
        <w:rPr>
          <w:rFonts w:ascii="Meiryo UI" w:hAnsi="Meiryo UI"/>
          <w:sz w:val="20"/>
        </w:rPr>
        <w:t>&gt; ⚠️ 注記: 3426は四半期詳細非開示のため、2025年5月期H1（〜2024年11月）vs H2（〜2025年5月）および2026年5月期中間（H1）比較で代替。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2025年5月期H2実績</w:t>
            </w:r>
          </w:p>
        </w:tc>
        <w:tc>
          <w:tcPr>
            <w:tcW w:type="dxa" w:w="1881"/>
            <w:shd w:val="clear" w:color="auto" w:fill="2E74B5"/>
          </w:tcPr>
          <w:p>
            <w:r>
              <w:rPr>
                <w:rFonts w:ascii="Meiryo UI" w:hAnsi="Meiryo UI"/>
                <w:b/>
                <w:color w:val="FFFFFF"/>
                <w:sz w:val="18"/>
              </w:rPr>
              <w:t>2026年5月期H1実績</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売上高（推計）</w:t>
            </w:r>
          </w:p>
        </w:tc>
        <w:tc>
          <w:tcPr>
            <w:tcW w:type="dxa" w:w="1881"/>
          </w:tcPr>
          <w:p>
            <w:r>
              <w:rPr>
                <w:rFonts w:ascii="Meiryo UI" w:hAnsi="Meiryo UI"/>
                <w:sz w:val="18"/>
              </w:rPr>
              <w:t>約¥75億</w:t>
            </w:r>
          </w:p>
        </w:tc>
        <w:tc>
          <w:tcPr>
            <w:tcW w:type="dxa" w:w="1881"/>
          </w:tcPr>
          <w:p>
            <w:r>
              <w:rPr>
                <w:rFonts w:ascii="Meiryo UI" w:hAnsi="Meiryo UI"/>
                <w:sz w:val="18"/>
              </w:rPr>
              <w:t>約¥78〜80億</w:t>
            </w:r>
          </w:p>
        </w:tc>
        <w:tc>
          <w:tcPr>
            <w:tcW w:type="dxa" w:w="1881"/>
          </w:tcPr>
          <w:p>
            <w:r>
              <w:rPr>
                <w:rFonts w:ascii="Meiryo UI" w:hAnsi="Meiryo UI"/>
                <w:sz w:val="18"/>
              </w:rPr>
              <w:t>+4〜+7%</w:t>
            </w:r>
          </w:p>
        </w:tc>
        <w:tc>
          <w:tcPr>
            <w:tcW w:type="dxa" w:w="1881"/>
          </w:tcPr>
          <w:p>
            <w:r>
              <w:rPr>
                <w:rFonts w:ascii="Meiryo UI" w:hAnsi="Meiryo UI"/>
                <w:sz w:val="18"/>
              </w:rPr>
              <w:t>構造的（リフォーム需要増による）</w:t>
            </w:r>
          </w:p>
        </w:tc>
      </w:tr>
      <w:tr>
        <w:tc>
          <w:tcPr>
            <w:tcW w:type="dxa" w:w="1881"/>
            <w:shd w:val="clear" w:color="auto" w:fill="DDEBF7"/>
          </w:tcPr>
          <w:p>
            <w:r>
              <w:rPr>
                <w:rFonts w:ascii="Meiryo UI" w:hAnsi="Meiryo UI"/>
                <w:sz w:val="18"/>
              </w:rPr>
              <w:t>営業利益率（推計）</w:t>
            </w:r>
          </w:p>
        </w:tc>
        <w:tc>
          <w:tcPr>
            <w:tcW w:type="dxa" w:w="1881"/>
            <w:shd w:val="clear" w:color="auto" w:fill="DDEBF7"/>
          </w:tcPr>
          <w:p>
            <w:r>
              <w:rPr>
                <w:rFonts w:ascii="Meiryo UI" w:hAnsi="Meiryo UI"/>
                <w:sz w:val="18"/>
              </w:rPr>
              <w:t>約3.5〜4.0%</w:t>
            </w:r>
          </w:p>
        </w:tc>
        <w:tc>
          <w:tcPr>
            <w:tcW w:type="dxa" w:w="1881"/>
            <w:shd w:val="clear" w:color="auto" w:fill="DDEBF7"/>
          </w:tcPr>
          <w:p>
            <w:r>
              <w:rPr>
                <w:rFonts w:ascii="Meiryo UI" w:hAnsi="Meiryo UI"/>
                <w:sz w:val="18"/>
              </w:rPr>
              <w:t>約3.0〜3.5%</w:t>
            </w:r>
          </w:p>
        </w:tc>
        <w:tc>
          <w:tcPr>
            <w:tcW w:type="dxa" w:w="1881"/>
            <w:shd w:val="clear" w:color="auto" w:fill="DDEBF7"/>
          </w:tcPr>
          <w:p>
            <w:r>
              <w:rPr>
                <w:rFonts w:ascii="Meiryo UI" w:hAnsi="Meiryo UI"/>
                <w:sz w:val="18"/>
              </w:rPr>
              <w:t>▲0.5pt</w:t>
            </w:r>
          </w:p>
        </w:tc>
        <w:tc>
          <w:tcPr>
            <w:tcW w:type="dxa" w:w="1881"/>
            <w:shd w:val="clear" w:color="auto" w:fill="DDEBF7"/>
          </w:tcPr>
          <w:p>
            <w:r>
              <w:rPr>
                <w:rFonts w:ascii="Meiryo UI" w:hAnsi="Meiryo UI"/>
                <w:sz w:val="18"/>
              </w:rPr>
              <w:t>一過性〜構造移行（コスト先行、転嫁ラグ）</w:t>
            </w:r>
          </w:p>
        </w:tc>
      </w:tr>
      <w:tr>
        <w:tc>
          <w:tcPr>
            <w:tcW w:type="dxa" w:w="1881"/>
          </w:tcPr>
          <w:p>
            <w:r>
              <w:rPr>
                <w:rFonts w:ascii="Meiryo UI" w:hAnsi="Meiryo UI"/>
                <w:sz w:val="18"/>
              </w:rPr>
              <w:t>主要顧客構成</w:t>
            </w:r>
          </w:p>
        </w:tc>
        <w:tc>
          <w:tcPr>
            <w:tcW w:type="dxa" w:w="1881"/>
          </w:tcPr>
          <w:p>
            <w:r>
              <w:rPr>
                <w:rFonts w:ascii="Meiryo UI" w:hAnsi="Meiryo UI"/>
                <w:sz w:val="18"/>
              </w:rPr>
              <w:t>個人戸建リフォーム中心</w:t>
            </w:r>
          </w:p>
        </w:tc>
        <w:tc>
          <w:tcPr>
            <w:tcW w:type="dxa" w:w="1881"/>
          </w:tcPr>
          <w:p>
            <w:r>
              <w:rPr>
                <w:rFonts w:ascii="Meiryo UI" w:hAnsi="Meiryo UI"/>
                <w:sz w:val="18"/>
              </w:rPr>
              <w:t>集合住宅・マンションリノベ比率増加</w:t>
            </w:r>
          </w:p>
        </w:tc>
        <w:tc>
          <w:tcPr>
            <w:tcW w:type="dxa" w:w="1881"/>
          </w:tcPr>
          <w:p>
            <w:r>
              <w:rPr>
                <w:rFonts w:ascii="Meiryo UI" w:hAnsi="Meiryo UI"/>
                <w:sz w:val="18"/>
              </w:rPr>
              <w:t>単価上昇傾向</w:t>
            </w:r>
          </w:p>
        </w:tc>
        <w:tc>
          <w:tcPr>
            <w:tcW w:type="dxa" w:w="1881"/>
          </w:tcPr>
          <w:p>
            <w:r>
              <w:rPr>
                <w:rFonts w:ascii="Meiryo UI" w:hAnsi="Meiryo UI"/>
                <w:sz w:val="18"/>
              </w:rPr>
              <w:t>構造的（高単価案件シフトはポジティブ）</w:t>
            </w:r>
          </w:p>
        </w:tc>
      </w:tr>
      <w:tr>
        <w:tc>
          <w:tcPr>
            <w:tcW w:type="dxa" w:w="1881"/>
            <w:shd w:val="clear" w:color="auto" w:fill="DDEBF7"/>
          </w:tcPr>
          <w:p>
            <w:r>
              <w:rPr>
                <w:rFonts w:ascii="Meiryo UI" w:hAnsi="Meiryo UI"/>
                <w:sz w:val="18"/>
              </w:rPr>
              <w:t>受注残消化スピード</w:t>
            </w:r>
          </w:p>
        </w:tc>
        <w:tc>
          <w:tcPr>
            <w:tcW w:type="dxa" w:w="1881"/>
            <w:shd w:val="clear" w:color="auto" w:fill="DDEBF7"/>
          </w:tcPr>
          <w:p>
            <w:r>
              <w:rPr>
                <w:rFonts w:ascii="Meiryo UI" w:hAnsi="Meiryo UI"/>
                <w:sz w:val="18"/>
              </w:rPr>
              <w:t>標準的（工期2〜3ヶ月）</w:t>
            </w:r>
          </w:p>
        </w:tc>
        <w:tc>
          <w:tcPr>
            <w:tcW w:type="dxa" w:w="1881"/>
            <w:shd w:val="clear" w:color="auto" w:fill="DDEBF7"/>
          </w:tcPr>
          <w:p>
            <w:r>
              <w:rPr>
                <w:rFonts w:ascii="Meiryo UI" w:hAnsi="Meiryo UI"/>
                <w:sz w:val="18"/>
              </w:rPr>
              <w:t>やや延伸（職人不足による工期ズレ）</w:t>
            </w:r>
          </w:p>
        </w:tc>
        <w:tc>
          <w:tcPr>
            <w:tcW w:type="dxa" w:w="1881"/>
            <w:shd w:val="clear" w:color="auto" w:fill="DDEBF7"/>
          </w:tcPr>
          <w:p>
            <w:r>
              <w:rPr>
                <w:rFonts w:ascii="Meiryo UI" w:hAnsi="Meiryo UI"/>
                <w:sz w:val="18"/>
              </w:rPr>
              <w:t>若干悪化</w:t>
            </w:r>
          </w:p>
        </w:tc>
        <w:tc>
          <w:tcPr>
            <w:tcW w:type="dxa" w:w="1881"/>
            <w:shd w:val="clear" w:color="auto" w:fill="DDEBF7"/>
          </w:tcPr>
          <w:p>
            <w:r>
              <w:rPr>
                <w:rFonts w:ascii="Meiryo UI" w:hAnsi="Meiryo UI"/>
                <w:sz w:val="18"/>
              </w:rPr>
              <w:t>構造的（2024年問題の波及）</w:t>
            </w:r>
          </w:p>
        </w:tc>
      </w:tr>
      <w:tr>
        <w:tc>
          <w:tcPr>
            <w:tcW w:type="dxa" w:w="1881"/>
          </w:tcPr>
          <w:p>
            <w:r>
              <w:rPr>
                <w:rFonts w:ascii="Meiryo UI" w:hAnsi="Meiryo UI"/>
                <w:sz w:val="18"/>
              </w:rPr>
              <w:t>特記事項</w:t>
            </w:r>
          </w:p>
        </w:tc>
        <w:tc>
          <w:tcPr>
            <w:tcW w:type="dxa" w:w="1881"/>
          </w:tcPr>
          <w:p>
            <w:r>
              <w:rPr>
                <w:rFonts w:ascii="Meiryo UI" w:hAnsi="Meiryo UI"/>
                <w:sz w:val="18"/>
              </w:rPr>
              <w:t>国交省エコホーム補助金効果</w:t>
            </w:r>
          </w:p>
        </w:tc>
        <w:tc>
          <w:tcPr>
            <w:tcW w:type="dxa" w:w="1881"/>
          </w:tcPr>
          <w:p>
            <w:r>
              <w:rPr>
                <w:rFonts w:ascii="Meiryo UI" w:hAnsi="Meiryo UI"/>
                <w:sz w:val="18"/>
              </w:rPr>
              <w:t>補助金予算消化→申請ピーク後退</w:t>
            </w:r>
          </w:p>
        </w:tc>
        <w:tc>
          <w:tcPr>
            <w:tcW w:type="dxa" w:w="1881"/>
          </w:tcPr>
          <w:p>
            <w:r>
              <w:rPr>
                <w:rFonts w:ascii="Meiryo UI" w:hAnsi="Meiryo UI"/>
                <w:sz w:val="18"/>
              </w:rPr>
              <w:t>補助金依存度要注意</w:t>
            </w:r>
          </w:p>
        </w:tc>
        <w:tc>
          <w:tcPr>
            <w:tcW w:type="dxa" w:w="1881"/>
          </w:tcPr>
          <w:p>
            <w:r>
              <w:rPr>
                <w:rFonts w:ascii="Meiryo UI" w:hAnsi="Meiryo UI"/>
                <w:sz w:val="18"/>
              </w:rPr>
              <w:t>一過性（次期補助金枠更新待ち）</w:t>
            </w:r>
          </w:p>
        </w:tc>
      </w:tr>
    </w:tbl>
    <w:p/>
    <w:p>
      <w:r>
        <w:rPr>
          <w:rFonts w:ascii="Meiryo UI" w:hAnsi="Meiryo UI"/>
          <w:sz w:val="20"/>
        </w:rPr>
        <w:t>変調の核心: 売上は着実増だが、コスト（職人・建材・物流）が先行して利益率を圧迫。売上増→利益増の「正のレバレッジ」が機能しにくい局面。ただし転嫁が進む2H（2026年2〜5月期）に利益率回復が期待できる。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アトムリビンテックとは何者か</w:t>
      </w:r>
    </w:p>
    <w:p/>
    <w:p>
      <w:r>
        <w:rPr>
          <w:rFonts w:ascii="Meiryo UI" w:hAnsi="Meiryo UI"/>
          <w:sz w:val="20"/>
        </w:rPr>
        <w:t>アトムリビンテック（3426.T）は、住宅リフォーム・リノベーション専門の施工・販売会社。主に関東圏を基盤に、戸建・マンション向けの内装・水廻り・外壁リフォームを手がける。</w:t>
      </w:r>
    </w:p>
    <w:p/>
    <w:p>
      <w:r>
        <w:rPr>
          <w:rFonts w:ascii="Meiryo UI" w:hAnsi="Meiryo UI"/>
          <w:sz w:val="20"/>
        </w:rPr>
        <w:t>事業セグメント構成（推計）: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売上構成比（推計）</w:t>
            </w:r>
          </w:p>
        </w:tc>
        <w:tc>
          <w:tcPr>
            <w:tcW w:type="dxa" w:w="2351"/>
            <w:shd w:val="clear" w:color="auto" w:fill="2E74B5"/>
          </w:tcPr>
          <w:p>
            <w:r>
              <w:rPr>
                <w:rFonts w:ascii="Meiryo UI" w:hAnsi="Meiryo UI"/>
                <w:b/>
                <w:color w:val="FFFFFF"/>
                <w:sz w:val="18"/>
              </w:rPr>
              <w:t>利益率</w:t>
            </w:r>
          </w:p>
        </w:tc>
        <w:tc>
          <w:tcPr>
            <w:tcW w:type="dxa" w:w="2351"/>
            <w:shd w:val="clear" w:color="auto" w:fill="2E74B5"/>
          </w:tcPr>
          <w:p>
            <w:r>
              <w:rPr>
                <w:rFonts w:ascii="Meiryo UI" w:hAnsi="Meiryo UI"/>
                <w:b/>
                <w:color w:val="FFFFFF"/>
                <w:sz w:val="18"/>
              </w:rPr>
              <w:t>特徴</w:t>
            </w:r>
          </w:p>
        </w:tc>
      </w:tr>
      <w:tr>
        <w:tc>
          <w:tcPr>
            <w:tcW w:type="dxa" w:w="2351"/>
          </w:tcPr>
          <w:p>
            <w:r>
              <w:rPr>
                <w:rFonts w:ascii="Meiryo UI" w:hAnsi="Meiryo UI"/>
                <w:sz w:val="18"/>
              </w:rPr>
              <w:t>住宅リフォーム施工</w:t>
            </w:r>
          </w:p>
        </w:tc>
        <w:tc>
          <w:tcPr>
            <w:tcW w:type="dxa" w:w="2351"/>
          </w:tcPr>
          <w:p>
            <w:r>
              <w:rPr>
                <w:rFonts w:ascii="Meiryo UI" w:hAnsi="Meiryo UI"/>
                <w:sz w:val="18"/>
              </w:rPr>
              <w:t>65〜70%</w:t>
            </w:r>
          </w:p>
        </w:tc>
        <w:tc>
          <w:tcPr>
            <w:tcW w:type="dxa" w:w="2351"/>
          </w:tcPr>
          <w:p>
            <w:r>
              <w:rPr>
                <w:rFonts w:ascii="Meiryo UI" w:hAnsi="Meiryo UI"/>
                <w:sz w:val="18"/>
              </w:rPr>
              <w:t>3〜5%</w:t>
            </w:r>
          </w:p>
        </w:tc>
        <w:tc>
          <w:tcPr>
            <w:tcW w:type="dxa" w:w="2351"/>
          </w:tcPr>
          <w:p>
            <w:r>
              <w:rPr>
                <w:rFonts w:ascii="Meiryo UI" w:hAnsi="Meiryo UI"/>
                <w:sz w:val="18"/>
              </w:rPr>
              <w:t>コア事業。職人依存・工期リスクあり</w:t>
            </w:r>
          </w:p>
        </w:tc>
      </w:tr>
      <w:tr>
        <w:tc>
          <w:tcPr>
            <w:tcW w:type="dxa" w:w="2351"/>
            <w:shd w:val="clear" w:color="auto" w:fill="DDEBF7"/>
          </w:tcPr>
          <w:p>
            <w:r>
              <w:rPr>
                <w:rFonts w:ascii="Meiryo UI" w:hAnsi="Meiryo UI"/>
                <w:sz w:val="18"/>
              </w:rPr>
              <w:t>設備機器販売・交換</w:t>
            </w:r>
          </w:p>
        </w:tc>
        <w:tc>
          <w:tcPr>
            <w:tcW w:type="dxa" w:w="2351"/>
            <w:shd w:val="clear" w:color="auto" w:fill="DDEBF7"/>
          </w:tcPr>
          <w:p>
            <w:r>
              <w:rPr>
                <w:rFonts w:ascii="Meiryo UI" w:hAnsi="Meiryo UI"/>
                <w:sz w:val="18"/>
              </w:rPr>
              <w:t>20〜25%</w:t>
            </w:r>
          </w:p>
        </w:tc>
        <w:tc>
          <w:tcPr>
            <w:tcW w:type="dxa" w:w="2351"/>
            <w:shd w:val="clear" w:color="auto" w:fill="DDEBF7"/>
          </w:tcPr>
          <w:p>
            <w:r>
              <w:rPr>
                <w:rFonts w:ascii="Meiryo UI" w:hAnsi="Meiryo UI"/>
                <w:sz w:val="18"/>
              </w:rPr>
              <w:t>5〜8%</w:t>
            </w:r>
          </w:p>
        </w:tc>
        <w:tc>
          <w:tcPr>
            <w:tcW w:type="dxa" w:w="2351"/>
            <w:shd w:val="clear" w:color="auto" w:fill="DDEBF7"/>
          </w:tcPr>
          <w:p>
            <w:r>
              <w:rPr>
                <w:rFonts w:ascii="Meiryo UI" w:hAnsi="Meiryo UI"/>
                <w:sz w:val="18"/>
              </w:rPr>
              <w:t>給湯器・システムキッチン・ユニットバス等。粗利率高め</w:t>
            </w:r>
          </w:p>
        </w:tc>
      </w:tr>
      <w:tr>
        <w:tc>
          <w:tcPr>
            <w:tcW w:type="dxa" w:w="2351"/>
          </w:tcPr>
          <w:p>
            <w:r>
              <w:rPr>
                <w:rFonts w:ascii="Meiryo UI" w:hAnsi="Meiryo UI"/>
                <w:sz w:val="18"/>
              </w:rPr>
              <w:t>リノベーション（大規模改修）</w:t>
            </w:r>
          </w:p>
        </w:tc>
        <w:tc>
          <w:tcPr>
            <w:tcW w:type="dxa" w:w="2351"/>
          </w:tcPr>
          <w:p>
            <w:r>
              <w:rPr>
                <w:rFonts w:ascii="Meiryo UI" w:hAnsi="Meiryo UI"/>
                <w:sz w:val="18"/>
              </w:rPr>
              <w:t>10〜15%</w:t>
            </w:r>
          </w:p>
        </w:tc>
        <w:tc>
          <w:tcPr>
            <w:tcW w:type="dxa" w:w="2351"/>
          </w:tcPr>
          <w:p>
            <w:r>
              <w:rPr>
                <w:rFonts w:ascii="Meiryo UI" w:hAnsi="Meiryo UI"/>
                <w:sz w:val="18"/>
              </w:rPr>
              <w:t>4〜6%</w:t>
            </w:r>
          </w:p>
        </w:tc>
        <w:tc>
          <w:tcPr>
            <w:tcW w:type="dxa" w:w="2351"/>
          </w:tcPr>
          <w:p>
            <w:r>
              <w:rPr>
                <w:rFonts w:ascii="Meiryo UI" w:hAnsi="Meiryo UI"/>
                <w:sz w:val="18"/>
              </w:rPr>
              <w:t>高単価・工期長。受注1件の影響大</w:t>
            </w:r>
          </w:p>
        </w:tc>
      </w:tr>
    </w:tbl>
    <w:p/>
    <w:p>
      <w:pPr>
        <w:pStyle w:val="Heading3"/>
      </w:pPr>
      <w:r>
        <w:rPr>
          <w:rFonts w:ascii="Meiryo UI" w:hAnsi="Meiryo UI"/>
          <w:color w:val="2E74B5"/>
        </w:rPr>
        <w:t>1-2. 競合優位性の評価</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強み</w:t>
            </w:r>
          </w:p>
        </w:tc>
        <w:tc>
          <w:tcPr>
            <w:tcW w:type="dxa" w:w="4703"/>
            <w:shd w:val="clear" w:color="auto" w:fill="2E74B5"/>
          </w:tcPr>
          <w:p>
            <w:r>
              <w:rPr>
                <w:rFonts w:ascii="Meiryo UI" w:hAnsi="Meiryo UI"/>
                <w:b/>
                <w:color w:val="FFFFFF"/>
                <w:sz w:val="18"/>
              </w:rPr>
              <w:t>弱み</w:t>
            </w:r>
          </w:p>
        </w:tc>
      </w:tr>
      <w:tr>
        <w:tc>
          <w:tcPr>
            <w:tcW w:type="dxa" w:w="4703"/>
          </w:tcPr>
          <w:p>
            <w:r>
              <w:rPr>
                <w:rFonts w:ascii="Meiryo UI" w:hAnsi="Meiryo UI"/>
                <w:sz w:val="18"/>
              </w:rPr>
              <w:t>地場密着型の顧客関係（リピート率高）</w:t>
            </w:r>
          </w:p>
        </w:tc>
        <w:tc>
          <w:tcPr>
            <w:tcW w:type="dxa" w:w="4703"/>
          </w:tcPr>
          <w:p>
            <w:r>
              <w:rPr>
                <w:rFonts w:ascii="Meiryo UI" w:hAnsi="Meiryo UI"/>
                <w:sz w:val="18"/>
              </w:rPr>
              <w:t>地理的展開の限定性（スケール限界）</w:t>
            </w:r>
          </w:p>
        </w:tc>
      </w:tr>
      <w:tr>
        <w:tc>
          <w:tcPr>
            <w:tcW w:type="dxa" w:w="4703"/>
            <w:shd w:val="clear" w:color="auto" w:fill="DDEBF7"/>
          </w:tcPr>
          <w:p>
            <w:r>
              <w:rPr>
                <w:rFonts w:ascii="Meiryo UI" w:hAnsi="Meiryo UI"/>
                <w:sz w:val="18"/>
              </w:rPr>
              <w:t>対面営業×職人品質による顧客満足</w:t>
            </w:r>
          </w:p>
        </w:tc>
        <w:tc>
          <w:tcPr>
            <w:tcW w:type="dxa" w:w="4703"/>
            <w:shd w:val="clear" w:color="auto" w:fill="DDEBF7"/>
          </w:tcPr>
          <w:p>
            <w:r>
              <w:rPr>
                <w:rFonts w:ascii="Meiryo UI" w:hAnsi="Meiryo UI"/>
                <w:sz w:val="18"/>
              </w:rPr>
              <w:t>大手（積水ハウスリフォーム・パナソニックHM）との規模格差</w:t>
            </w:r>
          </w:p>
        </w:tc>
      </w:tr>
      <w:tr>
        <w:tc>
          <w:tcPr>
            <w:tcW w:type="dxa" w:w="4703"/>
          </w:tcPr>
          <w:p>
            <w:r>
              <w:rPr>
                <w:rFonts w:ascii="Meiryo UI" w:hAnsi="Meiryo UI"/>
                <w:sz w:val="18"/>
              </w:rPr>
              <w:t>中古住宅ストック増加という構造的追い風</w:t>
            </w:r>
          </w:p>
        </w:tc>
        <w:tc>
          <w:tcPr>
            <w:tcW w:type="dxa" w:w="4703"/>
          </w:tcPr>
          <w:p>
            <w:r>
              <w:rPr>
                <w:rFonts w:ascii="Meiryo UI" w:hAnsi="Meiryo UI"/>
                <w:sz w:val="18"/>
              </w:rPr>
              <w:t>デジタル集客・マッチングプラットフォームへの対応遅れリスク</w:t>
            </w:r>
          </w:p>
        </w:tc>
      </w:tr>
      <w:tr>
        <w:tc>
          <w:tcPr>
            <w:tcW w:type="dxa" w:w="4703"/>
            <w:shd w:val="clear" w:color="auto" w:fill="DDEBF7"/>
          </w:tcPr>
          <w:p>
            <w:r>
              <w:rPr>
                <w:rFonts w:ascii="Meiryo UI" w:hAnsi="Meiryo UI"/>
                <w:sz w:val="18"/>
              </w:rPr>
              <w:t>PBR0.49倍の資産的安全網</w:t>
            </w:r>
          </w:p>
        </w:tc>
        <w:tc>
          <w:tcPr>
            <w:tcW w:type="dxa" w:w="4703"/>
            <w:shd w:val="clear" w:color="auto" w:fill="DDEBF7"/>
          </w:tcPr>
          <w:p>
            <w:r>
              <w:rPr>
                <w:rFonts w:ascii="Meiryo UI" w:hAnsi="Meiryo UI"/>
                <w:sz w:val="18"/>
              </w:rPr>
              <w:t>ROE3.6%×収益性の慢性低迷</w:t>
            </w:r>
          </w:p>
        </w:tc>
      </w:tr>
    </w:tbl>
    <w:p/>
    <w:p>
      <w:pPr>
        <w:pStyle w:val="Heading3"/>
      </w:pPr>
      <w:r>
        <w:rPr>
          <w:rFonts w:ascii="Meiryo UI" w:hAnsi="Meiryo UI"/>
          <w:color w:val="2E74B5"/>
        </w:rPr>
        <w:t>1-3. 直近カタリスト一覧</w:t>
      </w:r>
    </w:p>
    <w:p/>
    <w:p>
      <w:pPr>
        <w:pStyle w:val="ListNumber"/>
      </w:pPr>
      <w:r>
        <w:rPr>
          <w:rFonts w:ascii="Meiryo UI" w:hAnsi="Meiryo UI"/>
          <w:sz w:val="20"/>
        </w:rPr>
        <w:t>国交省「住宅省エネ2024キャンペーン」後継補助金: 2026年度も継続見込み。リフォーム需要の下支え</w:t>
      </w:r>
    </w:p>
    <w:p>
      <w:pPr>
        <w:pStyle w:val="ListNumber"/>
      </w:pPr>
      <w:r>
        <w:rPr>
          <w:rFonts w:ascii="Meiryo UI" w:hAnsi="Meiryo UI"/>
          <w:sz w:val="20"/>
        </w:rPr>
        <w:t>築30年超物件の大量更新サイクル到来: 1990年代建設ストックの設備更新ピーク（給湯器・外壁・屋根）</w:t>
      </w:r>
    </w:p>
    <w:p>
      <w:pPr>
        <w:pStyle w:val="ListNumber"/>
      </w:pPr>
      <w:r>
        <w:rPr>
          <w:rFonts w:ascii="Meiryo UI" w:hAnsi="Meiryo UI"/>
          <w:sz w:val="20"/>
        </w:rPr>
        <w:t>東証PBR1倍要請への対応圧力: 0.49倍という深割れは東証・機関投資家からの改善要求必至</w:t>
      </w:r>
    </w:p>
    <w:p>
      <w:pPr>
        <w:pStyle w:val="ListNumber"/>
      </w:pPr>
      <w:r>
        <w:rPr>
          <w:rFonts w:ascii="Meiryo UI" w:hAnsi="Meiryo UI"/>
          <w:sz w:val="20"/>
        </w:rPr>
        <w:t>M&amp;A・業界再編の可能性: 住宅リフォーム業界は零細業者乱立→大手・中堅による買収・統合トレンド</w:t>
      </w:r>
    </w:p>
    <w:p/>
    <w:p>
      <w:r>
        <w:t>──────────────────────────────────────────────────</w:t>
      </w:r>
    </w:p>
    <w:p/>
    <w:p>
      <w:pPr>
        <w:pStyle w:val="Heading2"/>
      </w:pPr>
      <w:r>
        <w:rPr>
          <w:rFonts w:ascii="Meiryo UI" w:hAnsi="Meiryo UI"/>
          <w:color w:val="2E74B5"/>
        </w:rPr>
        <w:t>2. 社長指示重点分析：「優先度1でDeep Research。買えるか？」</w:t>
      </w:r>
    </w:p>
    <w:p/>
    <w:p>
      <w:pPr>
        <w:pStyle w:val="Heading3"/>
      </w:pPr>
      <w:r>
        <w:rPr>
          <w:rFonts w:ascii="Meiryo UI" w:hAnsi="Meiryo UI"/>
          <w:color w:val="2E74B5"/>
        </w:rPr>
        <w:t>結論：「条件付きで買える。ただし全力ではない」</w:t>
      </w:r>
    </w:p>
    <w:p/>
    <w:p>
      <w:r>
        <w:rPr>
          <w:rFonts w:ascii="Meiryo UI" w:hAnsi="Meiryo UI"/>
          <w:sz w:val="20"/>
        </w:rPr>
        <w:t>社長、以下の3つの観点から精査した結論を申し上げます。</w:t>
      </w:r>
    </w:p>
    <w:p/>
    <w:p>
      <w:r>
        <w:t>──────────────────────────────────────────────────</w:t>
      </w:r>
    </w:p>
    <w:p/>
    <w:p>
      <w:pPr>
        <w:pStyle w:val="Heading3"/>
      </w:pPr>
      <w:r>
        <w:rPr>
          <w:rFonts w:ascii="Meiryo UI" w:hAnsi="Meiryo UI"/>
          <w:color w:val="2E74B5"/>
        </w:rPr>
        <w:t>2-1. バリュー投資観点：「買える理由」</w:t>
      </w:r>
    </w:p>
    <w:p/>
    <w:p>
      <w:r>
        <w:rPr>
          <w:rFonts w:ascii="Meiryo UI" w:hAnsi="Meiryo UI"/>
          <w:sz w:val="20"/>
        </w:rPr>
        <w:t>PBR0.49倍は歴史的・絶対的割安水準</w:t>
      </w:r>
    </w:p>
    <w:p/>
    <w:p>
      <w:pPr>
        <w:shd w:val="clear" w:color="auto" w:fill="F2F2F2"/>
      </w:pPr>
      <w:r>
        <w:rPr>
          <w:rFonts w:ascii="Courier New" w:hAnsi="Courier New"/>
          <w:sz w:val="16"/>
        </w:rPr>
        <w:t>現在株価:  ¥1,300</w:t>
        <w:br/>
        <w:t>BPS:      ¥2,657</w:t>
        <w:br/>
        <w:t>PBR:       0.49倍</w:t>
        <w:br/>
        <w:t>→ 純資産の半値以下で会社を丸ごと買える状態</w:t>
        <w:br/>
        <w:t>→ 仮に清算しても¥2,657/株の資産価値（理論上）</w:t>
      </w:r>
    </w:p>
    <w:p/>
    <w:p>
      <w:r>
        <w:rPr>
          <w:rFonts w:ascii="Meiryo UI" w:hAnsi="Meiryo UI"/>
          <w:sz w:val="20"/>
        </w:rPr>
        <w:t>解散価値に対して▲51%の割引で購入できる。バリュー投資の観点では魅力的。東証の「PBR1倍割れ企業への改善要請」により、経営陣が自社株買い・増配・事業売却等に動く可能性。</w:t>
      </w:r>
    </w:p>
    <w:p/>
    <w:p>
      <w:r>
        <w:rPr>
          <w:rFonts w:ascii="Meiryo UI" w:hAnsi="Meiryo UI"/>
          <w:sz w:val="20"/>
        </w:rPr>
        <w:t>住宅リフォームという「なくならない需要」</w:t>
      </w:r>
    </w:p>
    <w:p/>
    <w:p>
      <w:r>
        <w:rPr>
          <w:rFonts w:ascii="Meiryo UI" w:hAnsi="Meiryo UI"/>
          <w:sz w:val="20"/>
        </w:rPr>
        <w:t>日本の住宅ストック約6,100万戸のうち、築30年超が約40%。この老朽ストックの設備更新は「選択」ではなく「必然」。不況でも給湯器は壊れ、屋根は雨漏りする。ディフェンシブな需要基盤。</w:t>
      </w:r>
    </w:p>
    <w:p/>
    <w:p>
      <w:r>
        <w:t>──────────────────────────────────────────────────</w:t>
      </w:r>
    </w:p>
    <w:p/>
    <w:p>
      <w:pPr>
        <w:pStyle w:val="Heading3"/>
      </w:pPr>
      <w:r>
        <w:rPr>
          <w:rFonts w:ascii="Meiryo UI" w:hAnsi="Meiryo UI"/>
          <w:color w:val="2E74B5"/>
        </w:rPr>
        <w:t>2-2. ホルムズ封鎖環境での位置づけ</w:t>
      </w:r>
    </w:p>
    <w:p/>
    <w:p>
      <w:r>
        <w:rPr>
          <w:rFonts w:ascii="Meiryo UI" w:hAnsi="Meiryo UI"/>
          <w:sz w:val="20"/>
        </w:rPr>
        <w:t>ホルムズリスクはアトムリビンテックにとって「両刃の剣」</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影響経路</w:t>
            </w:r>
          </w:p>
        </w:tc>
        <w:tc>
          <w:tcPr>
            <w:tcW w:type="dxa" w:w="2351"/>
            <w:shd w:val="clear" w:color="auto" w:fill="2E74B5"/>
          </w:tcPr>
          <w:p>
            <w:r>
              <w:rPr>
                <w:rFonts w:ascii="Meiryo UI" w:hAnsi="Meiryo UI"/>
                <w:b/>
                <w:color w:val="FFFFFF"/>
                <w:sz w:val="18"/>
              </w:rPr>
              <w:t>方向</w:t>
            </w:r>
          </w:p>
        </w:tc>
        <w:tc>
          <w:tcPr>
            <w:tcW w:type="dxa" w:w="2351"/>
            <w:shd w:val="clear" w:color="auto" w:fill="2E74B5"/>
          </w:tcPr>
          <w:p>
            <w:r>
              <w:rPr>
                <w:rFonts w:ascii="Meiryo UI" w:hAnsi="Meiryo UI"/>
                <w:b/>
                <w:color w:val="FFFFFF"/>
                <w:sz w:val="18"/>
              </w:rPr>
              <w:t>深刻度</w:t>
            </w:r>
          </w:p>
        </w:tc>
        <w:tc>
          <w:tcPr>
            <w:tcW w:type="dxa" w:w="2351"/>
            <w:shd w:val="clear" w:color="auto" w:fill="2E74B5"/>
          </w:tcPr>
          <w:p>
            <w:r>
              <w:rPr>
                <w:rFonts w:ascii="Meiryo UI" w:hAnsi="Meiryo UI"/>
                <w:b/>
                <w:color w:val="FFFFFF"/>
                <w:sz w:val="18"/>
              </w:rPr>
              <w:t>詳細</w:t>
            </w:r>
          </w:p>
        </w:tc>
      </w:tr>
      <w:tr>
        <w:tc>
          <w:tcPr>
            <w:tcW w:type="dxa" w:w="2351"/>
          </w:tcPr>
          <w:p>
            <w:r>
              <w:rPr>
                <w:rFonts w:ascii="Meiryo UI" w:hAnsi="Meiryo UI"/>
                <w:sz w:val="18"/>
              </w:rPr>
              <w:t>石油化学系建材コスト高騰（配管・断熱材・接着剤）</w:t>
            </w:r>
          </w:p>
        </w:tc>
        <w:tc>
          <w:tcPr>
            <w:tcW w:type="dxa" w:w="2351"/>
          </w:tcPr>
          <w:p>
            <w:r>
              <w:rPr>
                <w:rFonts w:ascii="Meiryo UI" w:hAnsi="Meiryo UI"/>
                <w:sz w:val="18"/>
              </w:rPr>
              <w:t>ネガティブ</w:t>
            </w:r>
          </w:p>
        </w:tc>
        <w:tc>
          <w:tcPr>
            <w:tcW w:type="dxa" w:w="2351"/>
          </w:tcPr>
          <w:p>
            <w:r>
              <w:rPr>
                <w:rFonts w:ascii="Meiryo UI" w:hAnsi="Meiryo UI"/>
                <w:sz w:val="18"/>
              </w:rPr>
              <w:t>★★★☆☆</w:t>
            </w:r>
          </w:p>
        </w:tc>
        <w:tc>
          <w:tcPr>
            <w:tcW w:type="dxa" w:w="2351"/>
          </w:tcPr>
          <w:p>
            <w:r>
              <w:rPr>
                <w:rFonts w:ascii="Meiryo UI" w:hAnsi="Meiryo UI"/>
                <w:sz w:val="18"/>
              </w:rPr>
              <w:t>WTI$90/bblレベルで既に圧迫。封鎖長期化で$120超えなら深刻</w:t>
            </w:r>
          </w:p>
        </w:tc>
      </w:tr>
      <w:tr>
        <w:tc>
          <w:tcPr>
            <w:tcW w:type="dxa" w:w="2351"/>
            <w:shd w:val="clear" w:color="auto" w:fill="DDEBF7"/>
          </w:tcPr>
          <w:p>
            <w:r>
              <w:rPr>
                <w:rFonts w:ascii="Meiryo UI" w:hAnsi="Meiryo UI"/>
                <w:sz w:val="18"/>
              </w:rPr>
              <w:t>設備機器（給湯器・エコキュート）の調達難</w:t>
            </w:r>
          </w:p>
        </w:tc>
        <w:tc>
          <w:tcPr>
            <w:tcW w:type="dxa" w:w="2351"/>
            <w:shd w:val="clear" w:color="auto" w:fill="DDEBF7"/>
          </w:tcPr>
          <w:p>
            <w:r>
              <w:rPr>
                <w:rFonts w:ascii="Meiryo UI" w:hAnsi="Meiryo UI"/>
                <w:sz w:val="18"/>
              </w:rPr>
              <w:t>ネガティブ</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LNG価格高騰→ガス給湯器需要減退/電気式切替の混乱</w:t>
            </w:r>
          </w:p>
        </w:tc>
      </w:tr>
      <w:tr>
        <w:tc>
          <w:tcPr>
            <w:tcW w:type="dxa" w:w="2351"/>
          </w:tcPr>
          <w:p>
            <w:r>
              <w:rPr>
                <w:rFonts w:ascii="Meiryo UI" w:hAnsi="Meiryo UI"/>
                <w:sz w:val="18"/>
              </w:rPr>
              <w:t>エネルギーコスト上昇→省エネリフォーム需要喚起</w:t>
            </w:r>
          </w:p>
        </w:tc>
        <w:tc>
          <w:tcPr>
            <w:tcW w:type="dxa" w:w="2351"/>
          </w:tcPr>
          <w:p>
            <w:r>
              <w:rPr>
                <w:rFonts w:ascii="Meiryo UI" w:hAnsi="Meiryo UI"/>
                <w:sz w:val="18"/>
              </w:rPr>
              <w:t>ポジティブ</w:t>
            </w:r>
          </w:p>
        </w:tc>
        <w:tc>
          <w:tcPr>
            <w:tcW w:type="dxa" w:w="2351"/>
          </w:tcPr>
          <w:p>
            <w:r>
              <w:rPr>
                <w:rFonts w:ascii="Meiryo UI" w:hAnsi="Meiryo UI"/>
                <w:sz w:val="18"/>
              </w:rPr>
              <w:t>★★★☆☆</w:t>
            </w:r>
          </w:p>
        </w:tc>
        <w:tc>
          <w:tcPr>
            <w:tcW w:type="dxa" w:w="2351"/>
          </w:tcPr>
          <w:p>
            <w:r>
              <w:rPr>
                <w:rFonts w:ascii="Meiryo UI" w:hAnsi="Meiryo UI"/>
                <w:sz w:val="18"/>
              </w:rPr>
              <w:t>断熱改修・太陽光・蓄電池設置の需要爆発シナリオ</w:t>
            </w:r>
          </w:p>
        </w:tc>
      </w:tr>
      <w:tr>
        <w:tc>
          <w:tcPr>
            <w:tcW w:type="dxa" w:w="2351"/>
            <w:shd w:val="clear" w:color="auto" w:fill="DDEBF7"/>
          </w:tcPr>
          <w:p>
            <w:r>
              <w:rPr>
                <w:rFonts w:ascii="Meiryo UI" w:hAnsi="Meiryo UI"/>
                <w:sz w:val="18"/>
              </w:rPr>
              <w:t>消費者の巣ごもり・在宅強化→リフォーム意欲</w:t>
            </w:r>
          </w:p>
        </w:tc>
        <w:tc>
          <w:tcPr>
            <w:tcW w:type="dxa" w:w="2351"/>
            <w:shd w:val="clear" w:color="auto" w:fill="DDEBF7"/>
          </w:tcPr>
          <w:p>
            <w:r>
              <w:rPr>
                <w:rFonts w:ascii="Meiryo UI" w:hAnsi="Meiryo UI"/>
                <w:sz w:val="18"/>
              </w:rPr>
              <w:t>ポジティブ</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地政学不安→家への投資回帰（コロナ期の再現）</w:t>
            </w:r>
          </w:p>
        </w:tc>
      </w:tr>
    </w:tbl>
    <w:p/>
    <w:p>
      <w:r>
        <w:rPr>
          <w:rFonts w:ascii="Meiryo UI" w:hAnsi="Meiryo UI"/>
          <w:sz w:val="20"/>
        </w:rPr>
        <w:t>ホルムズ封鎖の純評価: コスト高騰リスク（短期毒）＜省エネリフォーム需要増（中長期薬）。ただし短期（3〜6ヶ月）の利益率悪化は避けられない。</w:t>
      </w:r>
    </w:p>
    <w:p/>
    <w:p>
      <w:r>
        <w:t>──────────────────────────────────────────────────</w:t>
      </w:r>
    </w:p>
    <w:p/>
    <w:p>
      <w:pPr>
        <w:pStyle w:val="Heading3"/>
      </w:pPr>
      <w:r>
        <w:rPr>
          <w:rFonts w:ascii="Meiryo UI" w:hAnsi="Meiryo UI"/>
          <w:color w:val="2E74B5"/>
        </w:rPr>
        <w:t>2-3. 中古住宅需要増の文脈</w:t>
      </w:r>
    </w:p>
    <w:p/>
    <w:p>
      <w:pPr>
        <w:shd w:val="clear" w:color="auto" w:fill="F2F2F2"/>
      </w:pPr>
      <w:r>
        <w:rPr>
          <w:rFonts w:ascii="Courier New" w:hAnsi="Courier New"/>
          <w:sz w:val="16"/>
        </w:rPr>
        <w:t>日本の中古住宅流通比率（欧米比較）:</w:t>
        <w:br/>
        <w:t xml:space="preserve">  日本:  14〜16%（流通の14〜16%が中古）</w:t>
        <w:br/>
        <w:t xml:space="preserve">  米国:  約80%</w:t>
        <w:br/>
        <w:t xml:space="preserve">  英国:  約85%</w:t>
        <w:br/>
        <w:br/>
        <w:t>政府目標: 2030年までに中古流通比率を20%超へ</w:t>
        <w:br/>
        <w:t>→ 毎年100万戸規模の中古住宅取引に対してリフォーム需要が付随</w:t>
      </w:r>
    </w:p>
    <w:p/>
    <w:p>
      <w:r>
        <w:rPr>
          <w:rFonts w:ascii="Meiryo UI" w:hAnsi="Meiryo UI"/>
          <w:sz w:val="20"/>
        </w:rPr>
        <w:t>中古住宅を買って「そのまま住む」人は少数派。購入後のリフォーム・リノベーションはほぼ必然的な需要。アトムリビンテックはこの文脈で直接恩恵を受けるポジション。</w:t>
      </w:r>
    </w:p>
    <w:p/>
    <w:p>
      <w:r>
        <w:rPr>
          <w:rFonts w:ascii="Meiryo UI" w:hAnsi="Meiryo UI"/>
          <w:sz w:val="20"/>
        </w:rPr>
        <w:t>総合評価（社長への回答）:</w:t>
      </w:r>
    </w:p>
    <w:p>
      <w:r>
        <w:rPr>
          <w:rFonts w:ascii="Meiryo UI" w:hAnsi="Meiryo UI"/>
          <w:sz w:val="20"/>
        </w:rPr>
        <w:t>&gt; 「割安で需要の構造増がある銘柄。ただしROE3.6%という低収益が改善されない限り、株価は純資産の半値近辺をうろうろする可能性が高い。分割エントリー×決算確認のアプローチが最適。全力買いは決算で利益率改善を確認してから。」</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直近FY実績サマリー（2025年5月期ベース）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実績（推計・公開情報ベース）</w:t>
            </w:r>
          </w:p>
        </w:tc>
        <w:tc>
          <w:tcPr>
            <w:tcW w:type="dxa" w:w="3135"/>
            <w:shd w:val="clear" w:color="auto" w:fill="2E74B5"/>
          </w:tcPr>
          <w:p>
            <w:r>
              <w:rPr>
                <w:rFonts w:ascii="Meiryo UI" w:hAnsi="Meiryo UI"/>
                <w:b/>
                <w:color w:val="FFFFFF"/>
                <w:sz w:val="18"/>
              </w:rPr>
              <w:t>業界平均比較</w:t>
            </w:r>
          </w:p>
        </w:tc>
      </w:tr>
      <w:tr>
        <w:tc>
          <w:tcPr>
            <w:tcW w:type="dxa" w:w="3135"/>
          </w:tcPr>
          <w:p>
            <w:r>
              <w:rPr>
                <w:rFonts w:ascii="Meiryo UI" w:hAnsi="Meiryo UI"/>
                <w:sz w:val="18"/>
              </w:rPr>
              <w:t>売上高</w:t>
            </w:r>
          </w:p>
        </w:tc>
        <w:tc>
          <w:tcPr>
            <w:tcW w:type="dxa" w:w="3135"/>
          </w:tcPr>
          <w:p>
            <w:r>
              <w:rPr>
                <w:rFonts w:ascii="Meiryo UI" w:hAnsi="Meiryo UI"/>
                <w:sz w:val="18"/>
              </w:rPr>
              <w:t>約¥145〜155億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約¥5〜6億</w:t>
            </w:r>
          </w:p>
        </w:tc>
        <w:tc>
          <w:tcPr>
            <w:tcW w:type="dxa" w:w="3135"/>
            <w:shd w:val="clear" w:color="auto" w:fill="DDEBF7"/>
          </w:tcPr>
          <w:p>
            <w:r>
              <w:rPr>
                <w:rFonts w:ascii="Meiryo UI" w:hAnsi="Meiryo UI"/>
                <w:sz w:val="18"/>
              </w:rPr>
              <w:t>営業利益率3〜4%（業界平均3〜5%と同水準）</w:t>
            </w:r>
          </w:p>
        </w:tc>
      </w:tr>
      <w:tr>
        <w:tc>
          <w:tcPr>
            <w:tcW w:type="dxa" w:w="3135"/>
          </w:tcPr>
          <w:p>
            <w:r>
              <w:rPr>
                <w:rFonts w:ascii="Meiryo UI" w:hAnsi="Meiryo UI"/>
                <w:sz w:val="18"/>
              </w:rPr>
              <w:t>純利益</w:t>
            </w:r>
          </w:p>
        </w:tc>
        <w:tc>
          <w:tcPr>
            <w:tcW w:type="dxa" w:w="3135"/>
          </w:tcPr>
          <w:p>
            <w:r>
              <w:rPr>
                <w:rFonts w:ascii="Meiryo UI" w:hAnsi="Meiryo UI"/>
                <w:sz w:val="18"/>
              </w:rPr>
              <w:t>約¥3〜4億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¥95（確定値）</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ROE</w:t>
            </w:r>
          </w:p>
        </w:tc>
        <w:tc>
          <w:tcPr>
            <w:tcW w:type="dxa" w:w="3135"/>
          </w:tcPr>
          <w:p>
            <w:r>
              <w:rPr>
                <w:rFonts w:ascii="Meiryo UI" w:hAnsi="Meiryo UI"/>
                <w:sz w:val="18"/>
              </w:rPr>
              <w:t>3.6%（確定値）</w:t>
            </w:r>
          </w:p>
        </w:tc>
        <w:tc>
          <w:tcPr>
            <w:tcW w:type="dxa" w:w="3135"/>
          </w:tcPr>
          <w:p>
            <w:r>
              <w:rPr>
                <w:rFonts w:ascii="Meiryo UI" w:hAnsi="Meiryo UI"/>
                <w:sz w:val="18"/>
              </w:rPr>
              <w:t>業界平均5〜8%を下回る</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0.49倍（確定値）</w:t>
            </w:r>
          </w:p>
        </w:tc>
        <w:tc>
          <w:tcPr>
            <w:tcW w:type="dxa" w:w="3135"/>
            <w:shd w:val="clear" w:color="auto" w:fill="DDEBF7"/>
          </w:tcPr>
          <w:p>
            <w:r>
              <w:rPr>
                <w:rFonts w:ascii="Meiryo UI" w:hAnsi="Meiryo UI"/>
                <w:sz w:val="18"/>
              </w:rPr>
              <w:t>業界平均0.7〜1.0倍より低い</w:t>
            </w:r>
          </w:p>
        </w:tc>
      </w:tr>
      <w:tr>
        <w:tc>
          <w:tcPr>
            <w:tcW w:type="dxa" w:w="3135"/>
          </w:tcPr>
          <w:p>
            <w:r>
              <w:rPr>
                <w:rFonts w:ascii="Meiryo UI" w:hAnsi="Meiryo UI"/>
                <w:sz w:val="18"/>
              </w:rPr>
              <w:t>BPS</w:t>
            </w:r>
          </w:p>
        </w:tc>
        <w:tc>
          <w:tcPr>
            <w:tcW w:type="dxa" w:w="3135"/>
          </w:tcPr>
          <w:p>
            <w:r>
              <w:rPr>
                <w:rFonts w:ascii="Meiryo UI" w:hAnsi="Meiryo UI"/>
                <w:sz w:val="18"/>
              </w:rPr>
              <w:t>¥2,657（確定値）</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13.7倍</w:t>
            </w:r>
          </w:p>
        </w:tc>
        <w:tc>
          <w:tcPr>
            <w:tcW w:type="dxa" w:w="3135"/>
            <w:shd w:val="clear" w:color="auto" w:fill="DDEBF7"/>
          </w:tcPr>
          <w:p>
            <w:r>
              <w:rPr>
                <w:rFonts w:ascii="Meiryo UI" w:hAnsi="Meiryo UI"/>
                <w:sz w:val="18"/>
              </w:rPr>
              <w:t>業界平均12〜15倍と概ね同水準</w:t>
            </w:r>
          </w:p>
        </w:tc>
      </w:tr>
    </w:tbl>
    <w:p/>
    <w:p>
      <w:pPr>
        <w:pStyle w:val="Heading3"/>
      </w:pPr>
      <w:r>
        <w:rPr>
          <w:rFonts w:ascii="Meiryo UI" w:hAnsi="Meiryo UI"/>
          <w:color w:val="2E74B5"/>
        </w:rPr>
        <w:t>3-2. 財務健全性評価</w:t>
      </w:r>
    </w:p>
    <w:p/>
    <w:p>
      <w:r>
        <w:rPr>
          <w:rFonts w:ascii="Meiryo UI" w:hAnsi="Meiryo UI"/>
          <w:sz w:val="20"/>
        </w:rPr>
        <w:t>BPS¥2,657 vs 株価¥1,300の含意:</w:t>
      </w:r>
    </w:p>
    <w:p/>
    <w:p>
      <w:pPr>
        <w:shd w:val="clear" w:color="auto" w:fill="F2F2F2"/>
      </w:pPr>
      <w:r>
        <w:rPr>
          <w:rFonts w:ascii="Courier New" w:hAnsi="Courier New"/>
          <w:sz w:val="16"/>
        </w:rPr>
        <w:t>純資産総額（推計）:</w:t>
        <w:br/>
        <w:t xml:space="preserve">  BPS ¥2,657 × 発行済株式数（推計約350万株）= 約¥93億の純資産保有</w:t>
        <w:br/>
        <w:t xml:space="preserve">  ※ 純資産の半値が現在の時価総額（約¥45億）</w:t>
        <w:br/>
        <w:br/>
        <w:t>自己資本比率: 推計50〜60%（住宅リフォーム業として健全）</w:t>
        <w:br/>
        <w:t>有利子負債: 限定的（受注→施工→入金のキャッシュサイクルが比較的短い業態）</w:t>
      </w:r>
    </w:p>
    <w:p/>
    <w:p>
      <w:r>
        <w:rPr>
          <w:rFonts w:ascii="Meiryo UI" w:hAnsi="Meiryo UI"/>
          <w:sz w:val="20"/>
        </w:rPr>
        <w:t>FCF（フリーキャッシュフロー）推計:</w:t>
      </w:r>
    </w:p>
    <w:p/>
    <w:p>
      <w:pPr>
        <w:shd w:val="clear" w:color="auto" w:fill="F2F2F2"/>
      </w:pPr>
      <w:r>
        <w:rPr>
          <w:rFonts w:ascii="Courier New" w:hAnsi="Courier New"/>
          <w:sz w:val="16"/>
        </w:rPr>
        <w:t>営業CF: 約¥5〜7億/年</w:t>
        <w:br/>
        <w:t>CAPEX: 約¥1〜2億/年（設備投資少ない労働集約型ビジネス）</w:t>
        <w:br/>
        <w:t>FCF:   約¥4〜5億/年</w:t>
        <w:br/>
        <w:t>FCFマージン: 約3〜4%</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r>
        <w:rPr>
          <w:rFonts w:ascii="Meiryo UI" w:hAnsi="Meiryo UI"/>
          <w:sz w:val="20"/>
        </w:rPr>
        <w:t>前提条件（全て明記）:</w:t>
      </w:r>
    </w:p>
    <w:p/>
    <w:p>
      <w:pPr>
        <w:shd w:val="clear" w:color="auto" w:fill="F2F2F2"/>
      </w:pPr>
      <w:r>
        <w:rPr>
          <w:rFonts w:ascii="Courier New" w:hAnsi="Courier New"/>
          <w:sz w:val="16"/>
        </w:rPr>
        <w:t>【リスクフリーレート（Rf）】</w:t>
        <w:br/>
        <w:t xml:space="preserve">  Rf = 2.423%（日本10年国債 / 2026-04-15 財務省）</w:t>
        <w:br/>
        <w:br/>
        <w:t>【エクイティリスクプレミアム（ERP）】</w:t>
        <w:br/>
        <w:t xml:space="preserve">  ERP = 6.0%（日本株ERP: Damodaran 2026年推計 / 新興国調整後）</w:t>
        <w:br/>
        <w:t xml:space="preserve">  ※ 住宅リフォーム中小型株として標準的なERP適用</w:t>
        <w:br/>
        <w:br/>
        <w:t>【ベータ（β）】</w:t>
        <w:br/>
        <w:t xml:space="preserve">  β = 0.75（住宅リフォーム業種β / 景気感応度中程度・ディフェンシブ寄り）</w:t>
        <w:br/>
        <w:t xml:space="preserve">  ※ 大型建設β0.9〜1.0より低い。地場密着・ストック型需要で変動小さい</w:t>
        <w:br/>
        <w:br/>
        <w:t>【株主資本コスト（Re）】</w:t>
        <w:br/>
        <w:t xml:space="preserve">  Re = Rf + β × ERP</w:t>
        <w:br/>
        <w:t xml:space="preserve">  Re = 2.423% + 0.75 × 6.0%</w:t>
        <w:br/>
        <w:t xml:space="preserve">  Re = 2.423% + 4.500%</w:t>
        <w:br/>
        <w:t xml:space="preserve">  Re = 6.923% ≒ 6.9%</w:t>
        <w:br/>
        <w:br/>
        <w:t>【資本構成（推計）】</w:t>
        <w:br/>
        <w:t xml:space="preserve">  E/（D+E）= 85%（自己資本比率高く借入少ない）</w:t>
        <w:br/>
        <w:t xml:space="preserve">  D/（D+E）= 15%</w:t>
        <w:br/>
        <w:br/>
        <w:t>【負債コスト（Rd）】</w:t>
        <w:br/>
        <w:t xml:space="preserve">  Rd = 1.5%（地銀・短期借入主体の中小企業金利）</w:t>
        <w:br/>
        <w:br/>
        <w:t>【実効税率（Tc）】</w:t>
        <w:br/>
        <w:t xml:space="preserve">  Tc = 30%</w:t>
        <w:br/>
        <w:br/>
        <w:t>【WACC計算】</w:t>
        <w:br/>
        <w:t xml:space="preserve">  WACC = [E/(D+E) × Re] + [D/(D+E) × Rd × (1-Tc)]</w:t>
        <w:br/>
        <w:t xml:space="preserve">  WACC = [0.85 × 6.923%] + [0.15 × 1.5% × (1-0.30)]</w:t>
        <w:br/>
        <w:t xml:space="preserve">  WACC = 5.885% + 0.158%</w:t>
        <w:br/>
        <w:t xml:space="preserve">  WACC = 6.04% ≒ 6.0%</w:t>
      </w:r>
    </w:p>
    <w:p/>
    <w:p>
      <w:r>
        <w:t>──────────────────────────────────────────────────</w:t>
      </w:r>
    </w:p>
    <w:p/>
    <w:p>
      <w:pPr>
        <w:pStyle w:val="Heading3"/>
      </w:pPr>
      <w:r>
        <w:rPr>
          <w:rFonts w:ascii="Meiryo UI" w:hAnsi="Meiryo UI"/>
          <w:color w:val="2E74B5"/>
        </w:rPr>
        <w:t>4-2. DCFモデル（基本シナリオ）</w:t>
      </w:r>
    </w:p>
    <w:p/>
    <w:p>
      <w:r>
        <w:rPr>
          <w:rFonts w:ascii="Meiryo UI" w:hAnsi="Meiryo UI"/>
          <w:sz w:val="20"/>
        </w:rPr>
        <w:t>DCF前提（基本シナリオ）:</w:t>
      </w:r>
    </w:p>
    <w:p/>
    <w:p>
      <w:pPr>
        <w:shd w:val="clear" w:color="auto" w:fill="F2F2F2"/>
      </w:pPr>
      <w:r>
        <w:rPr>
          <w:rFonts w:ascii="Courier New" w:hAnsi="Courier New"/>
          <w:sz w:val="16"/>
        </w:rPr>
        <w:t>初期FCF（2026年5月期推計）: ¥4.5億</w:t>
        <w:br/>
        <w:t>成長率フェーズ1（1〜5年）: 5.0%（住宅リフォーム需要増・単価転嫁）</w:t>
        <w:br/>
        <w:t>成長率フェーズ2（6〜10年）: 3.0%（成熟化）</w:t>
        <w:br/>
        <w:t>永続成長率（g）: 1.5%（GDP成長率下限目安）</w:t>
        <w:br/>
        <w:t>WACC: 6.04%</w:t>
        <w:br/>
        <w:t>発行済株式数（推計）: 約350万株</w:t>
      </w:r>
    </w:p>
    <w:p/>
    <w:p>
      <w:r>
        <w:rPr>
          <w:rFonts w:ascii="Meiryo UI" w:hAnsi="Meiryo UI"/>
          <w:sz w:val="20"/>
        </w:rPr>
        <w:t>FCFキャッシュフロー折現計算: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w:t>
            </w:r>
          </w:p>
        </w:tc>
        <w:tc>
          <w:tcPr>
            <w:tcW w:type="dxa" w:w="2351"/>
            <w:shd w:val="clear" w:color="auto" w:fill="2E74B5"/>
          </w:tcPr>
          <w:p>
            <w:r>
              <w:rPr>
                <w:rFonts w:ascii="Meiryo UI" w:hAnsi="Meiryo UI"/>
                <w:b/>
                <w:color w:val="FFFFFF"/>
                <w:sz w:val="18"/>
              </w:rPr>
              <w:t>FCF（百万円）</w:t>
            </w:r>
          </w:p>
        </w:tc>
        <w:tc>
          <w:tcPr>
            <w:tcW w:type="dxa" w:w="2351"/>
            <w:shd w:val="clear" w:color="auto" w:fill="2E74B5"/>
          </w:tcPr>
          <w:p>
            <w:r>
              <w:rPr>
                <w:rFonts w:ascii="Meiryo UI" w:hAnsi="Meiryo UI"/>
                <w:b/>
                <w:color w:val="FFFFFF"/>
                <w:sz w:val="18"/>
              </w:rPr>
              <w:t>割引率（WACC=6.04%）</w:t>
            </w:r>
          </w:p>
        </w:tc>
        <w:tc>
          <w:tcPr>
            <w:tcW w:type="dxa" w:w="2351"/>
            <w:shd w:val="clear" w:color="auto" w:fill="2E74B5"/>
          </w:tcPr>
          <w:p>
            <w:r>
              <w:rPr>
                <w:rFonts w:ascii="Meiryo UI" w:hAnsi="Meiryo UI"/>
                <w:b/>
                <w:color w:val="FFFFFF"/>
                <w:sz w:val="18"/>
              </w:rPr>
              <w:t>PV（百万円）</w:t>
            </w:r>
          </w:p>
        </w:tc>
      </w:tr>
      <w:tr>
        <w:tc>
          <w:tcPr>
            <w:tcW w:type="dxa" w:w="2351"/>
          </w:tcPr>
          <w:p>
            <w:r>
              <w:rPr>
                <w:rFonts w:ascii="Meiryo UI" w:hAnsi="Meiryo UI"/>
                <w:sz w:val="18"/>
              </w:rPr>
              <w:t>1</w:t>
            </w:r>
          </w:p>
        </w:tc>
        <w:tc>
          <w:tcPr>
            <w:tcW w:type="dxa" w:w="2351"/>
          </w:tcPr>
          <w:p>
            <w:r>
              <w:rPr>
                <w:rFonts w:ascii="Meiryo UI" w:hAnsi="Meiryo UI"/>
                <w:sz w:val="18"/>
              </w:rPr>
              <w:t>472.5</w:t>
            </w:r>
          </w:p>
        </w:tc>
        <w:tc>
          <w:tcPr>
            <w:tcW w:type="dxa" w:w="2351"/>
          </w:tcPr>
          <w:p>
            <w:r>
              <w:rPr>
                <w:rFonts w:ascii="Meiryo UI" w:hAnsi="Meiryo UI"/>
                <w:sz w:val="18"/>
              </w:rPr>
              <w:t>0.9430</w:t>
            </w:r>
          </w:p>
        </w:tc>
        <w:tc>
          <w:tcPr>
            <w:tcW w:type="dxa" w:w="2351"/>
          </w:tcPr>
          <w:p>
            <w:r>
              <w:rPr>
                <w:rFonts w:ascii="Meiryo UI" w:hAnsi="Meiryo UI"/>
                <w:sz w:val="18"/>
              </w:rPr>
              <w:t>445.7</w:t>
            </w:r>
          </w:p>
        </w:tc>
      </w:tr>
      <w:tr>
        <w:tc>
          <w:tcPr>
            <w:tcW w:type="dxa" w:w="2351"/>
            <w:shd w:val="clear" w:color="auto" w:fill="DDEBF7"/>
          </w:tcPr>
          <w:p>
            <w:r>
              <w:rPr>
                <w:rFonts w:ascii="Meiryo UI" w:hAnsi="Meiryo UI"/>
                <w:sz w:val="18"/>
              </w:rPr>
              <w:t>2</w:t>
            </w:r>
          </w:p>
        </w:tc>
        <w:tc>
          <w:tcPr>
            <w:tcW w:type="dxa" w:w="2351"/>
            <w:shd w:val="clear" w:color="auto" w:fill="DDEBF7"/>
          </w:tcPr>
          <w:p>
            <w:r>
              <w:rPr>
                <w:rFonts w:ascii="Meiryo UI" w:hAnsi="Meiryo UI"/>
                <w:sz w:val="18"/>
              </w:rPr>
              <w:t>496.1</w:t>
            </w:r>
          </w:p>
        </w:tc>
        <w:tc>
          <w:tcPr>
            <w:tcW w:type="dxa" w:w="2351"/>
            <w:shd w:val="clear" w:color="auto" w:fill="DDEBF7"/>
          </w:tcPr>
          <w:p>
            <w:r>
              <w:rPr>
                <w:rFonts w:ascii="Meiryo UI" w:hAnsi="Meiryo UI"/>
                <w:sz w:val="18"/>
              </w:rPr>
              <w:t>0.8893</w:t>
            </w:r>
          </w:p>
        </w:tc>
        <w:tc>
          <w:tcPr>
            <w:tcW w:type="dxa" w:w="2351"/>
            <w:shd w:val="clear" w:color="auto" w:fill="DDEBF7"/>
          </w:tcPr>
          <w:p>
            <w:r>
              <w:rPr>
                <w:rFonts w:ascii="Meiryo UI" w:hAnsi="Meiryo UI"/>
                <w:sz w:val="18"/>
              </w:rPr>
              <w:t>441.1</w:t>
            </w:r>
          </w:p>
        </w:tc>
      </w:tr>
      <w:tr>
        <w:tc>
          <w:tcPr>
            <w:tcW w:type="dxa" w:w="2351"/>
          </w:tcPr>
          <w:p>
            <w:r>
              <w:rPr>
                <w:rFonts w:ascii="Meiryo UI" w:hAnsi="Meiryo UI"/>
                <w:sz w:val="18"/>
              </w:rPr>
              <w:t>3</w:t>
            </w:r>
          </w:p>
        </w:tc>
        <w:tc>
          <w:tcPr>
            <w:tcW w:type="dxa" w:w="2351"/>
          </w:tcPr>
          <w:p>
            <w:r>
              <w:rPr>
                <w:rFonts w:ascii="Meiryo UI" w:hAnsi="Meiryo UI"/>
                <w:sz w:val="18"/>
              </w:rPr>
              <w:t>520.9</w:t>
            </w:r>
          </w:p>
        </w:tc>
        <w:tc>
          <w:tcPr>
            <w:tcW w:type="dxa" w:w="2351"/>
          </w:tcPr>
          <w:p>
            <w:r>
              <w:rPr>
                <w:rFonts w:ascii="Meiryo UI" w:hAnsi="Meiryo UI"/>
                <w:sz w:val="18"/>
              </w:rPr>
              <w:t>0.8387</w:t>
            </w:r>
          </w:p>
        </w:tc>
        <w:tc>
          <w:tcPr>
            <w:tcW w:type="dxa" w:w="2351"/>
          </w:tcPr>
          <w:p>
            <w:r>
              <w:rPr>
                <w:rFonts w:ascii="Meiryo UI" w:hAnsi="Meiryo UI"/>
                <w:sz w:val="18"/>
              </w:rPr>
              <w:t>436.8</w:t>
            </w:r>
          </w:p>
        </w:tc>
      </w:tr>
      <w:tr>
        <w:tc>
          <w:tcPr>
            <w:tcW w:type="dxa" w:w="2351"/>
            <w:shd w:val="clear" w:color="auto" w:fill="DDEBF7"/>
          </w:tcPr>
          <w:p>
            <w:r>
              <w:rPr>
                <w:rFonts w:ascii="Meiryo UI" w:hAnsi="Meiryo UI"/>
                <w:sz w:val="18"/>
              </w:rPr>
              <w:t>4</w:t>
            </w:r>
          </w:p>
        </w:tc>
        <w:tc>
          <w:tcPr>
            <w:tcW w:type="dxa" w:w="2351"/>
            <w:shd w:val="clear" w:color="auto" w:fill="DDEBF7"/>
          </w:tcPr>
          <w:p>
            <w:r>
              <w:rPr>
                <w:rFonts w:ascii="Meiryo UI" w:hAnsi="Meiryo UI"/>
                <w:sz w:val="18"/>
              </w:rPr>
              <w:t>547.0</w:t>
            </w:r>
          </w:p>
        </w:tc>
        <w:tc>
          <w:tcPr>
            <w:tcW w:type="dxa" w:w="2351"/>
            <w:shd w:val="clear" w:color="auto" w:fill="DDEBF7"/>
          </w:tcPr>
          <w:p>
            <w:r>
              <w:rPr>
                <w:rFonts w:ascii="Meiryo UI" w:hAnsi="Meiryo UI"/>
                <w:sz w:val="18"/>
              </w:rPr>
              <w:t>0.7910</w:t>
            </w:r>
          </w:p>
        </w:tc>
        <w:tc>
          <w:tcPr>
            <w:tcW w:type="dxa" w:w="2351"/>
            <w:shd w:val="clear" w:color="auto" w:fill="DDEBF7"/>
          </w:tcPr>
          <w:p>
            <w:r>
              <w:rPr>
                <w:rFonts w:ascii="Meiryo UI" w:hAnsi="Meiryo UI"/>
                <w:sz w:val="18"/>
              </w:rPr>
              <w:t>432.7</w:t>
            </w:r>
          </w:p>
        </w:tc>
      </w:tr>
      <w:tr>
        <w:tc>
          <w:tcPr>
            <w:tcW w:type="dxa" w:w="2351"/>
          </w:tcPr>
          <w:p>
            <w:r>
              <w:rPr>
                <w:rFonts w:ascii="Meiryo UI" w:hAnsi="Meiryo UI"/>
                <w:sz w:val="18"/>
              </w:rPr>
              <w:t>5</w:t>
            </w:r>
          </w:p>
        </w:tc>
        <w:tc>
          <w:tcPr>
            <w:tcW w:type="dxa" w:w="2351"/>
          </w:tcPr>
          <w:p>
            <w:r>
              <w:rPr>
                <w:rFonts w:ascii="Meiryo UI" w:hAnsi="Meiryo UI"/>
                <w:sz w:val="18"/>
              </w:rPr>
              <w:t>574.3</w:t>
            </w:r>
          </w:p>
        </w:tc>
        <w:tc>
          <w:tcPr>
            <w:tcW w:type="dxa" w:w="2351"/>
          </w:tcPr>
          <w:p>
            <w:r>
              <w:rPr>
                <w:rFonts w:ascii="Meiryo UI" w:hAnsi="Meiryo UI"/>
                <w:sz w:val="18"/>
              </w:rPr>
              <w:t>0.7459</w:t>
            </w:r>
          </w:p>
        </w:tc>
        <w:tc>
          <w:tcPr>
            <w:tcW w:type="dxa" w:w="2351"/>
          </w:tcPr>
          <w:p>
            <w:r>
              <w:rPr>
                <w:rFonts w:ascii="Meiryo UI" w:hAnsi="Meiryo UI"/>
                <w:sz w:val="18"/>
              </w:rPr>
              <w:t>428.3</w:t>
            </w:r>
          </w:p>
        </w:tc>
      </w:tr>
      <w:tr>
        <w:tc>
          <w:tcPr>
            <w:tcW w:type="dxa" w:w="2351"/>
            <w:shd w:val="clear" w:color="auto" w:fill="DDEBF7"/>
          </w:tcPr>
          <w:p>
            <w:r>
              <w:rPr>
                <w:rFonts w:ascii="Meiryo UI" w:hAnsi="Meiryo UI"/>
                <w:sz w:val="18"/>
              </w:rPr>
              <w:t>6〜10（成長率3.0%）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約¥1,750百万（合計PV）</w:t>
            </w:r>
          </w:p>
        </w:tc>
      </w:tr>
    </w:tbl>
    <w:p/>
    <w:p>
      <w:pPr>
        <w:shd w:val="clear" w:color="auto" w:fill="F2F2F2"/>
      </w:pPr>
      <w:r>
        <w:rPr>
          <w:rFonts w:ascii="Courier New" w:hAnsi="Courier New"/>
          <w:sz w:val="16"/>
        </w:rPr>
        <w:t>フェーズ1合計PV（1〜5年）: 約¥2,185百万</w:t>
        <w:br/>
        <w:t>フェーズ2合計PV（6〜10年）: 約¥1,750百万</w:t>
        <w:br/>
        <w:t>ターミナルバリュー（PV換算）:</w:t>
        <w:br/>
        <w:t xml:space="preserve">  TV = FCF(10年) × (1+g) / (WACC - g)</w:t>
        <w:br/>
        <w:t xml:space="preserve">  FCF(10年) ≒ ¥700百万</w:t>
        <w:br/>
        <w:t xml:space="preserve">  TV = 700 × 1.015 / (0.0604 - 0.015)</w:t>
        <w:br/>
        <w:t xml:space="preserve">  TV = 710.5 / 0.0454</w:t>
        <w:br/>
        <w:t xml:space="preserve">  TV = ¥15,651百万</w:t>
        <w:br/>
        <w:t xml:space="preserve">  TV-PV = ¥15,651 × 0.5537（10年割引）= 約¥8,668百万</w:t>
        <w:br/>
        <w:br/>
        <w:t>企業価値合計（EV）:</w:t>
        <w:br/>
        <w:t xml:space="preserve">  ¥2,185 + ¥1,750 + ¥8,668 = ¥12,603百万</w:t>
        <w:br/>
        <w:br/>
        <w:t>ネット有利子負債（推計）: ▲¥500百万（実質キャッシュ超過）</w:t>
        <w:br/>
        <w:t>エクイティバリュー: ¥12,603 + ¥500 = ¥13,103百万</w:t>
        <w:br/>
        <w:br/>
        <w:t>理論株価（DCF）:</w:t>
        <w:br/>
        <w:t xml:space="preserve">  ¥13,103百万 ÷ 350万株 = ¥3,743/株</w:t>
      </w:r>
    </w:p>
    <w:p/>
    <w:p>
      <w:r>
        <w:rPr>
          <w:rFonts w:ascii="Meiryo UI" w:hAnsi="Meiryo UI"/>
          <w:sz w:val="20"/>
        </w:rPr>
        <w:t>&gt; ⚠️ DCF単独理論株価¥3,743は過大に見える。理由：アトムリビンテックのFCFは小さく（¥4〜5億/年）、ターミナルバリューへの依存度が極めて高い（全体の70%超）。成長率・WACC前提の微変化で大きくブレる。PBRアプローチとの折衷が現実的。</w:t>
      </w:r>
    </w:p>
    <w:p/>
    <w:p>
      <w:r>
        <w:t>──────────────────────────────────────────────────</w:t>
      </w:r>
    </w:p>
    <w:p/>
    <w:p>
      <w:pPr>
        <w:pStyle w:val="Heading3"/>
      </w:pPr>
      <w:r>
        <w:rPr>
          <w:rFonts w:ascii="Meiryo UI" w:hAnsi="Meiryo UI"/>
          <w:color w:val="2E74B5"/>
        </w:rPr>
        <w:t>4-3. PBR/ROEベースの適正株価（現実的アプローチ）</w:t>
      </w:r>
    </w:p>
    <w:p/>
    <w:p>
      <w:r>
        <w:rPr>
          <w:rFonts w:ascii="Meiryo UI" w:hAnsi="Meiryo UI"/>
          <w:sz w:val="20"/>
        </w:rPr>
        <w:t>理論PBR = ROE / 株主資本コスト（Re）</w:t>
      </w:r>
    </w:p>
    <w:p/>
    <w:p>
      <w:pPr>
        <w:shd w:val="clear" w:color="auto" w:fill="F2F2F2"/>
      </w:pPr>
      <w:r>
        <w:rPr>
          <w:rFonts w:ascii="Courier New" w:hAnsi="Courier New"/>
          <w:sz w:val="16"/>
        </w:rPr>
        <w:t>ROE:  3.6%（確定値）</w:t>
        <w:br/>
        <w:t>Re:   6.9%</w:t>
        <w:br/>
        <w:t>理論PBR = 3.6% / 6.9% = 0.522倍</w:t>
        <w:br/>
        <w:br/>
        <w:t>適正株価（PBRアプローチ）= BPS × 理論PBR</w:t>
        <w:br/>
        <w:t>= ¥2,657 × 0.522 = ¥1,387</w:t>
        <w:br/>
        <w:br/>
        <w:t>実力EPS（¥110〜120想定）での修正:</w:t>
        <w:br/>
        <w:t xml:space="preserve">  実力ROE = ¥115 / ¥2,657 = 4.33%</w:t>
        <w:br/>
        <w:t xml:space="preserve">  修正理論PBR = 4.33% / 6.9% = 0.628倍</w:t>
        <w:br/>
        <w:t xml:space="preserve">  修正理論株価 = ¥2,657 × 0.628 = ¥1,668</w:t>
      </w:r>
    </w:p>
    <w:p/>
    <w:p>
      <w:r>
        <w:t>──────────────────────────────────────────────────</w:t>
      </w:r>
    </w:p>
    <w:p/>
    <w:p>
      <w:pPr>
        <w:pStyle w:val="Heading3"/>
      </w:pPr>
      <w:r>
        <w:rPr>
          <w:rFonts w:ascii="Meiryo UI" w:hAnsi="Meiryo UI"/>
          <w:color w:val="2E74B5"/>
        </w:rPr>
        <w:t>4-4. 統合理論株価（総合判断）</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加重平均への貢献</w:t>
            </w:r>
          </w:p>
        </w:tc>
      </w:tr>
      <w:tr>
        <w:tc>
          <w:tcPr>
            <w:tcW w:type="dxa" w:w="2351"/>
          </w:tcPr>
          <w:p>
            <w:r>
              <w:rPr>
                <w:rFonts w:ascii="Meiryo UI" w:hAnsi="Meiryo UI"/>
                <w:sz w:val="18"/>
              </w:rPr>
              <w:t>DCFアプローチ（保守的FCF）</w:t>
            </w:r>
          </w:p>
        </w:tc>
        <w:tc>
          <w:tcPr>
            <w:tcW w:type="dxa" w:w="2351"/>
          </w:tcPr>
          <w:p>
            <w:r>
              <w:rPr>
                <w:rFonts w:ascii="Meiryo UI" w:hAnsi="Meiryo UI"/>
                <w:sz w:val="18"/>
              </w:rPr>
              <w:t>¥1,900（保守修正後）</w:t>
            </w:r>
          </w:p>
        </w:tc>
        <w:tc>
          <w:tcPr>
            <w:tcW w:type="dxa" w:w="2351"/>
          </w:tcPr>
          <w:p>
            <w:r>
              <w:rPr>
                <w:rFonts w:ascii="Meiryo UI" w:hAnsi="Meiryo UI"/>
                <w:sz w:val="18"/>
              </w:rPr>
              <w:t>30%</w:t>
            </w:r>
          </w:p>
        </w:tc>
        <w:tc>
          <w:tcPr>
            <w:tcW w:type="dxa" w:w="2351"/>
          </w:tcPr>
          <w:p>
            <w:r>
              <w:rPr>
                <w:rFonts w:ascii="Meiryo UI" w:hAnsi="Meiryo UI"/>
                <w:sz w:val="18"/>
              </w:rPr>
              <w:t>¥570</w:t>
            </w:r>
          </w:p>
        </w:tc>
      </w:tr>
      <w:tr>
        <w:tc>
          <w:tcPr>
            <w:tcW w:type="dxa" w:w="2351"/>
            <w:shd w:val="clear" w:color="auto" w:fill="DDEBF7"/>
          </w:tcPr>
          <w:p>
            <w:r>
              <w:rPr>
                <w:rFonts w:ascii="Meiryo UI" w:hAnsi="Meiryo UI"/>
                <w:sz w:val="18"/>
              </w:rPr>
              <w:t>PBRアプローチ（現状ROE）</w:t>
            </w:r>
          </w:p>
        </w:tc>
        <w:tc>
          <w:tcPr>
            <w:tcW w:type="dxa" w:w="2351"/>
            <w:shd w:val="clear" w:color="auto" w:fill="DDEBF7"/>
          </w:tcPr>
          <w:p>
            <w:r>
              <w:rPr>
                <w:rFonts w:ascii="Meiryo UI" w:hAnsi="Meiryo UI"/>
                <w:sz w:val="18"/>
              </w:rPr>
              <w:t>¥1,387</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¥555</w:t>
            </w:r>
          </w:p>
        </w:tc>
      </w:tr>
      <w:tr>
        <w:tc>
          <w:tcPr>
            <w:tcW w:type="dxa" w:w="2351"/>
          </w:tcPr>
          <w:p>
            <w:r>
              <w:rPr>
                <w:rFonts w:ascii="Meiryo UI" w:hAnsi="Meiryo UI"/>
                <w:sz w:val="18"/>
              </w:rPr>
              <w:t>PBRアプローチ（実力ROE）</w:t>
            </w:r>
          </w:p>
        </w:tc>
        <w:tc>
          <w:tcPr>
            <w:tcW w:type="dxa" w:w="2351"/>
          </w:tcPr>
          <w:p>
            <w:r>
              <w:rPr>
                <w:rFonts w:ascii="Meiryo UI" w:hAnsi="Meiryo UI"/>
                <w:sz w:val="18"/>
              </w:rPr>
              <w:t>¥1,668</w:t>
            </w:r>
          </w:p>
        </w:tc>
        <w:tc>
          <w:tcPr>
            <w:tcW w:type="dxa" w:w="2351"/>
          </w:tcPr>
          <w:p>
            <w:r>
              <w:rPr>
                <w:rFonts w:ascii="Meiryo UI" w:hAnsi="Meiryo UI"/>
                <w:sz w:val="18"/>
              </w:rPr>
              <w:t>30%</w:t>
            </w:r>
          </w:p>
        </w:tc>
        <w:tc>
          <w:tcPr>
            <w:tcW w:type="dxa" w:w="2351"/>
          </w:tcPr>
          <w:p>
            <w:r>
              <w:rPr>
                <w:rFonts w:ascii="Meiryo UI" w:hAnsi="Meiryo UI"/>
                <w:sz w:val="18"/>
              </w:rPr>
              <w:t>¥500</w:t>
            </w:r>
          </w:p>
        </w:tc>
      </w:tr>
      <w:tr>
        <w:tc>
          <w:tcPr>
            <w:tcW w:type="dxa" w:w="2351"/>
            <w:shd w:val="clear" w:color="auto" w:fill="DDEBF7"/>
          </w:tcPr>
          <w:p>
            <w:r>
              <w:rPr>
                <w:rFonts w:ascii="Meiryo UI" w:hAnsi="Meiryo UI"/>
                <w:sz w:val="18"/>
              </w:rPr>
              <w:t>統合理論株価（FV）</w:t>
            </w:r>
          </w:p>
        </w:tc>
        <w:tc>
          <w:tcPr>
            <w:tcW w:type="dxa" w:w="2351"/>
            <w:shd w:val="clear" w:color="auto" w:fill="DDEBF7"/>
          </w:tcPr>
          <w:p>
            <w:r>
              <w:rPr>
                <w:rFonts w:ascii="Meiryo UI" w:hAnsi="Meiryo UI"/>
                <w:sz w:val="18"/>
              </w:rPr>
              <w:t>¥1,625</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w:t>
            </w:r>
          </w:p>
        </w:tc>
      </w:tr>
    </w:tbl>
    <w:p/>
    <w:p>
      <w:r>
        <w:rPr>
          <w:rFonts w:ascii="Meiryo UI" w:hAnsi="Meiryo UI"/>
          <w:sz w:val="20"/>
        </w:rPr>
        <w:t>&gt; フェアバリュー: ¥1,580〜¥1,720（レンジ表示）</w:t>
      </w:r>
    </w:p>
    <w:p>
      <w:r>
        <w:rPr>
          <w:rFonts w:ascii="Meiryo UI" w:hAnsi="Meiryo UI"/>
          <w:sz w:val="20"/>
        </w:rPr>
        <w:t>&gt; 現在値¥1,300比: +22〜+32%の上値余地</w:t>
      </w:r>
    </w:p>
    <w:p/>
    <w:p>
      <w:r>
        <w:rPr>
          <w:rFonts w:ascii="Meiryo UI" w:hAnsi="Meiryo UI"/>
          <w:sz w:val="20"/>
        </w:rPr>
        <w:t>安全域（Margin of Safety）考慮後の買い推奨レンジ:</w:t>
      </w:r>
    </w:p>
    <w:p>
      <w:pPr>
        <w:shd w:val="clear" w:color="auto" w:fill="F2F2F2"/>
      </w:pPr>
      <w:r>
        <w:rPr>
          <w:rFonts w:ascii="Courier New" w:hAnsi="Courier New"/>
          <w:sz w:val="16"/>
        </w:rPr>
        <w:t>MoS 20%バッファ適用後の推奨買いゾーン:</w:t>
        <w:br/>
        <w:t xml:space="preserve">  ¥1,625 × (1 - 0.20) = ¥1,300</w:t>
        <w:br/>
        <w:br/>
        <w:t>→ 現在値¥1,300は既にMoS20%を達成している水準</w:t>
        <w:br/>
        <w:t>→ 「バリュー的には買い領域に入っている」と評価できる</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投資判断: ★★★☆☆ 【中立 → 条件付き買い】</w:t>
      </w:r>
    </w:p>
    <w:p/>
    <w:p>
      <w:pPr>
        <w:shd w:val="clear" w:color="auto" w:fill="F2F2F2"/>
      </w:pPr>
      <w:r>
        <w:rPr>
          <w:rFonts w:ascii="Courier New" w:hAnsi="Courier New"/>
          <w:sz w:val="16"/>
        </w:rPr>
        <w:t>現在値:         ¥1,300</w:t>
        <w:br/>
        <w:t>理論株価（FV）:  ¥1,625（レンジ: ¥1,580〜¥1,720）</w:t>
        <w:br/>
        <w:t>上値余地:        +25%（基本ケース）</w:t>
        <w:br/>
        <w:t>MoS到達判断:    ✅（20%バッファ充足）</w:t>
      </w:r>
    </w:p>
    <w:p/>
    <w:p>
      <w:r>
        <w:rPr>
          <w:rFonts w:ascii="Meiryo UI" w:hAnsi="Meiryo UI"/>
          <w:sz w:val="20"/>
        </w:rPr>
        <w:t>「中立」に留める理由:</w:t>
      </w:r>
    </w:p>
    <w:p>
      <w:pPr>
        <w:pStyle w:val="ListNumber"/>
      </w:pPr>
      <w:r>
        <w:rPr>
          <w:rFonts w:ascii="Meiryo UI" w:hAnsi="Meiryo UI"/>
          <w:sz w:val="20"/>
        </w:rPr>
        <w:t>ROE3.6%が株主資本コスト（6.9%）を大幅に下回る「価値破壊状態」</w:t>
      </w:r>
    </w:p>
    <w:p>
      <w:pPr>
        <w:pStyle w:val="ListNumber"/>
      </w:pPr>
      <w:r>
        <w:rPr>
          <w:rFonts w:ascii="Meiryo UI" w:hAnsi="Meiryo UI"/>
          <w:sz w:val="20"/>
        </w:rPr>
        <w:t>ホルムズリスクによる短期利益率悪化の不透明性</w:t>
      </w:r>
    </w:p>
    <w:p>
      <w:pPr>
        <w:pStyle w:val="ListNumber"/>
      </w:pPr>
      <w:r>
        <w:rPr>
          <w:rFonts w:ascii="Meiryo UI" w:hAnsi="Meiryo UI"/>
          <w:sz w:val="20"/>
        </w:rPr>
        <w:t>中小型株特有の流動性リスク（時価総額約¥45億の薄商い）</w:t>
      </w:r>
    </w:p>
    <w:p/>
    <w:p>
      <w:r>
        <w:rPr>
          <w:rFonts w:ascii="Meiryo UI" w:hAnsi="Meiryo UI"/>
          <w:sz w:val="20"/>
        </w:rPr>
        <w:t>「条件付き買い」の根拠:</w:t>
      </w:r>
    </w:p>
    <w:p>
      <w:pPr>
        <w:pStyle w:val="ListNumber"/>
      </w:pPr>
      <w:r>
        <w:rPr>
          <w:rFonts w:ascii="Meiryo UI" w:hAnsi="Meiryo UI"/>
          <w:sz w:val="20"/>
        </w:rPr>
        <w:t>PBR0.49倍の深い割安性（解散価値バッファ）</w:t>
      </w:r>
    </w:p>
    <w:p>
      <w:pPr>
        <w:pStyle w:val="ListNumber"/>
      </w:pPr>
      <w:r>
        <w:rPr>
          <w:rFonts w:ascii="Meiryo UI" w:hAnsi="Meiryo UI"/>
          <w:sz w:val="20"/>
        </w:rPr>
        <w:t>住宅リフォームの構造的需要増（中古住宅流通拡大）</w:t>
      </w:r>
    </w:p>
    <w:p>
      <w:pPr>
        <w:pStyle w:val="ListNumber"/>
      </w:pPr>
      <w:r>
        <w:rPr>
          <w:rFonts w:ascii="Meiryo UI" w:hAnsi="Meiryo UI"/>
          <w:sz w:val="20"/>
        </w:rPr>
        <w:t>東証改革によるPBR改善アクション発動余地</w:t>
      </w:r>
    </w:p>
    <w:p/>
    <w:p>
      <w:r>
        <w:t>──────────────────────────────────────────────────</w:t>
      </w:r>
    </w:p>
    <w:p/>
    <w:p>
      <w:pPr>
        <w:pStyle w:val="Heading2"/>
      </w:pPr>
      <w:r>
        <w:rPr>
          <w:rFonts w:ascii="Meiryo UI" w:hAnsi="Meiryo UI"/>
          <w:color w:val="2E74B5"/>
        </w:rPr>
        <w:t>6. メインシナリオ vs リスクシナリオ（3ケース）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想定内容</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確率</w:t>
            </w:r>
          </w:p>
        </w:tc>
      </w:tr>
      <w:tr>
        <w:tc>
          <w:tcPr>
            <w:tcW w:type="dxa" w:w="2351"/>
          </w:tcPr>
          <w:p>
            <w:r>
              <w:rPr>
                <w:rFonts w:ascii="Meiryo UI" w:hAnsi="Meiryo UI"/>
                <w:sz w:val="18"/>
              </w:rPr>
              <w:t>強気（Bull）</w:t>
            </w:r>
          </w:p>
        </w:tc>
        <w:tc>
          <w:tcPr>
            <w:tcW w:type="dxa" w:w="2351"/>
          </w:tcPr>
          <w:p>
            <w:r>
              <w:rPr>
                <w:rFonts w:ascii="Meiryo UI" w:hAnsi="Meiryo UI"/>
                <w:sz w:val="18"/>
              </w:rPr>
              <w:t>ROE5%台回復 + 自社株買い発表 + 省エネリフォーム特需</w:t>
            </w:r>
          </w:p>
        </w:tc>
        <w:tc>
          <w:tcPr>
            <w:tcW w:type="dxa" w:w="2351"/>
          </w:tcPr>
          <w:p>
            <w:r>
              <w:rPr>
                <w:rFonts w:ascii="Meiryo UI" w:hAnsi="Meiryo UI"/>
                <w:sz w:val="18"/>
              </w:rPr>
              <w:t>¥2,200〜¥2,500</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基本（Base）</w:t>
            </w:r>
          </w:p>
        </w:tc>
        <w:tc>
          <w:tcPr>
            <w:tcW w:type="dxa" w:w="2351"/>
            <w:shd w:val="clear" w:color="auto" w:fill="DDEBF7"/>
          </w:tcPr>
          <w:p>
            <w:r>
              <w:rPr>
                <w:rFonts w:ascii="Meiryo UI" w:hAnsi="Meiryo UI"/>
                <w:sz w:val="18"/>
              </w:rPr>
              <w:t>ROE4%台へ緩やか改善 + 単価転嫁成功 + 需要増が利益に反映</w:t>
            </w:r>
          </w:p>
        </w:tc>
        <w:tc>
          <w:tcPr>
            <w:tcW w:type="dxa" w:w="2351"/>
            <w:shd w:val="clear" w:color="auto" w:fill="DDEBF7"/>
          </w:tcPr>
          <w:p>
            <w:r>
              <w:rPr>
                <w:rFonts w:ascii="Meiryo UI" w:hAnsi="Meiryo UI"/>
                <w:sz w:val="18"/>
              </w:rPr>
              <w:t>¥1,580〜¥1,720</w:t>
            </w:r>
          </w:p>
        </w:tc>
        <w:tc>
          <w:tcPr>
            <w:tcW w:type="dxa" w:w="2351"/>
            <w:shd w:val="clear" w:color="auto" w:fill="DDEBF7"/>
          </w:tcPr>
          <w:p>
            <w:r>
              <w:rPr>
                <w:rFonts w:ascii="Meiryo UI" w:hAnsi="Meiryo UI"/>
                <w:sz w:val="18"/>
              </w:rPr>
              <w:t>55%</w:t>
            </w:r>
          </w:p>
        </w:tc>
      </w:tr>
      <w:tr>
        <w:tc>
          <w:tcPr>
            <w:tcW w:type="dxa" w:w="2351"/>
          </w:tcPr>
          <w:p>
            <w:r>
              <w:rPr>
                <w:rFonts w:ascii="Meiryo UI" w:hAnsi="Meiryo UI"/>
                <w:sz w:val="18"/>
              </w:rPr>
              <w:t>弱気（Bear）</w:t>
            </w:r>
          </w:p>
        </w:tc>
        <w:tc>
          <w:tcPr>
            <w:tcW w:type="dxa" w:w="2351"/>
          </w:tcPr>
          <w:p>
            <w:r>
              <w:rPr>
                <w:rFonts w:ascii="Meiryo UI" w:hAnsi="Meiryo UI"/>
                <w:sz w:val="18"/>
              </w:rPr>
              <w:t>ホルムズ封鎖長期化 + 建材高騰 + ROE悪化 + 補助金打ち切り</w:t>
            </w:r>
          </w:p>
        </w:tc>
        <w:tc>
          <w:tcPr>
            <w:tcW w:type="dxa" w:w="2351"/>
          </w:tcPr>
          <w:p>
            <w:r>
              <w:rPr>
                <w:rFonts w:ascii="Meiryo UI" w:hAnsi="Meiryo UI"/>
                <w:sz w:val="18"/>
              </w:rPr>
              <w:t>¥1,000〜¥1,150</w:t>
            </w:r>
          </w:p>
        </w:tc>
        <w:tc>
          <w:tcPr>
            <w:tcW w:type="dxa" w:w="2351"/>
          </w:tcPr>
          <w:p>
            <w:r>
              <w:rPr>
                <w:rFonts w:ascii="Meiryo UI" w:hAnsi="Meiryo UI"/>
                <w:sz w:val="18"/>
              </w:rPr>
              <w:t>25%</w:t>
            </w:r>
          </w:p>
        </w:tc>
      </w:tr>
    </w:tbl>
    <w:p/>
    <w:p>
      <w:pPr>
        <w:pStyle w:val="Heading3"/>
      </w:pPr>
      <w:r>
        <w:rPr>
          <w:rFonts w:ascii="Meiryo UI" w:hAnsi="Meiryo UI"/>
          <w:color w:val="2E74B5"/>
        </w:rPr>
        <w:t>強気シナリオの詳細</w:t>
      </w:r>
    </w:p>
    <w:p>
      <w:pPr>
        <w:pStyle w:val="ListBullet"/>
      </w:pPr>
      <w:r>
        <w:rPr>
          <w:rFonts w:ascii="Meiryo UI" w:hAnsi="Meiryo UI"/>
          <w:sz w:val="20"/>
        </w:rPr>
        <w:t>省エネリフォーム補助金継続・拡大で受注急増</w:t>
      </w:r>
    </w:p>
    <w:p>
      <w:pPr>
        <w:pStyle w:val="ListBullet"/>
      </w:pPr>
      <w:r>
        <w:rPr>
          <w:rFonts w:ascii="Meiryo UI" w:hAnsi="Meiryo UI"/>
          <w:sz w:val="20"/>
        </w:rPr>
        <w:t>設備機器販売（エコキュート・蓄電池）の利益率高い案件急増</w:t>
      </w:r>
    </w:p>
    <w:p>
      <w:pPr>
        <w:pStyle w:val="ListBullet"/>
      </w:pPr>
      <w:r>
        <w:rPr>
          <w:rFonts w:ascii="Meiryo UI" w:hAnsi="Meiryo UI"/>
          <w:sz w:val="20"/>
        </w:rPr>
        <w:t>自社株買い実施でBPS希薄化逆行・EPS押し上げ</w:t>
      </w:r>
    </w:p>
    <w:p>
      <w:pPr>
        <w:pStyle w:val="ListBullet"/>
      </w:pPr>
      <w:r>
        <w:rPr>
          <w:rFonts w:ascii="Meiryo UI" w:hAnsi="Meiryo UI"/>
          <w:sz w:val="20"/>
        </w:rPr>
        <w:t>目標株価: ¥2,200〜¥2,500（BPS¥2,657の0.83〜0.94倍）</w:t>
      </w:r>
    </w:p>
    <w:p/>
    <w:p>
      <w:pPr>
        <w:pStyle w:val="Heading3"/>
      </w:pPr>
      <w:r>
        <w:rPr>
          <w:rFonts w:ascii="Meiryo UI" w:hAnsi="Meiryo UI"/>
          <w:color w:val="2E74B5"/>
        </w:rPr>
        <w:t>弱気シナリオの詳細</w:t>
      </w:r>
    </w:p>
    <w:p>
      <w:pPr>
        <w:pStyle w:val="ListBullet"/>
      </w:pPr>
      <w:r>
        <w:rPr>
          <w:rFonts w:ascii="Meiryo UI" w:hAnsi="Meiryo UI"/>
          <w:sz w:val="20"/>
        </w:rPr>
        <w:t>WTI$120超えでの建材・物流コスト急騰</w:t>
      </w:r>
    </w:p>
    <w:p>
      <w:pPr>
        <w:pStyle w:val="ListBullet"/>
      </w:pPr>
      <w:r>
        <w:rPr>
          <w:rFonts w:ascii="Meiryo UI" w:hAnsi="Meiryo UI"/>
          <w:sz w:val="20"/>
        </w:rPr>
        <w:t>職人不足による工期遅延→売上計上延期→資金繰り悪化</w:t>
      </w:r>
    </w:p>
    <w:p>
      <w:pPr>
        <w:pStyle w:val="ListBullet"/>
      </w:pPr>
      <w:r>
        <w:rPr>
          <w:rFonts w:ascii="Meiryo UI" w:hAnsi="Meiryo UI"/>
          <w:sz w:val="20"/>
        </w:rPr>
        <w:t>補助金予算枯渇で受注急ブレーキ</w:t>
      </w:r>
    </w:p>
    <w:p>
      <w:pPr>
        <w:pStyle w:val="ListBullet"/>
      </w:pPr>
      <w:r>
        <w:rPr>
          <w:rFonts w:ascii="Meiryo UI" w:hAnsi="Meiryo UI"/>
          <w:sz w:val="20"/>
        </w:rPr>
        <w:t>損切りライン: ¥1,100（PBR0.41倍、ネットキャッシュ割れ懸念水準）</w:t>
      </w:r>
    </w:p>
    <w:p/>
    <w:p>
      <w:r>
        <w:t>──────────────────────────────────────────────────</w:t>
      </w:r>
    </w:p>
    <w:p/>
    <w:p>
      <w:pPr>
        <w:pStyle w:val="Heading2"/>
      </w:pPr>
      <w:r>
        <w:rPr>
          <w:rFonts w:ascii="Meiryo UI" w:hAnsi="Meiryo UI"/>
          <w:color w:val="2E74B5"/>
        </w:rPr>
        <w:t>7. 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浅井速報スコア</w:t>
            </w:r>
          </w:p>
        </w:tc>
        <w:tc>
          <w:tcPr>
            <w:tcW w:type="dxa" w:w="2351"/>
            <w:shd w:val="clear" w:color="auto" w:fill="2E74B5"/>
          </w:tcPr>
          <w:p>
            <w:r>
              <w:rPr>
                <w:rFonts w:ascii="Meiryo UI" w:hAnsi="Meiryo UI"/>
                <w:b/>
                <w:color w:val="FFFFFF"/>
                <w:sz w:val="18"/>
              </w:rPr>
              <w:t>深井DCF/NAV評価</w:t>
            </w:r>
          </w:p>
        </w:tc>
        <w:tc>
          <w:tcPr>
            <w:tcW w:type="dxa" w:w="2351"/>
            <w:shd w:val="clear" w:color="auto" w:fill="2E74B5"/>
          </w:tcPr>
          <w:p>
            <w:r>
              <w:rPr>
                <w:rFonts w:ascii="Meiryo UI" w:hAnsi="Meiryo UI"/>
                <w:b/>
                <w:color w:val="FFFFFF"/>
                <w:sz w:val="18"/>
              </w:rPr>
              <w:t>統合判断</w:t>
            </w:r>
          </w:p>
        </w:tc>
      </w:tr>
      <w:tr>
        <w:tc>
          <w:tcPr>
            <w:tcW w:type="dxa" w:w="2351"/>
          </w:tcPr>
          <w:p>
            <w:r>
              <w:rPr>
                <w:rFonts w:ascii="Meiryo UI" w:hAnsi="Meiryo UI"/>
                <w:sz w:val="18"/>
              </w:rPr>
              <w:t>センチメント</w:t>
            </w:r>
          </w:p>
        </w:tc>
        <w:tc>
          <w:tcPr>
            <w:tcW w:type="dxa" w:w="2351"/>
          </w:tcPr>
          <w:p>
            <w:r>
              <w:rPr>
                <w:rFonts w:ascii="Meiryo UI" w:hAnsi="Meiryo UI"/>
                <w:sz w:val="18"/>
              </w:rPr>
              <w:t>+0（中立・スキャン外）</w:t>
            </w:r>
          </w:p>
        </w:tc>
        <w:tc>
          <w:tcPr>
            <w:tcW w:type="dxa" w:w="2351"/>
          </w:tcPr>
          <w:p>
            <w:r>
              <w:rPr>
                <w:rFonts w:ascii="Meiryo UI" w:hAnsi="Meiryo UI"/>
                <w:sz w:val="18"/>
              </w:rPr>
              <w:t>—</w:t>
            </w:r>
          </w:p>
        </w:tc>
        <w:tc>
          <w:tcPr>
            <w:tcW w:type="dxa" w:w="2351"/>
          </w:tcPr>
          <w:p>
            <w:r>
              <w:rPr>
                <w:rFonts w:ascii="Meiryo UI" w:hAnsi="Meiryo UI"/>
                <w:sz w:val="18"/>
              </w:rPr>
              <w:t>機関投資家未注目</w:t>
            </w:r>
          </w:p>
        </w:tc>
      </w:tr>
      <w:tr>
        <w:tc>
          <w:tcPr>
            <w:tcW w:type="dxa" w:w="2351"/>
            <w:shd w:val="clear" w:color="auto" w:fill="DDEBF7"/>
          </w:tcPr>
          <w:p>
            <w:r>
              <w:rPr>
                <w:rFonts w:ascii="Meiryo UI" w:hAnsi="Meiryo UI"/>
                <w:sz w:val="18"/>
              </w:rPr>
              <w:t>本源的価値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FV¥1,625（+25%）</w:t>
            </w:r>
          </w:p>
        </w:tc>
        <w:tc>
          <w:tcPr>
            <w:tcW w:type="dxa" w:w="2351"/>
            <w:shd w:val="clear" w:color="auto" w:fill="DDEBF7"/>
          </w:tcPr>
          <w:p>
            <w:r>
              <w:rPr>
                <w:rFonts w:ascii="Meiryo UI" w:hAnsi="Meiryo UI"/>
                <w:sz w:val="18"/>
              </w:rPr>
              <w:t>バリュー的割安</w:t>
            </w:r>
          </w:p>
        </w:tc>
      </w:tr>
      <w:tr>
        <w:tc>
          <w:tcPr>
            <w:tcW w:type="dxa" w:w="2351"/>
          </w:tcPr>
          <w:p>
            <w:r>
              <w:rPr>
                <w:rFonts w:ascii="Meiryo UI" w:hAnsi="Meiryo UI"/>
                <w:sz w:val="18"/>
              </w:rPr>
              <w:t>上値カタリスト</w:t>
            </w:r>
          </w:p>
        </w:tc>
        <w:tc>
          <w:tcPr>
            <w:tcW w:type="dxa" w:w="2351"/>
          </w:tcPr>
          <w:p>
            <w:r>
              <w:rPr>
                <w:rFonts w:ascii="Meiryo UI" w:hAnsi="Meiryo UI"/>
                <w:sz w:val="18"/>
              </w:rPr>
              <w:t>—</w:t>
            </w:r>
          </w:p>
        </w:tc>
        <w:tc>
          <w:tcPr>
            <w:tcW w:type="dxa" w:w="2351"/>
          </w:tcPr>
          <w:p>
            <w:r>
              <w:rPr>
                <w:rFonts w:ascii="Meiryo UI" w:hAnsi="Meiryo UI"/>
                <w:sz w:val="18"/>
              </w:rPr>
              <w:t>決算・自社株買い</w:t>
            </w:r>
          </w:p>
        </w:tc>
        <w:tc>
          <w:tcPr>
            <w:tcW w:type="dxa" w:w="2351"/>
          </w:tcPr>
          <w:p>
            <w:r>
              <w:rPr>
                <w:rFonts w:ascii="Meiryo UI" w:hAnsi="Meiryo UI"/>
                <w:sz w:val="18"/>
              </w:rPr>
              <w:t>要トリガー待ち</w:t>
            </w:r>
          </w:p>
        </w:tc>
      </w:tr>
      <w:tr>
        <w:tc>
          <w:tcPr>
            <w:tcW w:type="dxa" w:w="2351"/>
            <w:shd w:val="clear" w:color="auto" w:fill="DDEBF7"/>
          </w:tcPr>
          <w:p>
            <w:r>
              <w:rPr>
                <w:rFonts w:ascii="Meiryo UI" w:hAnsi="Meiryo UI"/>
                <w:sz w:val="18"/>
              </w:rPr>
              <w:t>統合評価</w:t>
            </w:r>
          </w:p>
        </w:tc>
        <w:tc>
          <w:tcPr>
            <w:tcW w:type="dxa" w:w="2351"/>
            <w:shd w:val="clear" w:color="auto" w:fill="DDEBF7"/>
          </w:tcPr>
          <w:p>
            <w:r>
              <w:rPr>
                <w:rFonts w:ascii="Meiryo UI" w:hAnsi="Meiryo UI"/>
                <w:sz w:val="18"/>
              </w:rPr>
              <w:t>乖離は中立〜ポジティブ</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r>
    </w:tbl>
    <w:p/>
    <w:p>
      <w:r>
        <w:rPr>
          <w:rFonts w:ascii="Meiryo UI" w:hAnsi="Meiryo UI"/>
          <w:sz w:val="20"/>
        </w:rPr>
        <w:t>ギャップ分析:</w:t>
      </w:r>
    </w:p>
    <w:p>
      <w:pPr>
        <w:pStyle w:val="ListBullet"/>
      </w:pPr>
      <w:r>
        <w:rPr>
          <w:rFonts w:ascii="Meiryo UI" w:hAnsi="Meiryo UI"/>
          <w:sz w:val="20"/>
        </w:rPr>
        <w:t>浅井速報がスキャン対象外（スコア+0）→ 市場のレーダーに引っかかっていない銘柄</w:t>
      </w:r>
    </w:p>
    <w:p>
      <w:pPr>
        <w:pStyle w:val="ListBullet"/>
      </w:pPr>
      <w:r>
        <w:rPr>
          <w:rFonts w:ascii="Meiryo UI" w:hAnsi="Meiryo UI"/>
          <w:sz w:val="20"/>
        </w:rPr>
        <w:t>本源的価値（¥1,625）と現在値（¥1,300）の乖離は+25%</w:t>
      </w:r>
    </w:p>
    <w:p>
      <w:pPr>
        <w:pStyle w:val="ListBullet"/>
      </w:pPr>
      <w:r>
        <w:rPr>
          <w:rFonts w:ascii="Meiryo UI" w:hAnsi="Meiryo UI"/>
          <w:sz w:val="20"/>
        </w:rPr>
        <w:t>センチメントが中立な今こそ「先回りエントリー」のチャンス</w:t>
      </w:r>
    </w:p>
    <w:p>
      <w:pPr>
        <w:pStyle w:val="ListBullet"/>
      </w:pPr>
      <w:r>
        <w:rPr>
          <w:rFonts w:ascii="Meiryo UI" w:hAnsi="Meiryo UI"/>
          <w:sz w:val="20"/>
        </w:rPr>
        <w:t>ただし、「割安なまま放置」されるバリュートラップリスクは常に存在</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エントリー戦略（分割3段階アプローチ）</w:t>
      </w:r>
    </w:p>
    <w:p/>
    <w:p>
      <w:pPr>
        <w:shd w:val="clear" w:color="auto" w:fill="F2F2F2"/>
      </w:pPr>
      <w:r>
        <w:rPr>
          <w:rFonts w:ascii="Courier New" w:hAnsi="Courier New"/>
          <w:sz w:val="16"/>
        </w:rPr>
        <w:t>【第1トランシェ（即時）】</w:t>
        <w:br/>
        <w:t xml:space="preserve">  エントリー価格: ¥1,280〜¥1,320</w:t>
        <w:br/>
        <w:t xml:space="preserve">  投入比率:      全体の30%</w:t>
        <w:br/>
        <w:t xml:space="preserve">  根拠:          MoS20%達成域・現在値近辺・バリュー的割安確認</w:t>
        <w:br/>
        <w:t xml:space="preserve">  </w:t>
        <w:br/>
        <w:t>【第2トランシェ（条件付き）】</w:t>
        <w:br/>
        <w:t xml:space="preserve">  タイミング:    2026年7月 本決算発表後</w:t>
        <w:br/>
        <w:t xml:space="preserve">  エントリー条件: 営業利益率3.5%以上 AND EPS¥95以上維持を確認</w:t>
        <w:br/>
        <w:t xml:space="preserve">  投入比率:      全体の40%</w:t>
        <w:br/>
        <w:t xml:space="preserve">  目標価格帯:    ¥1,250〜¥1,400（押し目があれば好機）</w:t>
        <w:br/>
        <w:br/>
        <w:t>【第3トランシェ（オプション）】</w:t>
        <w:br/>
        <w:t xml:space="preserve">  タイミング:    自社株買い・増配・資本政策発表時</w:t>
        <w:br/>
        <w:t xml:space="preserve">  投入比率:      全体の30%</w:t>
        <w:br/>
        <w:t xml:space="preserve">  条件:          PBR改善に向けた具体的経営アクション確認後</w:t>
      </w:r>
    </w:p>
    <w:p/>
    <w:p>
      <w:pPr>
        <w:pStyle w:val="Heading3"/>
      </w:pPr>
      <w:r>
        <w:rPr>
          <w:rFonts w:ascii="Meiryo UI" w:hAnsi="Meiryo UI"/>
          <w:color w:val="2E74B5"/>
        </w:rPr>
        <w:t>損切りライン</w:t>
      </w:r>
    </w:p>
    <w:p/>
    <w:p>
      <w:pPr>
        <w:shd w:val="clear" w:color="auto" w:fill="F2F2F2"/>
      </w:pPr>
      <w:r>
        <w:rPr>
          <w:rFonts w:ascii="Courier New" w:hAnsi="Courier New"/>
          <w:sz w:val="16"/>
        </w:rPr>
        <w:t>損切りライン: ¥1,100（絶対守れ）</w:t>
        <w:br/>
        <w:t>根拠:</w:t>
        <w:br/>
        <w:t xml:space="preserve">  - BPS¥2,657の41.4%（PBR0.414倍）</w:t>
        <w:br/>
        <w:t xml:space="preserve">  - 弱気シナリオ下限¥1,000〜¥1,150の上端</w:t>
        <w:br/>
        <w:t xml:space="preserve">  - これを割れると「バリュートラップ確定」と判断</w:t>
        <w:br/>
        <w:br/>
        <w:t>利益確定の目安:</w:t>
        <w:br/>
        <w:t xml:space="preserve">  - 第1目標: ¥1,580（+22%、FV下限到達）</w:t>
        <w:br/>
        <w:t xml:space="preserve">  - 第2目標: ¥1,720（+32%、FV上限到達）</w:t>
        <w:br/>
        <w:t xml:space="preserve">  - 強気なら: ¥2,000超（自社株買い等カタリスト発動時）</w:t>
      </w:r>
    </w:p>
    <w:p/>
    <w:p>
      <w:pPr>
        <w:pStyle w:val="Heading3"/>
      </w:pPr>
      <w:r>
        <w:rPr>
          <w:rFonts w:ascii="Meiryo UI" w:hAnsi="Meiryo UI"/>
          <w:color w:val="2E74B5"/>
        </w:rPr>
        <w:t>投資時間軸</w:t>
      </w:r>
    </w:p>
    <w:p/>
    <w:p>
      <w:pPr>
        <w:shd w:val="clear" w:color="auto" w:fill="F2F2F2"/>
      </w:pPr>
      <w:r>
        <w:rPr>
          <w:rFonts w:ascii="Courier New" w:hAnsi="Courier New"/>
          <w:sz w:val="16"/>
        </w:rPr>
        <w:t>推奨ホールド期間: 12〜24ヶ月</w:t>
        <w:br/>
        <w:t>理由:</w:t>
        <w:br/>
        <w:t xml:space="preserve">  - バリュー株の解消には「東証の圧力+経営判断」の時間が必要</w:t>
        <w:br/>
        <w:t xml:space="preserve">  - 住宅リフォーム需要の構造増は四半期単位ではなく年次で確認</w:t>
        <w:br/>
        <w:t xml:space="preserve">  - 短期トレードには向かない（流動性低・薄商い）</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&gt; 基本前提: WACC計算におけるRf変動がWACCを通じて理論株価に与える影響。</w:t>
      </w:r>
    </w:p>
    <w:p>
      <w:r>
        <w:rPr>
          <w:rFonts w:ascii="Meiryo UI" w:hAnsi="Meiryo UI"/>
          <w:sz w:val="20"/>
        </w:rPr>
        <w:t>&gt; PBR/ROEアプローチ（ウェイト40%+30%）とDCFアプローチ（ウェイト30%）の加重平均FV¥1,625を基準に感応度を算出。</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Rfシナリオ</w:t>
            </w:r>
          </w:p>
        </w:tc>
        <w:tc>
          <w:tcPr>
            <w:tcW w:type="dxa" w:w="1176"/>
            <w:shd w:val="clear" w:color="auto" w:fill="2E74B5"/>
          </w:tcPr>
          <w:p>
            <w:r>
              <w:rPr>
                <w:rFonts w:ascii="Meiryo UI" w:hAnsi="Meiryo UI"/>
                <w:b/>
                <w:color w:val="FFFFFF"/>
                <w:sz w:val="18"/>
              </w:rPr>
              <w:t>Rf (%)</w:t>
            </w:r>
          </w:p>
        </w:tc>
        <w:tc>
          <w:tcPr>
            <w:tcW w:type="dxa" w:w="1176"/>
            <w:shd w:val="clear" w:color="auto" w:fill="2E74B5"/>
          </w:tcPr>
          <w:p>
            <w:r>
              <w:rPr>
                <w:rFonts w:ascii="Meiryo UI" w:hAnsi="Meiryo UI"/>
                <w:b/>
                <w:color w:val="FFFFFF"/>
                <w:sz w:val="18"/>
              </w:rPr>
              <w:t>Re=Rf+β×ERP (%)</w:t>
            </w:r>
          </w:p>
        </w:tc>
        <w:tc>
          <w:tcPr>
            <w:tcW w:type="dxa" w:w="1176"/>
            <w:shd w:val="clear" w:color="auto" w:fill="2E74B5"/>
          </w:tcPr>
          <w:p>
            <w:r>
              <w:rPr>
                <w:rFonts w:ascii="Meiryo UI" w:hAnsi="Meiryo UI"/>
                <w:b/>
                <w:color w:val="FFFFFF"/>
                <w:sz w:val="18"/>
              </w:rPr>
              <w:t>WACC (%)</w:t>
            </w:r>
          </w:p>
        </w:tc>
        <w:tc>
          <w:tcPr>
            <w:tcW w:type="dxa" w:w="1176"/>
            <w:shd w:val="clear" w:color="auto" w:fill="2E74B5"/>
          </w:tcPr>
          <w:p>
            <w:r>
              <w:rPr>
                <w:rFonts w:ascii="Meiryo UI" w:hAnsi="Meiryo UI"/>
                <w:b/>
                <w:color w:val="FFFFFF"/>
                <w:sz w:val="18"/>
              </w:rPr>
              <w:t>DCF理論株価 (¥)</w:t>
            </w:r>
          </w:p>
        </w:tc>
        <w:tc>
          <w:tcPr>
            <w:tcW w:type="dxa" w:w="1176"/>
            <w:shd w:val="clear" w:color="auto" w:fill="2E74B5"/>
          </w:tcPr>
          <w:p>
            <w:r>
              <w:rPr>
                <w:rFonts w:ascii="Meiryo UI" w:hAnsi="Meiryo UI"/>
                <w:b/>
                <w:color w:val="FFFFFF"/>
                <w:sz w:val="18"/>
              </w:rPr>
              <w:t>PBR理論株価 (¥)</w:t>
            </w:r>
          </w:p>
        </w:tc>
        <w:tc>
          <w:tcPr>
            <w:tcW w:type="dxa" w:w="1176"/>
            <w:shd w:val="clear" w:color="auto" w:fill="2E74B5"/>
          </w:tcPr>
          <w:p>
            <w:r>
              <w:rPr>
                <w:rFonts w:ascii="Meiryo UI" w:hAnsi="Meiryo UI"/>
                <w:b/>
                <w:color w:val="FFFFFF"/>
                <w:sz w:val="18"/>
              </w:rPr>
              <w:t>統合FV (¥)</w:t>
            </w:r>
          </w:p>
        </w:tc>
        <w:tc>
          <w:tcPr>
            <w:tcW w:type="dxa" w:w="1176"/>
            <w:shd w:val="clear" w:color="auto" w:fill="2E74B5"/>
          </w:tcPr>
          <w:p>
            <w:r>
              <w:rPr>
                <w:rFonts w:ascii="Meiryo UI" w:hAnsi="Meiryo UI"/>
                <w:b/>
                <w:color w:val="FFFFFF"/>
                <w:sz w:val="18"/>
              </w:rPr>
              <w:t>現在値比乖離率</w:t>
            </w:r>
          </w:p>
        </w:tc>
      </w:tr>
      <w:tr>
        <w:tc>
          <w:tcPr>
            <w:tcW w:type="dxa" w:w="1176"/>
          </w:tcPr>
          <w:p>
            <w:r>
              <w:rPr>
                <w:rFonts w:ascii="Meiryo UI" w:hAnsi="Meiryo UI"/>
                <w:sz w:val="18"/>
              </w:rPr>
              <w:t>急低下（▲1.00%）</w:t>
            </w:r>
          </w:p>
        </w:tc>
        <w:tc>
          <w:tcPr>
            <w:tcW w:type="dxa" w:w="1176"/>
          </w:tcPr>
          <w:p>
            <w:r>
              <w:rPr>
                <w:rFonts w:ascii="Meiryo UI" w:hAnsi="Meiryo UI"/>
                <w:sz w:val="18"/>
              </w:rPr>
              <w:t>1.423%</w:t>
            </w:r>
          </w:p>
        </w:tc>
        <w:tc>
          <w:tcPr>
            <w:tcW w:type="dxa" w:w="1176"/>
          </w:tcPr>
          <w:p>
            <w:r>
              <w:rPr>
                <w:rFonts w:ascii="Meiryo UI" w:hAnsi="Meiryo UI"/>
                <w:sz w:val="18"/>
              </w:rPr>
              <w:t>5.923%</w:t>
            </w:r>
          </w:p>
        </w:tc>
        <w:tc>
          <w:tcPr>
            <w:tcW w:type="dxa" w:w="1176"/>
          </w:tcPr>
          <w:p>
            <w:r>
              <w:rPr>
                <w:rFonts w:ascii="Meiryo UI" w:hAnsi="Meiryo UI"/>
                <w:sz w:val="18"/>
              </w:rPr>
              <w:t>5.05%</w:t>
            </w:r>
          </w:p>
        </w:tc>
        <w:tc>
          <w:tcPr>
            <w:tcW w:type="dxa" w:w="1176"/>
          </w:tcPr>
          <w:p>
            <w:r>
              <w:rPr>
                <w:rFonts w:ascii="Meiryo UI" w:hAnsi="Meiryo UI"/>
                <w:sz w:val="18"/>
              </w:rPr>
              <w:t>¥2,210</w:t>
            </w:r>
          </w:p>
        </w:tc>
        <w:tc>
          <w:tcPr>
            <w:tcW w:type="dxa" w:w="1176"/>
          </w:tcPr>
          <w:p>
            <w:r>
              <w:rPr>
                <w:rFonts w:ascii="Meiryo UI" w:hAnsi="Meiryo UI"/>
                <w:sz w:val="18"/>
              </w:rPr>
              <w:t>¥1,530</w:t>
            </w:r>
          </w:p>
        </w:tc>
        <w:tc>
          <w:tcPr>
            <w:tcW w:type="dxa" w:w="1176"/>
          </w:tcPr>
          <w:p>
            <w:r>
              <w:rPr>
                <w:rFonts w:ascii="Meiryo UI" w:hAnsi="Meiryo UI"/>
                <w:sz w:val="18"/>
              </w:rPr>
              <w:t>¥1,820</w:t>
            </w:r>
          </w:p>
        </w:tc>
        <w:tc>
          <w:tcPr>
            <w:tcW w:type="dxa" w:w="1176"/>
          </w:tcPr>
          <w:p>
            <w:r>
              <w:rPr>
                <w:rFonts w:ascii="Meiryo UI" w:hAnsi="Meiryo UI"/>
                <w:sz w:val="18"/>
              </w:rPr>
              <w:t>+40.0%</w:t>
            </w:r>
          </w:p>
        </w:tc>
      </w:tr>
      <w:tr>
        <w:tc>
          <w:tcPr>
            <w:tcW w:type="dxa" w:w="1176"/>
            <w:shd w:val="clear" w:color="auto" w:fill="DDEBF7"/>
          </w:tcPr>
          <w:p>
            <w:r>
              <w:rPr>
                <w:rFonts w:ascii="Meiryo UI" w:hAnsi="Meiryo UI"/>
                <w:sz w:val="18"/>
              </w:rPr>
              <w:t>低下（▲0.50%）</w:t>
            </w:r>
          </w:p>
        </w:tc>
        <w:tc>
          <w:tcPr>
            <w:tcW w:type="dxa" w:w="1176"/>
            <w:shd w:val="clear" w:color="auto" w:fill="DDEBF7"/>
          </w:tcPr>
          <w:p>
            <w:r>
              <w:rPr>
                <w:rFonts w:ascii="Meiryo UI" w:hAnsi="Meiryo UI"/>
                <w:sz w:val="18"/>
              </w:rPr>
              <w:t>1.923%</w:t>
            </w:r>
          </w:p>
        </w:tc>
        <w:tc>
          <w:tcPr>
            <w:tcW w:type="dxa" w:w="1176"/>
            <w:shd w:val="clear" w:color="auto" w:fill="DDEBF7"/>
          </w:tcPr>
          <w:p>
            <w:r>
              <w:rPr>
                <w:rFonts w:ascii="Meiryo UI" w:hAnsi="Meiryo UI"/>
                <w:sz w:val="18"/>
              </w:rPr>
              <w:t>6.423%</w:t>
            </w:r>
          </w:p>
        </w:tc>
        <w:tc>
          <w:tcPr>
            <w:tcW w:type="dxa" w:w="1176"/>
            <w:shd w:val="clear" w:color="auto" w:fill="DDEBF7"/>
          </w:tcPr>
          <w:p>
            <w:r>
              <w:rPr>
                <w:rFonts w:ascii="Meiryo UI" w:hAnsi="Meiryo UI"/>
                <w:sz w:val="18"/>
              </w:rPr>
              <w:t>5.55%</w:t>
            </w:r>
          </w:p>
        </w:tc>
        <w:tc>
          <w:tcPr>
            <w:tcW w:type="dxa" w:w="1176"/>
            <w:shd w:val="clear" w:color="auto" w:fill="DDEBF7"/>
          </w:tcPr>
          <w:p>
            <w:r>
              <w:rPr>
                <w:rFonts w:ascii="Meiryo UI" w:hAnsi="Meiryo UI"/>
                <w:sz w:val="18"/>
              </w:rPr>
              <w:t>¥2,010</w:t>
            </w:r>
          </w:p>
        </w:tc>
        <w:tc>
          <w:tcPr>
            <w:tcW w:type="dxa" w:w="1176"/>
            <w:shd w:val="clear" w:color="auto" w:fill="DDEBF7"/>
          </w:tcPr>
          <w:p>
            <w:r>
              <w:rPr>
                <w:rFonts w:ascii="Meiryo UI" w:hAnsi="Meiryo UI"/>
                <w:sz w:val="18"/>
              </w:rPr>
              <w:t>¥1,460</w:t>
            </w:r>
          </w:p>
        </w:tc>
        <w:tc>
          <w:tcPr>
            <w:tcW w:type="dxa" w:w="1176"/>
            <w:shd w:val="clear" w:color="auto" w:fill="DDEBF7"/>
          </w:tcPr>
          <w:p>
            <w:r>
              <w:rPr>
                <w:rFonts w:ascii="Meiryo UI" w:hAnsi="Meiryo UI"/>
                <w:sz w:val="18"/>
              </w:rPr>
              <w:t>¥1,720</w:t>
            </w:r>
          </w:p>
        </w:tc>
        <w:tc>
          <w:tcPr>
            <w:tcW w:type="dxa" w:w="1176"/>
            <w:shd w:val="clear" w:color="auto" w:fill="DDEBF7"/>
          </w:tcPr>
          <w:p>
            <w:r>
              <w:rPr>
                <w:rFonts w:ascii="Meiryo UI" w:hAnsi="Meiryo UI"/>
                <w:sz w:val="18"/>
              </w:rPr>
              <w:t>+32.3%</w:t>
            </w:r>
          </w:p>
        </w:tc>
      </w:tr>
      <w:tr>
        <w:tc>
          <w:tcPr>
            <w:tcW w:type="dxa" w:w="1176"/>
          </w:tcPr>
          <w:p>
            <w:r>
              <w:rPr>
                <w:rFonts w:ascii="Meiryo UI" w:hAnsi="Meiryo UI"/>
                <w:sz w:val="18"/>
              </w:rPr>
              <w:t>低下（▲0.25%）</w:t>
            </w:r>
          </w:p>
        </w:tc>
        <w:tc>
          <w:tcPr>
            <w:tcW w:type="dxa" w:w="1176"/>
          </w:tcPr>
          <w:p>
            <w:r>
              <w:rPr>
                <w:rFonts w:ascii="Meiryo UI" w:hAnsi="Meiryo UI"/>
                <w:sz w:val="18"/>
              </w:rPr>
              <w:t>2.173%</w:t>
            </w:r>
          </w:p>
        </w:tc>
        <w:tc>
          <w:tcPr>
            <w:tcW w:type="dxa" w:w="1176"/>
          </w:tcPr>
          <w:p>
            <w:r>
              <w:rPr>
                <w:rFonts w:ascii="Meiryo UI" w:hAnsi="Meiryo UI"/>
                <w:sz w:val="18"/>
              </w:rPr>
              <w:t>6.673%</w:t>
            </w:r>
          </w:p>
        </w:tc>
        <w:tc>
          <w:tcPr>
            <w:tcW w:type="dxa" w:w="1176"/>
          </w:tcPr>
          <w:p>
            <w:r>
              <w:rPr>
                <w:rFonts w:ascii="Meiryo UI" w:hAnsi="Meiryo UI"/>
                <w:sz w:val="18"/>
              </w:rPr>
              <w:t>5.79%</w:t>
            </w:r>
          </w:p>
        </w:tc>
        <w:tc>
          <w:tcPr>
            <w:tcW w:type="dxa" w:w="1176"/>
          </w:tcPr>
          <w:p>
            <w:r>
              <w:rPr>
                <w:rFonts w:ascii="Meiryo UI" w:hAnsi="Meiryo UI"/>
                <w:sz w:val="18"/>
              </w:rPr>
              <w:t>¥1,900</w:t>
            </w:r>
          </w:p>
        </w:tc>
        <w:tc>
          <w:tcPr>
            <w:tcW w:type="dxa" w:w="1176"/>
          </w:tcPr>
          <w:p>
            <w:r>
              <w:rPr>
                <w:rFonts w:ascii="Meiryo UI" w:hAnsi="Meiryo UI"/>
                <w:sz w:val="18"/>
              </w:rPr>
              <w:t>¥1,430</w:t>
            </w:r>
          </w:p>
        </w:tc>
        <w:tc>
          <w:tcPr>
            <w:tcW w:type="dxa" w:w="1176"/>
          </w:tcPr>
          <w:p>
            <w:r>
              <w:rPr>
                <w:rFonts w:ascii="Meiryo UI" w:hAnsi="Meiryo UI"/>
                <w:sz w:val="18"/>
              </w:rPr>
              <w:t>¥1,670</w:t>
            </w:r>
          </w:p>
        </w:tc>
        <w:tc>
          <w:tcPr>
            <w:tcW w:type="dxa" w:w="1176"/>
          </w:tcPr>
          <w:p>
            <w:r>
              <w:rPr>
                <w:rFonts w:ascii="Meiryo UI" w:hAnsi="Meiryo UI"/>
                <w:sz w:val="18"/>
              </w:rPr>
              <w:t>+28.5%</w:t>
            </w:r>
          </w:p>
        </w:tc>
      </w:tr>
      <w:tr>
        <w:tc>
          <w:tcPr>
            <w:tcW w:type="dxa" w:w="1176"/>
            <w:shd w:val="clear" w:color="auto" w:fill="DDEBF7"/>
          </w:tcPr>
          <w:p>
            <w:r>
              <w:rPr>
                <w:rFonts w:ascii="Meiryo UI" w:hAnsi="Meiryo UI"/>
                <w:sz w:val="18"/>
              </w:rPr>
              <w:t>基本（現状）</w:t>
            </w:r>
          </w:p>
        </w:tc>
        <w:tc>
          <w:tcPr>
            <w:tcW w:type="dxa" w:w="1176"/>
            <w:shd w:val="clear" w:color="auto" w:fill="DDEBF7"/>
          </w:tcPr>
          <w:p>
            <w:r>
              <w:rPr>
                <w:rFonts w:ascii="Meiryo UI" w:hAnsi="Meiryo UI"/>
                <w:sz w:val="18"/>
              </w:rPr>
              <w:t>2.423%</w:t>
            </w:r>
          </w:p>
        </w:tc>
        <w:tc>
          <w:tcPr>
            <w:tcW w:type="dxa" w:w="1176"/>
            <w:shd w:val="clear" w:color="auto" w:fill="DDEBF7"/>
          </w:tcPr>
          <w:p>
            <w:r>
              <w:rPr>
                <w:rFonts w:ascii="Meiryo UI" w:hAnsi="Meiryo UI"/>
                <w:sz w:val="18"/>
              </w:rPr>
              <w:t>6.923%</w:t>
            </w:r>
          </w:p>
        </w:tc>
        <w:tc>
          <w:tcPr>
            <w:tcW w:type="dxa" w:w="1176"/>
            <w:shd w:val="clear" w:color="auto" w:fill="DDEBF7"/>
          </w:tcPr>
          <w:p>
            <w:r>
              <w:rPr>
                <w:rFonts w:ascii="Meiryo UI" w:hAnsi="Meiryo UI"/>
                <w:sz w:val="18"/>
              </w:rPr>
              <w:t>6.04%</w:t>
            </w:r>
          </w:p>
        </w:tc>
        <w:tc>
          <w:tcPr>
            <w:tcW w:type="dxa" w:w="1176"/>
            <w:shd w:val="clear" w:color="auto" w:fill="DDEBF7"/>
          </w:tcPr>
          <w:p>
            <w:r>
              <w:rPr>
                <w:rFonts w:ascii="Meiryo UI" w:hAnsi="Meiryo UI"/>
                <w:sz w:val="18"/>
              </w:rPr>
              <w:t>¥1,900</w:t>
            </w:r>
          </w:p>
        </w:tc>
        <w:tc>
          <w:tcPr>
            <w:tcW w:type="dxa" w:w="1176"/>
            <w:shd w:val="clear" w:color="auto" w:fill="DDEBF7"/>
          </w:tcPr>
          <w:p>
            <w:r>
              <w:rPr>
                <w:rFonts w:ascii="Meiryo UI" w:hAnsi="Meiryo UI"/>
                <w:sz w:val="18"/>
              </w:rPr>
              <w:t>¥1,387</w:t>
            </w:r>
          </w:p>
        </w:tc>
        <w:tc>
          <w:tcPr>
            <w:tcW w:type="dxa" w:w="1176"/>
            <w:shd w:val="clear" w:color="auto" w:fill="DDEBF7"/>
          </w:tcPr>
          <w:p>
            <w:r>
              <w:rPr>
                <w:rFonts w:ascii="Meiryo UI" w:hAnsi="Meiryo UI"/>
                <w:sz w:val="18"/>
              </w:rPr>
              <w:t>¥1,625</w:t>
            </w:r>
          </w:p>
        </w:tc>
        <w:tc>
          <w:tcPr>
            <w:tcW w:type="dxa" w:w="1176"/>
            <w:shd w:val="clear" w:color="auto" w:fill="DDEBF7"/>
          </w:tcPr>
          <w:p>
            <w:r>
              <w:rPr>
                <w:rFonts w:ascii="Meiryo UI" w:hAnsi="Meiryo UI"/>
                <w:sz w:val="18"/>
              </w:rPr>
              <w:t>+25.0%</w:t>
            </w:r>
          </w:p>
        </w:tc>
      </w:tr>
      <w:tr>
        <w:tc>
          <w:tcPr>
            <w:tcW w:type="dxa" w:w="1176"/>
          </w:tcPr>
          <w:p>
            <w:r>
              <w:rPr>
                <w:rFonts w:ascii="Meiryo UI" w:hAnsi="Meiryo UI"/>
                <w:sz w:val="18"/>
              </w:rPr>
              <w:t>上昇（+0.25%）</w:t>
            </w:r>
          </w:p>
        </w:tc>
        <w:tc>
          <w:tcPr>
            <w:tcW w:type="dxa" w:w="1176"/>
          </w:tcPr>
          <w:p>
            <w:r>
              <w:rPr>
                <w:rFonts w:ascii="Meiryo UI" w:hAnsi="Meiryo UI"/>
                <w:sz w:val="18"/>
              </w:rPr>
              <w:t>2.673%</w:t>
            </w:r>
          </w:p>
        </w:tc>
        <w:tc>
          <w:tcPr>
            <w:tcW w:type="dxa" w:w="1176"/>
          </w:tcPr>
          <w:p>
            <w:r>
              <w:rPr>
                <w:rFonts w:ascii="Meiryo UI" w:hAnsi="Meiryo UI"/>
                <w:sz w:val="18"/>
              </w:rPr>
              <w:t>7.173%</w:t>
            </w:r>
          </w:p>
        </w:tc>
        <w:tc>
          <w:tcPr>
            <w:tcW w:type="dxa" w:w="1176"/>
          </w:tcPr>
          <w:p>
            <w:r>
              <w:rPr>
                <w:rFonts w:ascii="Meiryo UI" w:hAnsi="Meiryo UI"/>
                <w:sz w:val="18"/>
              </w:rPr>
              <w:t>6.29%</w:t>
            </w:r>
          </w:p>
        </w:tc>
        <w:tc>
          <w:tcPr>
            <w:tcW w:type="dxa" w:w="1176"/>
          </w:tcPr>
          <w:p>
            <w:r>
              <w:rPr>
                <w:rFonts w:ascii="Meiryo UI" w:hAnsi="Meiryo UI"/>
                <w:sz w:val="18"/>
              </w:rPr>
              <w:t>¥1,750</w:t>
            </w:r>
          </w:p>
        </w:tc>
        <w:tc>
          <w:tcPr>
            <w:tcW w:type="dxa" w:w="1176"/>
          </w:tcPr>
          <w:p>
            <w:r>
              <w:rPr>
                <w:rFonts w:ascii="Meiryo UI" w:hAnsi="Meiryo UI"/>
                <w:sz w:val="18"/>
              </w:rPr>
              <w:t>¥1,340</w:t>
            </w:r>
          </w:p>
        </w:tc>
        <w:tc>
          <w:tcPr>
            <w:tcW w:type="dxa" w:w="1176"/>
          </w:tcPr>
          <w:p>
            <w:r>
              <w:rPr>
                <w:rFonts w:ascii="Meiryo UI" w:hAnsi="Meiryo UI"/>
                <w:sz w:val="18"/>
              </w:rPr>
              <w:t>¥1,540</w:t>
            </w:r>
          </w:p>
        </w:tc>
        <w:tc>
          <w:tcPr>
            <w:tcW w:type="dxa" w:w="1176"/>
          </w:tcPr>
          <w:p>
            <w:r>
              <w:rPr>
                <w:rFonts w:ascii="Meiryo UI" w:hAnsi="Meiryo UI"/>
                <w:sz w:val="18"/>
              </w:rPr>
              <w:t>+18.5%</w:t>
            </w:r>
          </w:p>
        </w:tc>
      </w:tr>
      <w:tr>
        <w:tc>
          <w:tcPr>
            <w:tcW w:type="dxa" w:w="1176"/>
            <w:shd w:val="clear" w:color="auto" w:fill="DDEBF7"/>
          </w:tcPr>
          <w:p>
            <w:r>
              <w:rPr>
                <w:rFonts w:ascii="Meiryo UI" w:hAnsi="Meiryo UI"/>
                <w:sz w:val="18"/>
              </w:rPr>
              <w:t>上昇（+0.50%）</w:t>
            </w:r>
          </w:p>
        </w:tc>
        <w:tc>
          <w:tcPr>
            <w:tcW w:type="dxa" w:w="1176"/>
            <w:shd w:val="clear" w:color="auto" w:fill="DDEBF7"/>
          </w:tcPr>
          <w:p>
            <w:r>
              <w:rPr>
                <w:rFonts w:ascii="Meiryo UI" w:hAnsi="Meiryo UI"/>
                <w:sz w:val="18"/>
              </w:rPr>
              <w:t>2.923%</w:t>
            </w:r>
          </w:p>
        </w:tc>
        <w:tc>
          <w:tcPr>
            <w:tcW w:type="dxa" w:w="1176"/>
            <w:shd w:val="clear" w:color="auto" w:fill="DDEBF7"/>
          </w:tcPr>
          <w:p>
            <w:r>
              <w:rPr>
                <w:rFonts w:ascii="Meiryo UI" w:hAnsi="Meiryo UI"/>
                <w:sz w:val="18"/>
              </w:rPr>
              <w:t>7.423%</w:t>
            </w:r>
          </w:p>
        </w:tc>
        <w:tc>
          <w:tcPr>
            <w:tcW w:type="dxa" w:w="1176"/>
            <w:shd w:val="clear" w:color="auto" w:fill="DDEBF7"/>
          </w:tcPr>
          <w:p>
            <w:r>
              <w:rPr>
                <w:rFonts w:ascii="Meiryo UI" w:hAnsi="Meiryo UI"/>
                <w:sz w:val="18"/>
              </w:rPr>
              <w:t>6.54%</w:t>
            </w:r>
          </w:p>
        </w:tc>
        <w:tc>
          <w:tcPr>
            <w:tcW w:type="dxa" w:w="1176"/>
            <w:shd w:val="clear" w:color="auto" w:fill="DDEBF7"/>
          </w:tcPr>
          <w:p>
            <w:r>
              <w:rPr>
                <w:rFonts w:ascii="Meiryo UI" w:hAnsi="Meiryo UI"/>
                <w:sz w:val="18"/>
              </w:rPr>
              <w:t>¥1,600</w:t>
            </w:r>
          </w:p>
        </w:tc>
        <w:tc>
          <w:tcPr>
            <w:tcW w:type="dxa" w:w="1176"/>
            <w:shd w:val="clear" w:color="auto" w:fill="DDEBF7"/>
          </w:tcPr>
          <w:p>
            <w:r>
              <w:rPr>
                <w:rFonts w:ascii="Meiryo UI" w:hAnsi="Meiryo UI"/>
                <w:sz w:val="18"/>
              </w:rPr>
              <w:t>¥1,290</w:t>
            </w:r>
          </w:p>
        </w:tc>
        <w:tc>
          <w:tcPr>
            <w:tcW w:type="dxa" w:w="1176"/>
            <w:shd w:val="clear" w:color="auto" w:fill="DDEBF7"/>
          </w:tcPr>
          <w:p>
            <w:r>
              <w:rPr>
                <w:rFonts w:ascii="Meiryo UI" w:hAnsi="Meiryo UI"/>
                <w:sz w:val="18"/>
              </w:rPr>
              <w:t>¥1,445</w:t>
            </w:r>
          </w:p>
        </w:tc>
        <w:tc>
          <w:tcPr>
            <w:tcW w:type="dxa" w:w="1176"/>
            <w:shd w:val="clear" w:color="auto" w:fill="DDEBF7"/>
          </w:tcPr>
          <w:p>
            <w:r>
              <w:rPr>
                <w:rFonts w:ascii="Meiryo UI" w:hAnsi="Meiryo UI"/>
                <w:sz w:val="18"/>
              </w:rPr>
              <w:t>+11.2%</w:t>
            </w:r>
          </w:p>
        </w:tc>
      </w:tr>
      <w:tr>
        <w:tc>
          <w:tcPr>
            <w:tcW w:type="dxa" w:w="1176"/>
          </w:tcPr>
          <w:p>
            <w:r>
              <w:rPr>
                <w:rFonts w:ascii="Meiryo UI" w:hAnsi="Meiryo UI"/>
                <w:sz w:val="18"/>
              </w:rPr>
              <w:t>急上昇（+1.00%）</w:t>
            </w:r>
          </w:p>
        </w:tc>
        <w:tc>
          <w:tcPr>
            <w:tcW w:type="dxa" w:w="1176"/>
          </w:tcPr>
          <w:p>
            <w:r>
              <w:rPr>
                <w:rFonts w:ascii="Meiryo UI" w:hAnsi="Meiryo UI"/>
                <w:sz w:val="18"/>
              </w:rPr>
              <w:t>3.423%</w:t>
            </w:r>
          </w:p>
        </w:tc>
        <w:tc>
          <w:tcPr>
            <w:tcW w:type="dxa" w:w="1176"/>
          </w:tcPr>
          <w:p>
            <w:r>
              <w:rPr>
                <w:rFonts w:ascii="Meiryo UI" w:hAnsi="Meiryo UI"/>
                <w:sz w:val="18"/>
              </w:rPr>
              <w:t>7.923%</w:t>
            </w:r>
          </w:p>
        </w:tc>
        <w:tc>
          <w:tcPr>
            <w:tcW w:type="dxa" w:w="1176"/>
          </w:tcPr>
          <w:p>
            <w:r>
              <w:rPr>
                <w:rFonts w:ascii="Meiryo UI" w:hAnsi="Meiryo UI"/>
                <w:sz w:val="18"/>
              </w:rPr>
              <w:t>7.04%</w:t>
            </w:r>
          </w:p>
        </w:tc>
        <w:tc>
          <w:tcPr>
            <w:tcW w:type="dxa" w:w="1176"/>
          </w:tcPr>
          <w:p>
            <w:r>
              <w:rPr>
                <w:rFonts w:ascii="Meiryo UI" w:hAnsi="Meiryo UI"/>
                <w:sz w:val="18"/>
              </w:rPr>
              <w:t>¥1,350</w:t>
            </w:r>
          </w:p>
        </w:tc>
        <w:tc>
          <w:tcPr>
            <w:tcW w:type="dxa" w:w="1176"/>
          </w:tcPr>
          <w:p>
            <w:r>
              <w:rPr>
                <w:rFonts w:ascii="Meiryo UI" w:hAnsi="Meiryo UI"/>
                <w:sz w:val="18"/>
              </w:rPr>
              <w:t>¥1,200</w:t>
            </w:r>
          </w:p>
        </w:tc>
        <w:tc>
          <w:tcPr>
            <w:tcW w:type="dxa" w:w="1176"/>
          </w:tcPr>
          <w:p>
            <w:r>
              <w:rPr>
                <w:rFonts w:ascii="Meiryo UI" w:hAnsi="Meiryo UI"/>
                <w:sz w:val="18"/>
              </w:rPr>
              <w:t>¥1,270</w:t>
            </w:r>
          </w:p>
        </w:tc>
        <w:tc>
          <w:tcPr>
            <w:tcW w:type="dxa" w:w="1176"/>
          </w:tcPr>
          <w:p>
            <w:r>
              <w:rPr>
                <w:rFonts w:ascii="Meiryo UI" w:hAnsi="Meiryo UI"/>
                <w:sz w:val="18"/>
              </w:rPr>
              <w:t>▲2.3%</w:t>
            </w:r>
          </w:p>
        </w:tc>
      </w:tr>
    </w:tbl>
    <w:p/>
    <w:p>
      <w:pPr>
        <w:pStyle w:val="Heading3"/>
      </w:pPr>
      <w:r>
        <w:rPr>
          <w:rFonts w:ascii="Meiryo UI" w:hAnsi="Meiryo UI"/>
          <w:color w:val="2E74B5"/>
        </w:rPr>
        <w:t>9-2. 感応度分析の解釈</w:t>
      </w:r>
    </w:p>
    <w:p/>
    <w:p>
      <w:pPr>
        <w:shd w:val="clear" w:color="auto" w:fill="F2F2F2"/>
      </w:pPr>
      <w:r>
        <w:rPr>
          <w:rFonts w:ascii="Courier New" w:hAnsi="Courier New"/>
          <w:sz w:val="16"/>
        </w:rPr>
        <w:t>【重要示唆】</w:t>
        <w:br/>
        <w:t>① Rf+1.00%（3.423%）になると統合FV¥1,270 &lt; 現在値¥1,300</w:t>
        <w:br/>
        <w:t xml:space="preserve">  → 日銀が追加利上げを積極化するシナリオでは「割安解消」が消える</w:t>
        <w:br/>
        <w:br/>
        <w:t>② Rf▲0.50%（1.923%）になると統合FV¥1,720</w:t>
        <w:br/>
        <w:t xml:space="preserve">  → 日銀ハト転換・景気悪化時の緩和シナリオでは+32%の上値余地拡大</w:t>
        <w:br/>
        <w:br/>
        <w:t>③ 現在のRf=2.423%基本ケースでは+25%の上値余地（信頼性高いゾーン）</w:t>
        <w:br/>
        <w:br/>
        <w:t>【日銀政策との連動リスク】</w:t>
        <w:br/>
        <w:t xml:space="preserve">  2026年日銀の追加利上げシナリオ（Rf3.0%超）になれば</w:t>
        <w:br/>
        <w:t xml:space="preserve">  理論株価は¥1,350〜¥1,450台に圧縮</w:t>
        <w:br/>
        <w:t xml:space="preserve">  → 現在値¥1,300との乖離が10%未満に縮小し、投資妙味が大幅減少</w:t>
        <w:br/>
        <w:t xml:space="preserve">  → 日銀政策決定会合（2026年4月・6月）は要ウォッチ</w:t>
      </w:r>
    </w:p>
    <w:p/>
    <w:p>
      <w:pPr>
        <w:pStyle w:val="Heading3"/>
      </w:pPr>
      <w:r>
        <w:rPr>
          <w:rFonts w:ascii="Meiryo UI" w:hAnsi="Meiryo UI"/>
          <w:color w:val="2E74B5"/>
        </w:rPr>
        <w:t>9-3. WACC感応度マトリックス（永続成長率g × WACC）</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WACC↓ / g→</w:t>
            </w:r>
          </w:p>
        </w:tc>
        <w:tc>
          <w:tcPr>
            <w:tcW w:type="dxa" w:w="2351"/>
            <w:shd w:val="clear" w:color="auto" w:fill="2E74B5"/>
          </w:tcPr>
          <w:p>
            <w:r>
              <w:rPr>
                <w:rFonts w:ascii="Meiryo UI" w:hAnsi="Meiryo UI"/>
                <w:b/>
                <w:color w:val="FFFFFF"/>
                <w:sz w:val="18"/>
              </w:rPr>
              <w:t>g=1.0%</w:t>
            </w:r>
          </w:p>
        </w:tc>
        <w:tc>
          <w:tcPr>
            <w:tcW w:type="dxa" w:w="2351"/>
            <w:shd w:val="clear" w:color="auto" w:fill="2E74B5"/>
          </w:tcPr>
          <w:p>
            <w:r>
              <w:rPr>
                <w:rFonts w:ascii="Meiryo UI" w:hAnsi="Meiryo UI"/>
                <w:b/>
                <w:color w:val="FFFFFF"/>
                <w:sz w:val="18"/>
              </w:rPr>
              <w:t>g=1.5%</w:t>
            </w:r>
          </w:p>
        </w:tc>
        <w:tc>
          <w:tcPr>
            <w:tcW w:type="dxa" w:w="2351"/>
            <w:shd w:val="clear" w:color="auto" w:fill="2E74B5"/>
          </w:tcPr>
          <w:p>
            <w:r>
              <w:rPr>
                <w:rFonts w:ascii="Meiryo UI" w:hAnsi="Meiryo UI"/>
                <w:b/>
                <w:color w:val="FFFFFF"/>
                <w:sz w:val="18"/>
              </w:rPr>
              <w:t>g=2.0%</w:t>
            </w:r>
          </w:p>
        </w:tc>
      </w:tr>
      <w:tr>
        <w:tc>
          <w:tcPr>
            <w:tcW w:type="dxa" w:w="2351"/>
          </w:tcPr>
          <w:p>
            <w:r>
              <w:rPr>
                <w:rFonts w:ascii="Meiryo UI" w:hAnsi="Meiryo UI"/>
                <w:sz w:val="18"/>
              </w:rPr>
              <w:t>WACC=5.0%</w:t>
            </w:r>
          </w:p>
        </w:tc>
        <w:tc>
          <w:tcPr>
            <w:tcW w:type="dxa" w:w="2351"/>
          </w:tcPr>
          <w:p>
            <w:r>
              <w:rPr>
                <w:rFonts w:ascii="Meiryo UI" w:hAnsi="Meiryo UI"/>
                <w:sz w:val="18"/>
              </w:rPr>
              <w:t>¥1,850</w:t>
            </w:r>
          </w:p>
        </w:tc>
        <w:tc>
          <w:tcPr>
            <w:tcW w:type="dxa" w:w="2351"/>
          </w:tcPr>
          <w:p>
            <w:r>
              <w:rPr>
                <w:rFonts w:ascii="Meiryo UI" w:hAnsi="Meiryo UI"/>
                <w:sz w:val="18"/>
              </w:rPr>
              <w:t>¥1,980</w:t>
            </w:r>
          </w:p>
        </w:tc>
        <w:tc>
          <w:tcPr>
            <w:tcW w:type="dxa" w:w="2351"/>
          </w:tcPr>
          <w:p>
            <w:r>
              <w:rPr>
                <w:rFonts w:ascii="Meiryo UI" w:hAnsi="Meiryo UI"/>
                <w:sz w:val="18"/>
              </w:rPr>
              <w:t>¥2,140</w:t>
            </w:r>
          </w:p>
        </w:tc>
      </w:tr>
      <w:tr>
        <w:tc>
          <w:tcPr>
            <w:tcW w:type="dxa" w:w="2351"/>
            <w:shd w:val="clear" w:color="auto" w:fill="DDEBF7"/>
          </w:tcPr>
          <w:p>
            <w:r>
              <w:rPr>
                <w:rFonts w:ascii="Meiryo UI" w:hAnsi="Meiryo UI"/>
                <w:sz w:val="18"/>
              </w:rPr>
              <w:t>WACC=6.0%</w:t>
            </w:r>
          </w:p>
        </w:tc>
        <w:tc>
          <w:tcPr>
            <w:tcW w:type="dxa" w:w="2351"/>
            <w:shd w:val="clear" w:color="auto" w:fill="DDEBF7"/>
          </w:tcPr>
          <w:p>
            <w:r>
              <w:rPr>
                <w:rFonts w:ascii="Meiryo UI" w:hAnsi="Meiryo UI"/>
                <w:sz w:val="18"/>
              </w:rPr>
              <w:t>¥1,550</w:t>
            </w:r>
          </w:p>
        </w:tc>
        <w:tc>
          <w:tcPr>
            <w:tcW w:type="dxa" w:w="2351"/>
            <w:shd w:val="clear" w:color="auto" w:fill="DDEBF7"/>
          </w:tcPr>
          <w:p>
            <w:r>
              <w:rPr>
                <w:rFonts w:ascii="Meiryo UI" w:hAnsi="Meiryo UI"/>
                <w:sz w:val="18"/>
              </w:rPr>
              <w:t>¥1,625</w:t>
            </w:r>
          </w:p>
        </w:tc>
        <w:tc>
          <w:tcPr>
            <w:tcW w:type="dxa" w:w="2351"/>
            <w:shd w:val="clear" w:color="auto" w:fill="DDEBF7"/>
          </w:tcPr>
          <w:p>
            <w:r>
              <w:rPr>
                <w:rFonts w:ascii="Meiryo UI" w:hAnsi="Meiryo UI"/>
                <w:sz w:val="18"/>
              </w:rPr>
              <w:t>¥1,720</w:t>
            </w:r>
          </w:p>
        </w:tc>
      </w:tr>
      <w:tr>
        <w:tc>
          <w:tcPr>
            <w:tcW w:type="dxa" w:w="2351"/>
          </w:tcPr>
          <w:p>
            <w:r>
              <w:rPr>
                <w:rFonts w:ascii="Meiryo UI" w:hAnsi="Meiryo UI"/>
                <w:sz w:val="18"/>
              </w:rPr>
              <w:t>WACC=7.0%</w:t>
            </w:r>
          </w:p>
        </w:tc>
        <w:tc>
          <w:tcPr>
            <w:tcW w:type="dxa" w:w="2351"/>
          </w:tcPr>
          <w:p>
            <w:r>
              <w:rPr>
                <w:rFonts w:ascii="Meiryo UI" w:hAnsi="Meiryo UI"/>
                <w:sz w:val="18"/>
              </w:rPr>
              <w:t>¥1,290</w:t>
            </w:r>
          </w:p>
        </w:tc>
        <w:tc>
          <w:tcPr>
            <w:tcW w:type="dxa" w:w="2351"/>
          </w:tcPr>
          <w:p>
            <w:r>
              <w:rPr>
                <w:rFonts w:ascii="Meiryo UI" w:hAnsi="Meiryo UI"/>
                <w:sz w:val="18"/>
              </w:rPr>
              <w:t>¥1,340</w:t>
            </w:r>
          </w:p>
        </w:tc>
        <w:tc>
          <w:tcPr>
            <w:tcW w:type="dxa" w:w="2351"/>
          </w:tcPr>
          <w:p>
            <w:r>
              <w:rPr>
                <w:rFonts w:ascii="Meiryo UI" w:hAnsi="Meiryo UI"/>
                <w:sz w:val="18"/>
              </w:rPr>
              <w:t>¥1,400</w:t>
            </w:r>
          </w:p>
        </w:tc>
      </w:tr>
      <w:tr>
        <w:tc>
          <w:tcPr>
            <w:tcW w:type="dxa" w:w="2351"/>
            <w:shd w:val="clear" w:color="auto" w:fill="DDEBF7"/>
          </w:tcPr>
          <w:p>
            <w:r>
              <w:rPr>
                <w:rFonts w:ascii="Meiryo UI" w:hAnsi="Meiryo UI"/>
                <w:sz w:val="18"/>
              </w:rPr>
              <w:t>WACC=8.0%</w:t>
            </w:r>
          </w:p>
        </w:tc>
        <w:tc>
          <w:tcPr>
            <w:tcW w:type="dxa" w:w="2351"/>
            <w:shd w:val="clear" w:color="auto" w:fill="DDEBF7"/>
          </w:tcPr>
          <w:p>
            <w:r>
              <w:rPr>
                <w:rFonts w:ascii="Meiryo UI" w:hAnsi="Meiryo UI"/>
                <w:sz w:val="18"/>
              </w:rPr>
              <w:t>¥1,100</w:t>
            </w:r>
          </w:p>
        </w:tc>
        <w:tc>
          <w:tcPr>
            <w:tcW w:type="dxa" w:w="2351"/>
            <w:shd w:val="clear" w:color="auto" w:fill="DDEBF7"/>
          </w:tcPr>
          <w:p>
            <w:r>
              <w:rPr>
                <w:rFonts w:ascii="Meiryo UI" w:hAnsi="Meiryo UI"/>
                <w:sz w:val="18"/>
              </w:rPr>
              <w:t>¥1,140</w:t>
            </w:r>
          </w:p>
        </w:tc>
        <w:tc>
          <w:tcPr>
            <w:tcW w:type="dxa" w:w="2351"/>
            <w:shd w:val="clear" w:color="auto" w:fill="DDEBF7"/>
          </w:tcPr>
          <w:p>
            <w:r>
              <w:rPr>
                <w:rFonts w:ascii="Meiryo UI" w:hAnsi="Meiryo UI"/>
                <w:sz w:val="18"/>
              </w:rPr>
              <w:t>¥1,180</w:t>
            </w:r>
          </w:p>
        </w:tc>
      </w:tr>
    </w:tbl>
    <w:p/>
    <w:p>
      <w:r>
        <w:rPr>
          <w:rFonts w:ascii="Meiryo UI" w:hAnsi="Meiryo UI"/>
          <w:sz w:val="20"/>
        </w:rPr>
        <w:t>&gt; 赤信号ゾーン: WACC8%以上 × g1.0%以下 → FV¥1,100台（損切りライン¥1,100と一致）</w:t>
      </w:r>
    </w:p>
    <w:p>
      <w:r>
        <w:rPr>
          <w:rFonts w:ascii="Meiryo UI" w:hAnsi="Meiryo UI"/>
          <w:sz w:val="20"/>
        </w:rPr>
        <w:t>&gt; 青信号ゾーン: WACC5〜6%台 × g1.5〜2.0% → FV¥1,625〜¥2,140（現在値比+25〜+65%）</w:t>
      </w:r>
    </w:p>
    <w:p/>
    <w:p>
      <w:r>
        <w:t>──────────────────────────────────────────────────</w:t>
      </w:r>
    </w:p>
    <w:p/>
    <w:p>
      <w:pPr>
        <w:pStyle w:val="Heading2"/>
      </w:pPr>
      <w:r>
        <w:rPr>
          <w:rFonts w:ascii="Meiryo UI" w:hAnsi="Meiryo UI"/>
          <w:color w:val="2E74B5"/>
        </w:rPr>
        <w:t>附録：アトムリビンテック・チェックリスト（社長確認用）</w:t>
      </w:r>
    </w:p>
    <w:p/>
    <w:p>
      <w:pPr>
        <w:pStyle w:val="Heading3"/>
      </w:pPr>
      <w:r>
        <w:rPr>
          <w:rFonts w:ascii="Meiryo UI" w:hAnsi="Meiryo UI"/>
          <w:color w:val="2E74B5"/>
        </w:rPr>
        <w:t>✅ 買いを継続判断するための確認事項</w:t>
      </w:r>
    </w:p>
    <w:p/>
    <w:p>
      <w:pPr>
        <w:shd w:val="clear" w:color="auto" w:fill="F2F2F2"/>
      </w:pPr>
      <w:r>
        <w:rPr>
          <w:rFonts w:ascii="Courier New" w:hAnsi="Courier New"/>
          <w:sz w:val="16"/>
        </w:rPr>
        <w:t>□ 2026年7月本決算: 営業利益率≥3.5%を確認</w:t>
        <w:br/>
        <w:t>□ EPS¥95以上の維持・成長確認</w:t>
        <w:br/>
        <w:t>□ 建材コスト転嫁の進捗（粗利率改善トレンド）</w:t>
        <w:br/>
        <w:t>□ 自社株買い・増配等の資本政策発表</w:t>
        <w:br/>
        <w:t>□ 住宅省エネ補助金2026年度継続確認（国交省予算）</w:t>
        <w:br/>
        <w:t>□ 日銀追加利上げ動向（Rf3%超えなら戦略再評価）</w:t>
        <w:br/>
        <w:t>□ ホルムズ情勢（WTI$120超えなら建材コスト再評価）</w:t>
      </w:r>
    </w:p>
    <w:p/>
    <w:p>
      <w:r>
        <w:t>──────────────────────────────────────────────────</w:t>
      </w:r>
    </w:p>
    <w:p/>
    <w:p>
      <w:pPr>
        <w:pStyle w:val="Heading2"/>
      </w:pPr>
      <w:r>
        <w:rPr>
          <w:rFonts w:ascii="Meiryo UI" w:hAnsi="Meiryo UI"/>
          <w:color w:val="2E74B5"/>
        </w:rPr>
        <w:t>総括</w:t>
      </w:r>
    </w:p>
    <w:p/>
    <w:p>
      <w:r>
        <w:rPr>
          <w:rFonts w:ascii="Meiryo UI" w:hAnsi="Meiryo UI"/>
          <w:sz w:val="20"/>
        </w:rPr>
        <w:t>深井の最終見解:</w:t>
      </w:r>
    </w:p>
    <w:p/>
    <w:p>
      <w:r>
        <w:rPr>
          <w:rFonts w:ascii="Meiryo UI" w:hAnsi="Meiryo UI"/>
          <w:sz w:val="20"/>
        </w:rPr>
        <w:t>&gt; アトムリビンテック（3426）は「PBR0.49倍のバリュー株×住宅リフォームの構造成長株」という二重の魅力を持つ銘柄。解散価値に対して51%ディスカウントで購入できる安全網の厚さは本物。住宅リフォームという「壊れたら必ず直す」非裁量需要に立脚したビジネスモデルも中長期で評価できる。</w:t>
      </w:r>
    </w:p>
    <w:p>
      <w:r>
        <w:rPr>
          <w:rFonts w:ascii="Meiryo UI" w:hAnsi="Meiryo UI"/>
          <w:sz w:val="20"/>
        </w:rPr>
        <w:t>&gt;</w:t>
      </w:r>
    </w:p>
    <w:p>
      <w:r>
        <w:rPr>
          <w:rFonts w:ascii="Meiryo UI" w:hAnsi="Meiryo UI"/>
          <w:sz w:val="20"/>
        </w:rPr>
        <w:t>&gt; 一方でROE3.6%という低収益性は無視できない構造的欠陥。資本を積んでいても儲けが薄く、東証改革への対応が遅れれば「割安なまま放置」されるバリュートラップリスクが残る。ホルムズ封鎖環境でのコスト高騰は短期の利益率を更に押し下げる可能性がある。</w:t>
      </w:r>
    </w:p>
    <w:p>
      <w:r>
        <w:rPr>
          <w:rFonts w:ascii="Meiryo UI" w:hAnsi="Meiryo UI"/>
          <w:sz w:val="20"/>
        </w:rPr>
        <w:t>&gt;</w:t>
      </w:r>
    </w:p>
    <w:p>
      <w:r>
        <w:rPr>
          <w:rFonts w:ascii="Meiryo UI" w:hAnsi="Meiryo UI"/>
          <w:sz w:val="20"/>
        </w:rPr>
        <w:t>&gt; 推奨: ¥1,280〜¥1,320で第1トランシェ（30%）エントリー。損切り¥1,100厳守。2026年7月本決算でROE・利益率改善を確認してから本格積み増し。焦らず、確認してから動く「バリュー的忍耐」が報われる銘柄と判断する。</w:t>
      </w:r>
    </w:p>
    <w:p/>
    <w:p>
      <w:r>
        <w:t>──────────────────────────────────────────────────</w:t>
      </w:r>
    </w:p>
    <w:p>
      <w:r>
        <w:rPr>
          <w:rFonts w:ascii="Meiryo UI" w:hAnsi="Meiryo UI"/>
          <w:sz w:val="20"/>
        </w:rPr>
        <w:t>本レポートは2026-04-15時点の公開情報・リアルタイム取得データに基づく投資分析であり、将来の投資成果を保証するものではありません。投資判断は最終的にご自身の責任においてお願いします。</w:t>
      </w:r>
    </w:p>
    <w:p/>
    <w:p>
      <w:r>
        <w:rPr>
          <w:rFonts w:ascii="Meiryo UI" w:hAnsi="Meiryo UI"/>
          <w:sz w:val="20"/>
        </w:rPr>
        <w:t>深井 / 竹村トレードカンパニー リサーチ部</w:t>
      </w:r>
    </w:p>
    <w:p>
      <w:r>
        <w:rPr>
          <w:rFonts w:ascii="Meiryo UI" w:hAnsi="Meiryo UI"/>
          <w:sz w:val="20"/>
        </w:rPr>
        <w:t>2026-04-15 作成</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2.423%</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日本10年国債（JGB10Y）2.423%</w:t>
            </w:r>
          </w:p>
        </w:tc>
      </w:tr>
      <w:tr>
        <w:tc>
          <w:tcPr>
            <w:tcW w:type="dxa" w:w="4703"/>
          </w:tcPr>
          <w:p>
            <w:r>
              <w:rPr>
                <w:rFonts w:ascii="Meiryo UI" w:hAnsi="Meiryo UI"/>
                <w:sz w:val="18"/>
              </w:rPr>
              <w:t>データ取得日時</w:t>
            </w:r>
          </w:p>
        </w:tc>
        <w:tc>
          <w:tcPr>
            <w:tcW w:type="dxa" w:w="4703"/>
          </w:tcPr>
          <w:p>
            <w:r>
              <w:rPr>
                <w:rFonts w:ascii="Meiryo UI" w:hAnsi="Meiryo UI"/>
                <w:sz w:val="18"/>
              </w:rPr>
              <w:t>2026-04-15 10:02 JST（財務省日次 R8.4.14）</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3426_アトムリビンテッ_BUY_DeepResearch_20260415.md を出力しました。</w:t>
      </w:r>
    </w:p>
    <w:p>
      <w:r>
        <w:rPr>
          <w:rFonts w:ascii="Meiryo UI" w:hAnsi="Meiryo UI"/>
          <w:sz w:val="20"/>
        </w:rPr>
        <w:t>浅井スコア +0 の銘柄 [3426]アトムリビンテック についてDeepResearch完了。</w:t>
      </w:r>
    </w:p>
    <w:p>
      <w:r>
        <w:rPr>
          <w:rFonts w:ascii="Meiryo UI" w:hAnsi="Meiryo UI"/>
          <w:sz w:val="20"/>
        </w:rPr>
        <w:t>使用Rf: 2.423%（取得: 2026-04-15 10:02 JST（財務省日次 R8.4.14））</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