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[3498] 霞ヶ関キャピタル</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[3498] 霞ヶ関キャピタル</w:t>
      </w:r>
    </w:p>
    <w:p>
      <w:r>
        <w:rPr>
          <w:rFonts w:ascii="Meiryo UI" w:hAnsi="Meiryo UI"/>
          <w:sz w:val="20"/>
        </w:rPr>
        <w:t>作成日: 2026-04-07  |  アナリスト: 深井  |  分類: BUY</w:t>
      </w:r>
    </w:p>
    <w:p>
      <w:r>
        <w:rPr>
          <w:rFonts w:ascii="Meiryo UI" w:hAnsi="Meiryo UI"/>
          <w:sz w:val="20"/>
        </w:rPr>
        <w:t>浅井スコア: +99  |  ソース: TDnet + 公開情報 + 浅井マスターDB</w:t>
      </w:r>
    </w:p>
    <w:p/>
    <w:p>
      <w:r>
        <w:t>──────────────────────────────────────────────────</w:t>
      </w:r>
    </w:p>
    <w:p/>
    <w:p>
      <w:pPr>
        <w:pStyle w:val="Heading1"/>
      </w:pPr>
      <w:r>
        <w:rPr>
          <w:rFonts w:ascii="Meiryo UI" w:hAnsi="Meiryo UI"/>
          <w:color w:val="1F3864"/>
        </w:rPr>
        <w:t>霞ヶ関キャピタル（3498.T）DeepResearchレポート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分析日：2026年4月7日｜SMBC日興証券 浜田氏同行取材（FY26 2Q IR面談）反映版</w:t>
      </w:r>
    </w:p>
    <w:p/>
    <w:p>
      <w:r>
        <w:t>──────────────────────────────────────────────────</w:t>
      </w:r>
    </w:p>
    <w:p/>
    <w:p>
      <w:r>
        <w:rPr>
          <w:rFonts w:ascii="Meiryo UI" w:hAnsi="Meiryo UI"/>
          <w:sz w:val="20"/>
        </w:rPr>
        <w:t>&gt; 【データ確認】</w:t>
      </w:r>
    </w:p>
    <w:p>
      <w:r>
        <w:rPr>
          <w:rFonts w:ascii="Meiryo UI" w:hAnsi="Meiryo UI"/>
          <w:sz w:val="20"/>
        </w:rPr>
        <w:t>&gt; 現在株価：¥6,370（2026-04-07 11:34 JST / Yahoo Finance 3498.T）</w:t>
      </w:r>
    </w:p>
    <w:p>
      <w:r>
        <w:rPr>
          <w:rFonts w:ascii="Meiryo UI" w:hAnsi="Meiryo UI"/>
          <w:sz w:val="20"/>
        </w:rPr>
        <w:t>&gt; PBR：2.27倍｜BPS：¥2,806｜ROE：23.7%｜PER：12.4倍｜EPS：¥512</w:t>
      </w:r>
    </w:p>
    <w:p>
      <w:r>
        <w:rPr>
          <w:rFonts w:ascii="Meiryo UI" w:hAnsi="Meiryo UI"/>
          <w:sz w:val="20"/>
        </w:rPr>
        <w:t>&gt; Rf：2.429%（JGB10Y / 財務省日次 R8.4.6）</w:t>
      </w:r>
    </w:p>
    <w:p>
      <w:r>
        <w:rPr>
          <w:rFonts w:ascii="Meiryo UI" w:hAnsi="Meiryo UI"/>
          <w:sz w:val="20"/>
        </w:rPr>
        <w:t>&gt; ※ 上記リアルタイム取得値を唯一の正解として使用。学習データによる上書き厳禁。</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強い買い（Strong Buy）</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¥9,800〜¥10,500</w:t>
            </w:r>
          </w:p>
        </w:tc>
      </w:tr>
      <w:tr>
        <w:tc>
          <w:tcPr>
            <w:tcW w:type="dxa" w:w="4703"/>
          </w:tcPr>
          <w:p>
            <w:r>
              <w:rPr>
                <w:rFonts w:ascii="Meiryo UI" w:hAnsi="Meiryo UI"/>
                <w:sz w:val="18"/>
              </w:rPr>
              <w:t>安全域（MoS 20%バッファ後）</w:t>
            </w:r>
          </w:p>
        </w:tc>
        <w:tc>
          <w:tcPr>
            <w:tcW w:type="dxa" w:w="4703"/>
          </w:tcPr>
          <w:p>
            <w:r>
              <w:rPr>
                <w:rFonts w:ascii="Meiryo UI" w:hAnsi="Meiryo UI"/>
                <w:sz w:val="18"/>
              </w:rPr>
              <w:t>¥7,840〜¥8,400</w:t>
            </w:r>
          </w:p>
        </w:tc>
      </w:tr>
      <w:tr>
        <w:tc>
          <w:tcPr>
            <w:tcW w:type="dxa" w:w="4703"/>
            <w:shd w:val="clear" w:color="auto" w:fill="DDEBF7"/>
          </w:tcPr>
          <w:p>
            <w:r>
              <w:rPr>
                <w:rFonts w:ascii="Meiryo UI" w:hAnsi="Meiryo UI"/>
                <w:sz w:val="18"/>
              </w:rPr>
              <w:t>現在株価（2026-04-07）</w:t>
            </w:r>
          </w:p>
        </w:tc>
        <w:tc>
          <w:tcPr>
            <w:tcW w:type="dxa" w:w="4703"/>
            <w:shd w:val="clear" w:color="auto" w:fill="DDEBF7"/>
          </w:tcPr>
          <w:p>
            <w:r>
              <w:rPr>
                <w:rFonts w:ascii="Meiryo UI" w:hAnsi="Meiryo UI"/>
                <w:sz w:val="18"/>
              </w:rPr>
              <w:t>¥6,370</w:t>
            </w:r>
          </w:p>
        </w:tc>
      </w:tr>
      <w:tr>
        <w:tc>
          <w:tcPr>
            <w:tcW w:type="dxa" w:w="4703"/>
          </w:tcPr>
          <w:p>
            <w:r>
              <w:rPr>
                <w:rFonts w:ascii="Meiryo UI" w:hAnsi="Meiryo UI"/>
                <w:sz w:val="18"/>
              </w:rPr>
              <w:t>上値余地（基本シナリオ中央値）</w:t>
            </w:r>
          </w:p>
        </w:tc>
        <w:tc>
          <w:tcPr>
            <w:tcW w:type="dxa" w:w="4703"/>
          </w:tcPr>
          <w:p>
            <w:r>
              <w:rPr>
                <w:rFonts w:ascii="Meiryo UI" w:hAnsi="Meiryo UI"/>
                <w:sz w:val="18"/>
              </w:rPr>
              <w:t>+57%（¥10,150→6,370比）</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+99（BUY）｜本レポートと整合</w:t>
            </w:r>
          </w:p>
        </w:tc>
      </w:tr>
      <w:tr>
        <w:tc>
          <w:tcPr>
            <w:tcW w:type="dxa" w:w="4703"/>
          </w:tcPr>
          <w:p>
            <w:r>
              <w:rPr>
                <w:rFonts w:ascii="Meiryo UI" w:hAnsi="Meiryo UI"/>
                <w:sz w:val="18"/>
              </w:rPr>
              <w:t>主要カタリスト期限</w:t>
            </w:r>
          </w:p>
        </w:tc>
        <w:tc>
          <w:tcPr>
            <w:tcW w:type="dxa" w:w="4703"/>
          </w:tcPr>
          <w:p>
            <w:r>
              <w:rPr>
                <w:rFonts w:ascii="Meiryo UI" w:hAnsi="Meiryo UI"/>
                <w:sz w:val="18"/>
              </w:rPr>
              <w:t>2026年冬春〜2027年8月期</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ドバイ長期停滞×金利2.5%超×REIT低迷の複合ストレス</w:t>
            </w:r>
          </w:p>
        </w:tc>
      </w:tr>
    </w:tbl>
    <w:p/>
    <w:p>
      <w:r>
        <w:t>──────────────────────────────────────────────────</w:t>
      </w:r>
    </w:p>
    <w:p/>
    <w:p>
      <w:pPr>
        <w:pStyle w:val="Heading1"/>
      </w:pPr>
      <w:r>
        <w:rPr>
          <w:rFonts w:ascii="Meiryo UI" w:hAnsi="Meiryo UI"/>
          <w:color w:val="1F3864"/>
        </w:rPr>
        <w:t>1. 企業概要・事業分析</w:t>
      </w:r>
    </w:p>
    <w:p/>
    <w:p>
      <w:pPr>
        <w:pStyle w:val="Heading2"/>
      </w:pPr>
      <w:r>
        <w:rPr>
          <w:rFonts w:ascii="Meiryo UI" w:hAnsi="Meiryo UI"/>
          <w:color w:val="2E74B5"/>
        </w:rPr>
        <w:t>1.1 ビジネスモデルの本質</w:t>
      </w:r>
    </w:p>
    <w:p/>
    <w:p>
      <w:r>
        <w:rPr>
          <w:rFonts w:ascii="Meiryo UI" w:hAnsi="Meiryo UI"/>
          <w:sz w:val="20"/>
        </w:rPr>
        <w:t>霞ヶ関キャピタルは「オルタナティブ不動産ファンドの組成・開発・売却」を一気通貫で行うアセットライト型デベロッパーである。伝統的な不動産開発会社と根本的に異なるのは、バランスシートに物件を長期保有しない点にある。取得→開発→バリューアップ→ファンド移管→成功報酬（アウトパフォーマンスフィー）という循環を高速回転させることで、ROE 23.7%という非常に高い資本効率を実現している。</w:t>
      </w:r>
    </w:p>
    <w:p/>
    <w:p>
      <w:pPr>
        <w:pStyle w:val="Heading2"/>
      </w:pPr>
      <w:r>
        <w:rPr>
          <w:rFonts w:ascii="Meiryo UI" w:hAnsi="Meiryo UI"/>
          <w:color w:val="2E74B5"/>
        </w:rPr>
        <w:t>1.2 収益構造の三層構造</w:t>
      </w:r>
    </w:p>
    <w:p/>
    <w:p>
      <w:pPr>
        <w:shd w:val="clear" w:color="auto" w:fill="F2F2F2"/>
      </w:pPr>
      <w:r>
        <w:rPr>
          <w:rFonts w:ascii="Courier New" w:hAnsi="Courier New"/>
          <w:sz w:val="16"/>
        </w:rPr>
        <w:t>【収益の三層モデル】</w:t>
        <w:br/>
        <w:t>━━━━━━━━━━━━━━━━━━━━━━━━━━━━━━━━━━</w:t>
        <w:br/>
        <w:t>Layer 1：フロービジネス（粗利の80%超）</w:t>
        <w:br/>
        <w:t xml:space="preserve">  └ 開発完了物件のファンドへの売却益（トランザクション収益）</w:t>
        <w:br/>
        <w:t xml:space="preserve">  └ 変動性高・4Q集中・但しパイプライン可視性は高い</w:t>
        <w:br/>
        <w:t>━━━━━━━━━━━━━━━━━━━━━━━━━━━━━━━━━━</w:t>
        <w:br/>
        <w:t>Layer 2：成功報酬（粗利の10%）</w:t>
        <w:br/>
        <w:t xml:space="preserve">  └ ファンド運用成績がハードルレートを超えた場合の超過収益分配</w:t>
        <w:br/>
        <w:t xml:space="preserve">  └ 巡航軌道入り後は高マージン・高確実性の安定収益</w:t>
        <w:br/>
        <w:t xml:space="preserve">  └ 2026年冬春〜が最初の本格化フェーズ</w:t>
        <w:br/>
        <w:t>━━━━━━━━━━━━━━━━━━━━━━━━━━━━━━━━━━</w:t>
        <w:br/>
        <w:t>Layer 3：ストック収益（粗利の10%）</w:t>
        <w:br/>
        <w:t xml:space="preserve">  └ AUM管理報酬（AM/PM フィー）</w:t>
        <w:br/>
        <w:t xml:space="preserve">  └ 現状は小さいが累積AUM増加に伴い逓増</w:t>
        <w:br/>
        <w:t>━━━━━━━━━━━━━━━━━━━━━━━━━━━━━━━━━━</w:t>
      </w:r>
    </w:p>
    <w:p/>
    <w:p>
      <w:pPr>
        <w:pStyle w:val="Heading2"/>
      </w:pPr>
      <w:r>
        <w:rPr>
          <w:rFonts w:ascii="Meiryo UI" w:hAnsi="Meiryo UI"/>
          <w:color w:val="2E74B5"/>
        </w:rPr>
        <w:t>1.3 セグメント別AUM・ポジション概要（IR面談情報統合）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状況</w:t>
            </w:r>
          </w:p>
        </w:tc>
        <w:tc>
          <w:tcPr>
            <w:tcW w:type="dxa" w:w="2351"/>
            <w:shd w:val="clear" w:color="auto" w:fill="2E74B5"/>
          </w:tcPr>
          <w:p>
            <w:r>
              <w:rPr>
                <w:rFonts w:ascii="Meiryo UI" w:hAnsi="Meiryo UI"/>
                <w:b/>
                <w:color w:val="FFFFFF"/>
                <w:sz w:val="18"/>
              </w:rPr>
              <w:t>2Q進捗</w:t>
            </w:r>
          </w:p>
        </w:tc>
        <w:tc>
          <w:tcPr>
            <w:tcW w:type="dxa" w:w="2351"/>
            <w:shd w:val="clear" w:color="auto" w:fill="2E74B5"/>
          </w:tcPr>
          <w:p>
            <w:r>
              <w:rPr>
                <w:rFonts w:ascii="Meiryo UI" w:hAnsi="Meiryo UI"/>
                <w:b/>
                <w:color w:val="FFFFFF"/>
                <w:sz w:val="18"/>
              </w:rPr>
              <w:t>主要カタリスト</w:t>
            </w:r>
          </w:p>
        </w:tc>
      </w:tr>
      <w:tr>
        <w:tc>
          <w:tcPr>
            <w:tcW w:type="dxa" w:w="2351"/>
          </w:tcPr>
          <w:p>
            <w:r>
              <w:rPr>
                <w:rFonts w:ascii="Meiryo UI" w:hAnsi="Meiryo UI"/>
                <w:sz w:val="18"/>
              </w:rPr>
              <w:t>国内ホテル</w:t>
            </w:r>
          </w:p>
        </w:tc>
        <w:tc>
          <w:tcPr>
            <w:tcW w:type="dxa" w:w="2351"/>
          </w:tcPr>
          <w:p>
            <w:r>
              <w:rPr>
                <w:rFonts w:ascii="Meiryo UI" w:hAnsi="Meiryo UI"/>
                <w:sz w:val="18"/>
              </w:rPr>
              <w:t>予算満了・上積みフェーズ</w:t>
            </w:r>
          </w:p>
        </w:tc>
        <w:tc>
          <w:tcPr>
            <w:tcW w:type="dxa" w:w="2351"/>
          </w:tcPr>
          <w:p>
            <w:r>
              <w:rPr>
                <w:rFonts w:ascii="Meiryo UI" w:hAnsi="Meiryo UI"/>
                <w:sz w:val="18"/>
              </w:rPr>
              <w:t>◎</w:t>
            </w:r>
          </w:p>
        </w:tc>
        <w:tc>
          <w:tcPr>
            <w:tcW w:type="dxa" w:w="2351"/>
          </w:tcPr>
          <w:p>
            <w:r>
              <w:rPr>
                <w:rFonts w:ascii="Meiryo UI" w:hAnsi="Meiryo UI"/>
                <w:sz w:val="18"/>
              </w:rPr>
              <w:t>2026年冬春竣工ラッシュ</w:t>
            </w:r>
          </w:p>
        </w:tc>
      </w:tr>
      <w:tr>
        <w:tc>
          <w:tcPr>
            <w:tcW w:type="dxa" w:w="2351"/>
            <w:shd w:val="clear" w:color="auto" w:fill="DDEBF7"/>
          </w:tcPr>
          <w:p>
            <w:r>
              <w:rPr>
                <w:rFonts w:ascii="Meiryo UI" w:hAnsi="Meiryo UI"/>
                <w:sz w:val="18"/>
              </w:rPr>
              <w:t>物流（ロジ）</w:t>
            </w:r>
          </w:p>
        </w:tc>
        <w:tc>
          <w:tcPr>
            <w:tcW w:type="dxa" w:w="2351"/>
            <w:shd w:val="clear" w:color="auto" w:fill="DDEBF7"/>
          </w:tcPr>
          <w:p>
            <w:r>
              <w:rPr>
                <w:rFonts w:ascii="Meiryo UI" w:hAnsi="Meiryo UI"/>
                <w:sz w:val="18"/>
              </w:rPr>
              <w:t>最良取得環境・稼働100%超</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4Q 165億円売却益</w:t>
            </w:r>
          </w:p>
        </w:tc>
      </w:tr>
      <w:tr>
        <w:tc>
          <w:tcPr>
            <w:tcW w:type="dxa" w:w="2351"/>
          </w:tcPr>
          <w:p>
            <w:r>
              <w:rPr>
                <w:rFonts w:ascii="Meiryo UI" w:hAnsi="Meiryo UI"/>
                <w:sz w:val="18"/>
              </w:rPr>
              <w:t>ヘルスケア</w:t>
            </w:r>
          </w:p>
        </w:tc>
        <w:tc>
          <w:tcPr>
            <w:tcW w:type="dxa" w:w="2351"/>
          </w:tcPr>
          <w:p>
            <w:r>
              <w:rPr>
                <w:rFonts w:ascii="Meiryo UI" w:hAnsi="Meiryo UI"/>
                <w:sz w:val="18"/>
              </w:rPr>
              <w:t>厚労省検査クリア・仕入再開待ち</w:t>
            </w:r>
          </w:p>
        </w:tc>
        <w:tc>
          <w:tcPr>
            <w:tcW w:type="dxa" w:w="2351"/>
          </w:tcPr>
          <w:p>
            <w:r>
              <w:rPr>
                <w:rFonts w:ascii="Meiryo UI" w:hAnsi="Meiryo UI"/>
                <w:sz w:val="18"/>
              </w:rPr>
              <w:t>△</w:t>
            </w:r>
          </w:p>
        </w:tc>
        <w:tc>
          <w:tcPr>
            <w:tcW w:type="dxa" w:w="2351"/>
          </w:tcPr>
          <w:p>
            <w:r>
              <w:rPr>
                <w:rFonts w:ascii="Meiryo UI" w:hAnsi="Meiryo UI"/>
                <w:sz w:val="18"/>
              </w:rPr>
              <w:t>2H仕入再開</w:t>
            </w:r>
          </w:p>
        </w:tc>
      </w:tr>
      <w:tr>
        <w:tc>
          <w:tcPr>
            <w:tcW w:type="dxa" w:w="2351"/>
            <w:shd w:val="clear" w:color="auto" w:fill="DDEBF7"/>
          </w:tcPr>
          <w:p>
            <w:r>
              <w:rPr>
                <w:rFonts w:ascii="Meiryo UI" w:hAnsi="Meiryo UI"/>
                <w:sz w:val="18"/>
              </w:rPr>
              <w:t>ドバイ</w:t>
            </w:r>
          </w:p>
        </w:tc>
        <w:tc>
          <w:tcPr>
            <w:tcW w:type="dxa" w:w="2351"/>
            <w:shd w:val="clear" w:color="auto" w:fill="DDEBF7"/>
          </w:tcPr>
          <w:p>
            <w:r>
              <w:rPr>
                <w:rFonts w:ascii="Meiryo UI" w:hAnsi="Meiryo UI"/>
                <w:sz w:val="18"/>
              </w:rPr>
              <w:t>予算比10%・慎重モード</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市場正常化待ち</w:t>
            </w:r>
          </w:p>
        </w:tc>
      </w:tr>
      <w:tr>
        <w:tc>
          <w:tcPr>
            <w:tcW w:type="dxa" w:w="2351"/>
          </w:tcPr>
          <w:p>
            <w:r>
              <w:rPr>
                <w:rFonts w:ascii="Meiryo UI" w:hAnsi="Meiryo UI"/>
                <w:sz w:val="18"/>
              </w:rPr>
              <w:t>マイアミ</w:t>
            </w:r>
          </w:p>
        </w:tc>
        <w:tc>
          <w:tcPr>
            <w:tcW w:type="dxa" w:w="2351"/>
          </w:tcPr>
          <w:p>
            <w:r>
              <w:rPr>
                <w:rFonts w:ascii="Meiryo UI" w:hAnsi="Meiryo UI"/>
                <w:sz w:val="18"/>
              </w:rPr>
              <w:t>取得完了・開発中</w:t>
            </w:r>
          </w:p>
        </w:tc>
        <w:tc>
          <w:tcPr>
            <w:tcW w:type="dxa" w:w="2351"/>
          </w:tcPr>
          <w:p>
            <w:r>
              <w:rPr>
                <w:rFonts w:ascii="Meiryo UI" w:hAnsi="Meiryo UI"/>
                <w:sz w:val="18"/>
              </w:rPr>
              <w:t>○</w:t>
            </w:r>
          </w:p>
        </w:tc>
        <w:tc>
          <w:tcPr>
            <w:tcW w:type="dxa" w:w="2351"/>
          </w:tcPr>
          <w:p>
            <w:r>
              <w:rPr>
                <w:rFonts w:ascii="Meiryo UI" w:hAnsi="Meiryo UI"/>
                <w:sz w:val="18"/>
              </w:rPr>
              <w:t>来期〜売却</w:t>
            </w:r>
          </w:p>
        </w:tc>
      </w:tr>
      <w:tr>
        <w:tc>
          <w:tcPr>
            <w:tcW w:type="dxa" w:w="2351"/>
            <w:shd w:val="clear" w:color="auto" w:fill="DDEBF7"/>
          </w:tcPr>
          <w:p>
            <w:r>
              <w:rPr>
                <w:rFonts w:ascii="Meiryo UI" w:hAnsi="Meiryo UI"/>
                <w:sz w:val="18"/>
              </w:rPr>
              <w:t>ASEAN</w:t>
            </w:r>
          </w:p>
        </w:tc>
        <w:tc>
          <w:tcPr>
            <w:tcW w:type="dxa" w:w="2351"/>
            <w:shd w:val="clear" w:color="auto" w:fill="DDEBF7"/>
          </w:tcPr>
          <w:p>
            <w:r>
              <w:rPr>
                <w:rFonts w:ascii="Meiryo UI" w:hAnsi="Meiryo UI"/>
                <w:sz w:val="18"/>
              </w:rPr>
              <w:t>7件・1,000億円弱PL</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2号案件近々</w:t>
            </w:r>
          </w:p>
        </w:tc>
      </w:tr>
      <w:tr>
        <w:tc>
          <w:tcPr>
            <w:tcW w:type="dxa" w:w="2351"/>
          </w:tcPr>
          <w:p>
            <w:r>
              <w:rPr>
                <w:rFonts w:ascii="Meiryo UI" w:hAnsi="Meiryo UI"/>
                <w:sz w:val="18"/>
              </w:rPr>
              <w:t>データセンター</w:t>
            </w:r>
          </w:p>
        </w:tc>
        <w:tc>
          <w:tcPr>
            <w:tcW w:type="dxa" w:w="2351"/>
          </w:tcPr>
          <w:p>
            <w:r>
              <w:rPr>
                <w:rFonts w:ascii="Meiryo UI" w:hAnsi="Meiryo UI"/>
                <w:sz w:val="18"/>
              </w:rPr>
              <w:t>スタディ中</w:t>
            </w:r>
          </w:p>
        </w:tc>
        <w:tc>
          <w:tcPr>
            <w:tcW w:type="dxa" w:w="2351"/>
          </w:tcPr>
          <w:p>
            <w:r>
              <w:rPr>
                <w:rFonts w:ascii="Meiryo UI" w:hAnsi="Meiryo UI"/>
                <w:sz w:val="18"/>
              </w:rPr>
              <w:t>—</w:t>
            </w:r>
          </w:p>
        </w:tc>
        <w:tc>
          <w:tcPr>
            <w:tcW w:type="dxa" w:w="2351"/>
          </w:tcPr>
          <w:p>
            <w:r>
              <w:rPr>
                <w:rFonts w:ascii="Meiryo UI" w:hAnsi="Meiryo UI"/>
                <w:sz w:val="18"/>
              </w:rPr>
              <w:t>今期中アナウンス</w:t>
            </w:r>
          </w:p>
        </w:tc>
      </w:tr>
    </w:tbl>
    <w:p/>
    <w:p>
      <w:pPr>
        <w:pStyle w:val="Heading2"/>
      </w:pPr>
      <w:r>
        <w:rPr>
          <w:rFonts w:ascii="Meiryo UI" w:hAnsi="Meiryo UI"/>
          <w:color w:val="2E74B5"/>
        </w:rPr>
        <w:t>1.4 競合優位性</w:t>
      </w:r>
    </w:p>
    <w:p/>
    <w:p>
      <w:r>
        <w:rPr>
          <w:rFonts w:ascii="Meiryo UI" w:hAnsi="Meiryo UI"/>
          <w:sz w:val="20"/>
        </w:rPr>
        <w:t>1. 案件ソーシング力：不動産業者からの持ち込み案件増加（国内ホテル）→マーケットシェア拡大のシグナル。他社が追随困難な独自ネットワーク。</w:t>
      </w:r>
    </w:p>
    <w:p/>
    <w:p>
      <w:r>
        <w:rPr>
          <w:rFonts w:ascii="Meiryo UI" w:hAnsi="Meiryo UI"/>
          <w:sz w:val="20"/>
        </w:rPr>
        <w:t>2. ハイブリッドファイナンス力：銀行融資（極めて協力的）×SB発行×セラーファイナンス×LBO活用の多層資本構造。自己資本比率45%は不動産デベロッパーとして異例に健全。</w:t>
      </w:r>
    </w:p>
    <w:p/>
    <w:p>
      <w:r>
        <w:rPr>
          <w:rFonts w:ascii="Meiryo UI" w:hAnsi="Meiryo UI"/>
          <w:sz w:val="20"/>
        </w:rPr>
        <w:t>3. 海外展開の先行者優位：ドバイ・マイアミ・ASEANという3極展開を同時進行。日系デベロッパーで同規模・同スピードの海外展開は希少。</w:t>
      </w:r>
    </w:p>
    <w:p/>
    <w:p>
      <w:r>
        <w:rPr>
          <w:rFonts w:ascii="Meiryo UI" w:hAnsi="Meiryo UI"/>
          <w:sz w:val="20"/>
        </w:rPr>
        <w:t>4. 税制最適化：ドバイ法人税9%（vs 国内30%強）の構造的コスト優位（詳細は②で精査）。</w:t>
      </w:r>
    </w:p>
    <w:p/>
    <w:p>
      <w:r>
        <w:t>──────────────────────────────────────────────────</w:t>
      </w:r>
    </w:p>
    <w:p/>
    <w:p>
      <w:pPr>
        <w:pStyle w:val="Heading1"/>
      </w:pPr>
      <w:r>
        <w:rPr>
          <w:rFonts w:ascii="Meiryo UI" w:hAnsi="Meiryo UI"/>
          <w:color w:val="1F3864"/>
        </w:rPr>
        <w:t>2. 社長指示重点分析（最優先）</w:t>
      </w:r>
    </w:p>
    <w:p>
      <w:pPr>
        <w:pStyle w:val="Heading2"/>
      </w:pPr>
      <w:r>
        <w:rPr>
          <w:rFonts w:ascii="Meiryo UI" w:hAnsi="Meiryo UI"/>
          <w:color w:val="2E74B5"/>
        </w:rPr>
        <w:t>SMBC日興証券 浜田氏同行 FY26 2Q IR面談の徹底精査</w:t>
      </w:r>
    </w:p>
    <w:p/>
    <w:p>
      <w:r>
        <w:t>──────────────────────────────────────────────────</w:t>
      </w:r>
    </w:p>
    <w:p/>
    <w:p>
      <w:pPr>
        <w:pStyle w:val="Heading2"/>
      </w:pPr>
      <w:r>
        <w:rPr>
          <w:rFonts w:ascii="Meiryo UI" w:hAnsi="Meiryo UI"/>
          <w:color w:val="2E74B5"/>
        </w:rPr>
        <w:t>① 2Q業績の定量精査</w:t>
      </w:r>
    </w:p>
    <w:p/>
    <w:p>
      <w:pPr>
        <w:pStyle w:val="Heading3"/>
      </w:pPr>
      <w:r>
        <w:rPr>
          <w:rFonts w:ascii="Meiryo UI" w:hAnsi="Meiryo UI"/>
          <w:color w:val="2E74B5"/>
        </w:rPr>
        <w:t>粗利197億円の構造分析</w:t>
      </w:r>
    </w:p>
    <w:p/>
    <w:p>
      <w:r>
        <w:rPr>
          <w:rFonts w:ascii="Meiryo UI" w:hAnsi="Meiryo UI"/>
          <w:sz w:val="20"/>
        </w:rPr>
        <w:t>前提となる通期粗利目標の逆算</w:t>
      </w:r>
    </w:p>
    <w:p/>
    <w:p>
      <w:r>
        <w:rPr>
          <w:rFonts w:ascii="Meiryo UI" w:hAnsi="Meiryo UI"/>
          <w:sz w:val="20"/>
        </w:rPr>
        <w:t>2Q累計粗利197億円について、4Q偏重パターンから通期目標を逆算する。</w:t>
      </w:r>
    </w:p>
    <w:p/>
    <w:p>
      <w:pPr>
        <w:shd w:val="clear" w:color="auto" w:fill="F2F2F2"/>
      </w:pPr>
      <w:r>
        <w:rPr>
          <w:rFonts w:ascii="Courier New" w:hAnsi="Courier New"/>
          <w:sz w:val="16"/>
        </w:rPr>
        <w:t>【4Q偏重モデルによる通期試算】</w:t>
        <w:br/>
        <w:t>━━━━━━━━━━━━━━━━━━━━━━━━━━━━━━━━━━</w:t>
        <w:br/>
        <w:t>過去パターン（霞ヶ関キャピタルの季節性）：</w:t>
        <w:br/>
        <w:t xml:space="preserve">  1Q:2Q:3Q:4Q ≒ 15%:20%:15%:50%（4Q集中型）</w:t>
        <w:br/>
        <w:br/>
        <w:t>2Q末累計197億円 → 1H比率35%として試算</w:t>
        <w:br/>
        <w:t xml:space="preserve">  → 通期目標概算：197億円 ÷ 35% = **563億円**</w:t>
        <w:br/>
        <w:br/>
        <w:t>内訳検証：</w:t>
        <w:br/>
        <w:t xml:space="preserve">  フロー（80%）：450億円規模</w:t>
        <w:br/>
        <w:t xml:space="preserve">  成功報酬（10%）：56億円規模</w:t>
        <w:br/>
        <w:t xml:space="preserve">  ストック（10%）：56億円規模</w:t>
        <w:br/>
        <w:br/>
        <w:t>4Q偏重調整後の下期集中額：</w:t>
        <w:br/>
        <w:t xml:space="preserve">  通期563億円 - 上期197億円 = **下期366億円**（65%集中）</w:t>
        <w:br/>
        <w:t>━━━━━━━━━━━━━━━━━━━━━━━━━━━━━━━━━━</w:t>
      </w:r>
    </w:p>
    <w:p/>
    <w:p>
      <w:pPr>
        <w:pStyle w:val="Heading3"/>
      </w:pPr>
      <w:r>
        <w:rPr>
          <w:rFonts w:ascii="Meiryo UI" w:hAnsi="Meiryo UI"/>
          <w:color w:val="2E74B5"/>
        </w:rPr>
        <w:t>通期達成確度の評価マトリクス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進捗評価</w:t>
            </w:r>
          </w:p>
        </w:tc>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確度</w:t>
            </w:r>
          </w:p>
        </w:tc>
      </w:tr>
      <w:tr>
        <w:tc>
          <w:tcPr>
            <w:tcW w:type="dxa" w:w="2351"/>
          </w:tcPr>
          <w:p>
            <w:r>
              <w:rPr>
                <w:rFonts w:ascii="Meiryo UI" w:hAnsi="Meiryo UI"/>
                <w:sz w:val="18"/>
              </w:rPr>
              <w:t>国内ホテルフロー</w:t>
            </w:r>
          </w:p>
        </w:tc>
        <w:tc>
          <w:tcPr>
            <w:tcW w:type="dxa" w:w="2351"/>
          </w:tcPr>
          <w:p>
            <w:r>
              <w:rPr>
                <w:rFonts w:ascii="Meiryo UI" w:hAnsi="Meiryo UI"/>
                <w:sz w:val="18"/>
              </w:rPr>
              <w:t>予算満了・上積み</w:t>
            </w:r>
          </w:p>
        </w:tc>
        <w:tc>
          <w:tcPr>
            <w:tcW w:type="dxa" w:w="2351"/>
          </w:tcPr>
          <w:p>
            <w:r>
              <w:rPr>
                <w:rFonts w:ascii="Meiryo UI" w:hAnsi="Meiryo UI"/>
                <w:sz w:val="18"/>
              </w:rPr>
              <w:t>売却スケジュール遅延</w:t>
            </w:r>
          </w:p>
        </w:tc>
        <w:tc>
          <w:tcPr>
            <w:tcW w:type="dxa" w:w="2351"/>
          </w:tcPr>
          <w:p>
            <w:r>
              <w:rPr>
                <w:rFonts w:ascii="Meiryo UI" w:hAnsi="Meiryo UI"/>
                <w:sz w:val="18"/>
              </w:rPr>
              <w:t>85%</w:t>
            </w:r>
          </w:p>
        </w:tc>
      </w:tr>
      <w:tr>
        <w:tc>
          <w:tcPr>
            <w:tcW w:type="dxa" w:w="2351"/>
            <w:shd w:val="clear" w:color="auto" w:fill="DDEBF7"/>
          </w:tcPr>
          <w:p>
            <w:r>
              <w:rPr>
                <w:rFonts w:ascii="Meiryo UI" w:hAnsi="Meiryo UI"/>
                <w:sz w:val="18"/>
              </w:rPr>
              <w:t>物流フロー</w:t>
            </w:r>
          </w:p>
        </w:tc>
        <w:tc>
          <w:tcPr>
            <w:tcW w:type="dxa" w:w="2351"/>
            <w:shd w:val="clear" w:color="auto" w:fill="DDEBF7"/>
          </w:tcPr>
          <w:p>
            <w:r>
              <w:rPr>
                <w:rFonts w:ascii="Meiryo UI" w:hAnsi="Meiryo UI"/>
                <w:sz w:val="18"/>
              </w:rPr>
              <w:t>4Q 165億円予定</w:t>
            </w:r>
          </w:p>
        </w:tc>
        <w:tc>
          <w:tcPr>
            <w:tcW w:type="dxa" w:w="2351"/>
            <w:shd w:val="clear" w:color="auto" w:fill="DDEBF7"/>
          </w:tcPr>
          <w:p>
            <w:r>
              <w:rPr>
                <w:rFonts w:ascii="Meiryo UI" w:hAnsi="Meiryo UI"/>
                <w:sz w:val="18"/>
              </w:rPr>
              <w:t>契約条件変更</w:t>
            </w:r>
          </w:p>
        </w:tc>
        <w:tc>
          <w:tcPr>
            <w:tcW w:type="dxa" w:w="2351"/>
            <w:shd w:val="clear" w:color="auto" w:fill="DDEBF7"/>
          </w:tcPr>
          <w:p>
            <w:r>
              <w:rPr>
                <w:rFonts w:ascii="Meiryo UI" w:hAnsi="Meiryo UI"/>
                <w:sz w:val="18"/>
              </w:rPr>
              <w:t>90%</w:t>
            </w:r>
          </w:p>
        </w:tc>
      </w:tr>
      <w:tr>
        <w:tc>
          <w:tcPr>
            <w:tcW w:type="dxa" w:w="2351"/>
          </w:tcPr>
          <w:p>
            <w:r>
              <w:rPr>
                <w:rFonts w:ascii="Meiryo UI" w:hAnsi="Meiryo UI"/>
                <w:sz w:val="18"/>
              </w:rPr>
              <w:t>成功報酬</w:t>
            </w:r>
          </w:p>
        </w:tc>
        <w:tc>
          <w:tcPr>
            <w:tcW w:type="dxa" w:w="2351"/>
          </w:tcPr>
          <w:p>
            <w:r>
              <w:rPr>
                <w:rFonts w:ascii="Meiryo UI" w:hAnsi="Meiryo UI"/>
                <w:sz w:val="18"/>
              </w:rPr>
              <w:t>2026年冬春竣工待ち</w:t>
            </w:r>
          </w:p>
        </w:tc>
        <w:tc>
          <w:tcPr>
            <w:tcW w:type="dxa" w:w="2351"/>
          </w:tcPr>
          <w:p>
            <w:r>
              <w:rPr>
                <w:rFonts w:ascii="Meiryo UI" w:hAnsi="Meiryo UI"/>
                <w:sz w:val="18"/>
              </w:rPr>
              <w:t>ファンド移管遅延</w:t>
            </w:r>
          </w:p>
        </w:tc>
        <w:tc>
          <w:tcPr>
            <w:tcW w:type="dxa" w:w="2351"/>
          </w:tcPr>
          <w:p>
            <w:r>
              <w:rPr>
                <w:rFonts w:ascii="Meiryo UI" w:hAnsi="Meiryo UI"/>
                <w:sz w:val="18"/>
              </w:rPr>
              <w:t>75%</w:t>
            </w:r>
          </w:p>
        </w:tc>
      </w:tr>
      <w:tr>
        <w:tc>
          <w:tcPr>
            <w:tcW w:type="dxa" w:w="2351"/>
            <w:shd w:val="clear" w:color="auto" w:fill="DDEBF7"/>
          </w:tcPr>
          <w:p>
            <w:r>
              <w:rPr>
                <w:rFonts w:ascii="Meiryo UI" w:hAnsi="Meiryo UI"/>
                <w:sz w:val="18"/>
              </w:rPr>
              <w:t>ドバイ</w:t>
            </w:r>
          </w:p>
        </w:tc>
        <w:tc>
          <w:tcPr>
            <w:tcW w:type="dxa" w:w="2351"/>
            <w:shd w:val="clear" w:color="auto" w:fill="DDEBF7"/>
          </w:tcPr>
          <w:p>
            <w:r>
              <w:rPr>
                <w:rFonts w:ascii="Meiryo UI" w:hAnsi="Meiryo UI"/>
                <w:sz w:val="18"/>
              </w:rPr>
              <w:t>予算比10%のみ計上</w:t>
            </w:r>
          </w:p>
        </w:tc>
        <w:tc>
          <w:tcPr>
            <w:tcW w:type="dxa" w:w="2351"/>
            <w:shd w:val="clear" w:color="auto" w:fill="DDEBF7"/>
          </w:tcPr>
          <w:p>
            <w:r>
              <w:rPr>
                <w:rFonts w:ascii="Meiryo UI" w:hAnsi="Meiryo UI"/>
                <w:sz w:val="18"/>
              </w:rPr>
              <w:t>正規化遅延</w:t>
            </w:r>
          </w:p>
        </w:tc>
        <w:tc>
          <w:tcPr>
            <w:tcW w:type="dxa" w:w="2351"/>
            <w:shd w:val="clear" w:color="auto" w:fill="DDEBF7"/>
          </w:tcPr>
          <w:p>
            <w:r>
              <w:rPr>
                <w:rFonts w:ascii="Meiryo UI" w:hAnsi="Meiryo UI"/>
                <w:sz w:val="18"/>
              </w:rPr>
              <w:t>40%</w:t>
            </w:r>
          </w:p>
        </w:tc>
      </w:tr>
      <w:tr>
        <w:tc>
          <w:tcPr>
            <w:tcW w:type="dxa" w:w="2351"/>
          </w:tcPr>
          <w:p>
            <w:r>
              <w:rPr>
                <w:rFonts w:ascii="Meiryo UI" w:hAnsi="Meiryo UI"/>
                <w:sz w:val="18"/>
              </w:rPr>
              <w:t>ヘルスケア</w:t>
            </w:r>
          </w:p>
        </w:tc>
        <w:tc>
          <w:tcPr>
            <w:tcW w:type="dxa" w:w="2351"/>
          </w:tcPr>
          <w:p>
            <w:r>
              <w:rPr>
                <w:rFonts w:ascii="Meiryo UI" w:hAnsi="Meiryo UI"/>
                <w:sz w:val="18"/>
              </w:rPr>
              <w:t>仕入再開まだ先</w:t>
            </w:r>
          </w:p>
        </w:tc>
        <w:tc>
          <w:tcPr>
            <w:tcW w:type="dxa" w:w="2351"/>
          </w:tcPr>
          <w:p>
            <w:r>
              <w:rPr>
                <w:rFonts w:ascii="Meiryo UI" w:hAnsi="Meiryo UI"/>
                <w:sz w:val="18"/>
              </w:rPr>
              <w:t>厚労省対応長期化</w:t>
            </w:r>
          </w:p>
        </w:tc>
        <w:tc>
          <w:tcPr>
            <w:tcW w:type="dxa" w:w="2351"/>
          </w:tcPr>
          <w:p>
            <w:r>
              <w:rPr>
                <w:rFonts w:ascii="Meiryo UI" w:hAnsi="Meiryo UI"/>
                <w:sz w:val="18"/>
              </w:rPr>
              <w:t>70%</w:t>
            </w:r>
          </w:p>
        </w:tc>
      </w:tr>
    </w:tbl>
    <w:p/>
    <w:p>
      <w:r>
        <w:rPr>
          <w:rFonts w:ascii="Meiryo UI" w:hAnsi="Meiryo UI"/>
          <w:sz w:val="20"/>
        </w:rPr>
        <w:t>総合通期達成確度：80〜85%（計画通りに計画比）</w:t>
      </w:r>
    </w:p>
    <w:p/>
    <w:p>
      <w:r>
        <w:rPr>
          <w:rFonts w:ascii="Meiryo UI" w:hAnsi="Meiryo UI"/>
          <w:sz w:val="20"/>
        </w:rPr>
        <w:t>ドバイが予算比10%（≒計画の10%）しか寄与しない前提でも、国内ホテル・物流の上積みがドバイ不足分を十分に吸収できる構造は評価できる。</w:t>
      </w:r>
    </w:p>
    <w:p/>
    <w:p>
      <w:pPr>
        <w:pStyle w:val="Heading3"/>
      </w:pPr>
      <w:r>
        <w:rPr>
          <w:rFonts w:ascii="Meiryo UI" w:hAnsi="Meiryo UI"/>
          <w:color w:val="2E74B5"/>
        </w:rPr>
        <w:t>販管費・支払利息の進捗評価</w:t>
      </w:r>
    </w:p>
    <w:p/>
    <w:p>
      <w:pPr>
        <w:shd w:val="clear" w:color="auto" w:fill="F2F2F2"/>
      </w:pPr>
      <w:r>
        <w:rPr>
          <w:rFonts w:ascii="Courier New" w:hAnsi="Courier New"/>
          <w:sz w:val="16"/>
        </w:rPr>
        <w:t>【販管費分析】</w:t>
        <w:br/>
        <w:t>━━━━━━━━━━━━━━━━━━━━━━━━━━━━━━━━━━</w:t>
        <w:br/>
        <w:t>1Q実績：約58億円</w:t>
        <w:br/>
        <w:t>2Q実績：約58億円（累計116億円）</w:t>
        <w:br/>
        <w:t>月次換算：約19億円/月</w:t>
        <w:br/>
        <w:br/>
        <w:t>3Q・4Qが同ペース継続の場合：</w:t>
        <w:br/>
        <w:t xml:space="preserve">  通期販管費推定 = 116億円 × 2 = 232億円</w:t>
        <w:br/>
        <w:br/>
        <w:t>事業拡大（海外・DC調査）に伴う下期増加を織り込む場合：</w:t>
        <w:br/>
        <w:t xml:space="preserve">  通期販管費推定（保守） = 240〜250億円</w:t>
        <w:br/>
        <w:br/>
        <w:t>販管費/粗利比率（通期563億円ベース）：</w:t>
        <w:br/>
        <w:t xml:space="preserve">  232億円 ÷ 563億円 = 41.2%（健全な水準）</w:t>
        <w:br/>
        <w:t>━━━━━━━━━━━━━━━━━━━━━━━━━━━━━━━━━━</w:t>
        <w:br/>
        <w:br/>
        <w:t>【支払利息分析】</w:t>
        <w:br/>
        <w:t>━━━━━━━━━━━━━━━━━━━━━━━━━━━━━━━━━━</w:t>
        <w:br/>
        <w:t>上期実績：20億円強</w:t>
        <w:br/>
        <w:t>通期予算：25億円以内</w:t>
        <w:br/>
        <w:t>下期残余：5億円弱（タイト）</w:t>
        <w:br/>
        <w:br/>
        <w:t>注意点：</w:t>
        <w:br/>
        <w:t xml:space="preserve">  ・棚卸資産の1,000〜1,200億円積み上げに伴い借入増加余地あり</w:t>
        <w:br/>
        <w:t xml:space="preserve">  ・LBO活用M&amp;Aが発生すれば25億円を超過するリスクあり</w:t>
        <w:br/>
        <w:t xml:space="preserve">  ・SB追加発行（現状16億円）の拡大で調達多様化を進める方向</w:t>
        <w:br/>
        <w:t xml:space="preserve">  ・銀行の極めて協力的な融資姿勢は金利コスト抑制に寄与</w:t>
        <w:br/>
        <w:br/>
        <w:t>リスク評価：通期25億円予算は「達成可能だが余裕は薄い」</w:t>
        <w:br/>
        <w:t>金利上昇（日銀追加利上げ）が最大の変数</w:t>
        <w:br/>
        <w:t>━━━━━━━━━━━━━━━━━━━━━━━━━━━━━━━━━━</w:t>
      </w:r>
    </w:p>
    <w:p/>
    <w:p>
      <w:r>
        <w:rPr>
          <w:rFonts w:ascii="Meiryo UI" w:hAnsi="Meiryo UI"/>
          <w:sz w:val="20"/>
        </w:rPr>
        <w:t>2Q業績総評：「計画通り」は過小評価。ドバイ問題を抱えながら粗利197億円は実質的にアウトパフォーム。下期の可視性（物流165億円・ホテル竣工）は高く、通期達成確度は80〜85%と評価する。</w:t>
      </w:r>
    </w:p>
    <w:p/>
    <w:p>
      <w:r>
        <w:t>──────────────────────────────────────────────────</w:t>
      </w:r>
    </w:p>
    <w:p/>
    <w:p>
      <w:pPr>
        <w:pStyle w:val="Heading2"/>
      </w:pPr>
      <w:r>
        <w:rPr>
          <w:rFonts w:ascii="Meiryo UI" w:hAnsi="Meiryo UI"/>
          <w:color w:val="2E74B5"/>
        </w:rPr>
        <w:t>② ドバイ事業リスクの定量化</w:t>
      </w:r>
    </w:p>
    <w:p/>
    <w:p>
      <w:pPr>
        <w:pStyle w:val="Heading3"/>
      </w:pPr>
      <w:r>
        <w:rPr>
          <w:rFonts w:ascii="Meiryo UI" w:hAnsi="Meiryo UI"/>
          <w:color w:val="2E74B5"/>
        </w:rPr>
        <w:t>基礎データの整理</w:t>
      </w:r>
    </w:p>
    <w:p/>
    <w:p>
      <w:pPr>
        <w:shd w:val="clear" w:color="auto" w:fill="F2F2F2"/>
      </w:pPr>
      <w:r>
        <w:rPr>
          <w:rFonts w:ascii="Courier New" w:hAnsi="Courier New"/>
          <w:sz w:val="16"/>
        </w:rPr>
        <w:t>【ドバイ事業ポジション】</w:t>
        <w:br/>
        <w:t>━━━━━━━━━━━━━━━━━━━━━━━━━━━━━━━━━━</w:t>
        <w:br/>
        <w:t>開発事業貸付金残高：181億円</w:t>
        <w:br/>
        <w:t>大半がオフプラン（工事中・未完成）物件</w:t>
        <w:br/>
        <w:t>予算比寄与：10%（売上・利益ともに）</w:t>
        <w:br/>
        <w:t>現況：トランザクション半減〜60%・価格▲10%</w:t>
        <w:br/>
        <w:t>投げ売り水準：10%程度（パニック的混乱なし）</w:t>
        <w:br/>
        <w:t>━━━━━━━━━━━━━━━━━━━━━━━━━━━━━━━━━━</w:t>
      </w:r>
    </w:p>
    <w:p/>
    <w:p>
      <w:pPr>
        <w:pStyle w:val="Heading3"/>
      </w:pPr>
      <w:r>
        <w:rPr>
          <w:rFonts w:ascii="Meiryo UI" w:hAnsi="Meiryo UI"/>
          <w:color w:val="2E74B5"/>
        </w:rPr>
        <w:t>3シナリオ損益インパクト試算</w:t>
      </w:r>
    </w:p>
    <w:p/>
    <w:p>
      <w:pPr>
        <w:pStyle w:val="Heading4"/>
      </w:pPr>
      <w:r>
        <w:rPr>
          <w:rFonts w:ascii="Meiryo UI" w:hAnsi="Meiryo UI"/>
          <w:color w:val="2E74B5"/>
        </w:rPr>
        <w:t>シナリオA：半年での正常化（確率：35%）</w:t>
      </w:r>
    </w:p>
    <w:p/>
    <w:p>
      <w:pPr>
        <w:shd w:val="clear" w:color="auto" w:fill="F2F2F2"/>
      </w:pPr>
      <w:r>
        <w:rPr>
          <w:rFonts w:ascii="Courier New" w:hAnsi="Courier New"/>
          <w:sz w:val="16"/>
        </w:rPr>
        <w:t>【シナリオA：6ヶ月正常化】</w:t>
        <w:br/>
        <w:t>━━━━━━━━━━━━━━━━━━━━━━━━━━━━━━━━━━</w:t>
        <w:br/>
        <w:t>前提：</w:t>
        <w:br/>
        <w:t xml:space="preserve">  ・2026年秋頃にトランザクション正常化（前年比80%水準）</w:t>
        <w:br/>
        <w:t xml:space="preserve">  ・価格下落：▲5%（半分程度回復）</w:t>
        <w:br/>
        <w:t xml:space="preserve">  ・オフプラン物件の完成・売却が順次実現</w:t>
        <w:br/>
        <w:br/>
        <w:t>貸付金181億円の回収シナリオ：</w:t>
        <w:br/>
        <w:t xml:space="preserve">  元本回収：181億円 × 95% = 172億円</w:t>
        <w:br/>
        <w:t xml:space="preserve">  価格下落損失：181億円 × 5% = ▲9億円</w:t>
        <w:br/>
        <w:t xml:space="preserve">  遅延による機会コスト（6ヶ月）：181億円 × 3% = ▲5億円</w:t>
        <w:br/>
        <w:br/>
        <w:t>想定損失（税引前）：▲14億円</w:t>
        <w:br/>
        <w:t xml:space="preserve">  ドバイ税率9%適用後：▲14億円 × (1-0.09) = ▲12.7億円</w:t>
        <w:br/>
        <w:br/>
        <w:t>通期粗利への影響：予算対比▲10〜15億円の軽微損失</w:t>
        <w:br/>
        <w:t>→ 国内ホテル・物流の上積みで十分カバー可能</w:t>
        <w:br/>
        <w:t>━━━━━━━━━━━━━━━━━━━━━━━━━━━━━━━━━━</w:t>
      </w:r>
    </w:p>
    <w:p/>
    <w:p>
      <w:pPr>
        <w:pStyle w:val="Heading4"/>
      </w:pPr>
      <w:r>
        <w:rPr>
          <w:rFonts w:ascii="Meiryo UI" w:hAnsi="Meiryo UI"/>
          <w:color w:val="2E74B5"/>
        </w:rPr>
        <w:t>シナリオB：1年長期化（確率：45%）</w:t>
      </w:r>
    </w:p>
    <w:p/>
    <w:p>
      <w:pPr>
        <w:shd w:val="clear" w:color="auto" w:fill="F2F2F2"/>
      </w:pPr>
      <w:r>
        <w:rPr>
          <w:rFonts w:ascii="Courier New" w:hAnsi="Courier New"/>
          <w:sz w:val="16"/>
        </w:rPr>
        <w:t>【シナリオB：1年長期化】</w:t>
        <w:br/>
        <w:t>━━━━━━━━━━━━━━━━━━━━━━━━━━━━━━━━━━</w:t>
        <w:br/>
        <w:t>前提：</w:t>
        <w:br/>
        <w:t xml:space="preserve">  ・2027年春まで低迷継続</w:t>
        <w:br/>
        <w:t xml:space="preserve">  ・価格：▲10〜15%</w:t>
        <w:br/>
        <w:t xml:space="preserve">  ・トランザクション：依然40〜50%水準</w:t>
        <w:br/>
        <w:t xml:space="preserve">  ・LTV融資（完成物件）でブリッジ可能だが収益は発生しない</w:t>
        <w:br/>
        <w:br/>
        <w:t>貸付金181億円の評価：</w:t>
        <w:br/>
        <w:t xml:space="preserve">  元本保全率：85%（大和建託との協議継続で最悪事態は回避）</w:t>
        <w:br/>
        <w:t xml:space="preserve">  評価損（時価）：181億円 × 15% = ▲27億円</w:t>
        <w:br/>
        <w:t xml:space="preserve">  金利・維持コスト（1年）：181億円 × 4% = ▲7億円</w:t>
        <w:br/>
        <w:br/>
        <w:t>想定損失（税引前）：▲34億円</w:t>
        <w:br/>
        <w:t xml:space="preserve">  ドバイ税率9%適用後：▲34億円 × (1-0.09) = ▲31億円</w:t>
        <w:br/>
        <w:br/>
        <w:t>【追加インパクト】：来期（FY27）へのドバイ貢献ゼロ</w:t>
        <w:br/>
        <w:t xml:space="preserve">  通期計画粗利の10%相当（約56億円）が丸ごとロスト</w:t>
        <w:br/>
        <w:t xml:space="preserve">  累計ロスト：▲31億円（損失） + ▲56億円（機会損失） = ▲87億円</w:t>
        <w:br/>
        <w:br/>
        <w:t>ただし、国内ホテル成功報酬の巡航軌道化（2026年冬春〜）が</w:t>
        <w:br/>
        <w:t>補完効果を発揮するため、グループ全体としての損益影響は</w:t>
        <w:br/>
        <w:t>▲20〜40億円程度に緩和される見通し</w:t>
        <w:br/>
        <w:t>━━━━━━━━━━━━━━━━━━━━━━━━━━━━━━━━━━</w:t>
      </w:r>
    </w:p>
    <w:p/>
    <w:p>
      <w:pPr>
        <w:pStyle w:val="Heading4"/>
      </w:pPr>
      <w:r>
        <w:rPr>
          <w:rFonts w:ascii="Meiryo UI" w:hAnsi="Meiryo UI"/>
          <w:color w:val="2E74B5"/>
        </w:rPr>
        <w:t>シナリオC：撤退・強制売却（確率：20%）</w:t>
      </w:r>
    </w:p>
    <w:p/>
    <w:p>
      <w:pPr>
        <w:shd w:val="clear" w:color="auto" w:fill="F2F2F2"/>
      </w:pPr>
      <w:r>
        <w:rPr>
          <w:rFonts w:ascii="Courier New" w:hAnsi="Courier New"/>
          <w:sz w:val="16"/>
        </w:rPr>
        <w:t>【シナリオC：撤退強制売却】</w:t>
        <w:br/>
        <w:t>━━━━━━━━━━━━━━━━━━━━━━━━━━━━━━━━━━</w:t>
        <w:br/>
        <w:t>前提：</w:t>
        <w:br/>
        <w:t xml:space="preserve">  ・ドバイ市場が2年以上低迷</w:t>
        <w:br/>
        <w:t xml:space="preserve">  ・流動性危機で強制売却を余儀なくされる</w:t>
        <w:br/>
        <w:t xml:space="preserve">  ・売却価格：時価▲25〜30%（ディストレス売却）</w:t>
        <w:br/>
        <w:br/>
        <w:t>貸付金181億円の損失試算：</w:t>
        <w:br/>
        <w:t xml:space="preserve">  実現損失：181億円 × 27.5% = ▲50億円</w:t>
        <w:br/>
        <w:t xml:space="preserve">  撤退費用・法的コスト：▲10億円</w:t>
        <w:br/>
        <w:t xml:space="preserve">  為替損益（AED変動）：▲5億円（保守的）</w:t>
        <w:br/>
        <w:br/>
        <w:t>想定損失（税引前）：▲65億円</w:t>
        <w:br/>
        <w:t xml:space="preserve">  ドバイ税率9%適用：▲65億円 × (1-0.09) = ▲59億円</w:t>
        <w:br/>
        <w:br/>
        <w:t>純資産（BPS¥2,806ベース）への影響：</w:t>
        <w:br/>
        <w:t xml:space="preserve">  発行済株式数推定（¥6,370 ÷ PER12.4 = EPS¥512、EPS=純利益÷株数）</w:t>
        <w:br/>
        <w:t xml:space="preserve">  純利益推定 = ¥512 × 株数</w:t>
        <w:br/>
        <w:t xml:space="preserve">  BPS¥2,806 × 株数 = 純資産総額</w:t>
        <w:br/>
        <w:br/>
        <w:t xml:space="preserve">  株数推定：時価総額 ÷ 株価</w:t>
        <w:br/>
        <w:t xml:space="preserve">  ※公開ベースの時価総額概算：750〜800億円規模</w:t>
        <w:br/>
        <w:t xml:space="preserve">  ※推定株式数：約1,200〜1,250万株</w:t>
        <w:br/>
        <w:t xml:space="preserve">  </w:t>
        <w:br/>
        <w:t xml:space="preserve">  純資産総額推定：¥2,806 × 1,225万株 ≒ 344億円</w:t>
        <w:br/>
        <w:br/>
        <w:t xml:space="preserve">  シナリオC損失▲59億円は純資産の**17%毀損**</w:t>
        <w:br/>
        <w:t xml:space="preserve">  BPS影響：¥2,806 → ▲¥482 = **¥2,324**（▲17%）</w:t>
        <w:br/>
        <w:t xml:space="preserve">  PBR 2.27倍維持の場合の株価影響：¥6,370 × 83% = **¥5,287**</w:t>
        <w:br/>
        <w:br/>
        <w:t>━━━━━━━━━━━━━━━━━━━━━━━━━━━━━━━━━━</w:t>
      </w:r>
    </w:p>
    <w:p/>
    <w:p>
      <w:pPr>
        <w:pStyle w:val="Heading3"/>
      </w:pPr>
      <w:r>
        <w:rPr>
          <w:rFonts w:ascii="Meiryo UI" w:hAnsi="Meiryo UI"/>
          <w:color w:val="2E74B5"/>
        </w:rPr>
        <w:t>税率差インパクト試算</w:t>
      </w:r>
    </w:p>
    <w:p/>
    <w:p>
      <w:pPr>
        <w:shd w:val="clear" w:color="auto" w:fill="F2F2F2"/>
      </w:pPr>
      <w:r>
        <w:rPr>
          <w:rFonts w:ascii="Courier New" w:hAnsi="Courier New"/>
          <w:sz w:val="16"/>
        </w:rPr>
        <w:t>【ドバイ9% vs 国内30%強（実効税率差：約21%）】</w:t>
        <w:br/>
        <w:t>━━━━━━━━━━━━━━━━━━━━━━━━━━━━━━━━━━</w:t>
        <w:br/>
        <w:t>ドバイ事業粗利（通常期、仮に計画100%達成=56億円）に対する</w:t>
        <w:br/>
        <w:t>税率差の利益貢献：</w:t>
        <w:br/>
        <w:br/>
        <w:t xml:space="preserve">  国内課税の場合：56億円 × (1-0.30) = 39.2億円（税引後）</w:t>
        <w:br/>
        <w:t xml:space="preserve">  ドバイ課税の場合：56億円 × (1-0.09) = 51.0億円（税引後）</w:t>
        <w:br/>
        <w:t xml:space="preserve">  差額（年間）：+11.8億円（ドバイが国内より有利）</w:t>
        <w:br/>
        <w:t xml:space="preserve">  EPS換算：11.8億円 ÷ 1,225万株 ≒ **+¥96/株**</w:t>
        <w:br/>
        <w:br/>
        <w:t>現状（予算比10%のみ）での税率優位効果：</w:t>
        <w:br/>
        <w:t xml:space="preserve">  実際寄与（10%）= 5.6億円 × (1-0.09) = 5.1億円</w:t>
        <w:br/>
        <w:t xml:space="preserve">  vs 国内課税なら：5.6億円 × (1-0.30) = 3.9億円</w:t>
        <w:br/>
        <w:t xml:space="preserve">  実質的差額：+1.2億円（現状では軽微）</w:t>
        <w:br/>
        <w:br/>
        <w:t>正常化後の税率メリットは年間+10億円超が期待できる。</w:t>
        <w:br/>
        <w:t>これはEPS+¥82相当。PER 12.4倍適用で株価+¥1,017の価値。</w:t>
        <w:br/>
        <w:t>━━━━━━━━━━━━━━━━━━━━━━━━━━━━━━━━━━</w:t>
      </w:r>
    </w:p>
    <w:p/>
    <w:p>
      <w:pPr>
        <w:pStyle w:val="Heading3"/>
      </w:pPr>
      <w:r>
        <w:rPr>
          <w:rFonts w:ascii="Meiryo UI" w:hAnsi="Meiryo UI"/>
          <w:color w:val="2E74B5"/>
        </w:rPr>
        <w:t>経営陣説明の信憑性評価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経営陣の説明</w:t>
            </w:r>
          </w:p>
        </w:tc>
        <w:tc>
          <w:tcPr>
            <w:tcW w:type="dxa" w:w="3135"/>
            <w:shd w:val="clear" w:color="auto" w:fill="2E74B5"/>
          </w:tcPr>
          <w:p>
            <w:r>
              <w:rPr>
                <w:rFonts w:ascii="Meiryo UI" w:hAnsi="Meiryo UI"/>
                <w:b/>
                <w:color w:val="FFFFFF"/>
                <w:sz w:val="18"/>
              </w:rPr>
              <w:t>信憑性評価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大和建託との協議継続中</w:t>
            </w:r>
          </w:p>
        </w:tc>
        <w:tc>
          <w:tcPr>
            <w:tcW w:type="dxa" w:w="3135"/>
          </w:tcPr>
          <w:p>
            <w:r>
              <w:rPr>
                <w:rFonts w:ascii="Meiryo UI" w:hAnsi="Meiryo UI"/>
                <w:sz w:val="18"/>
              </w:rPr>
              <w:t>★★★★☆（高）</w:t>
            </w:r>
          </w:p>
        </w:tc>
        <w:tc>
          <w:tcPr>
            <w:tcW w:type="dxa" w:w="3135"/>
          </w:tcPr>
          <w:p>
            <w:r>
              <w:rPr>
                <w:rFonts w:ascii="Meiryo UI" w:hAnsi="Meiryo UI"/>
                <w:sz w:val="18"/>
              </w:rPr>
              <w:t>大和建託はドバイ不動産で独自プレゼンスあり。協議継続は合理的</w:t>
            </w:r>
          </w:p>
        </w:tc>
      </w:tr>
      <w:tr>
        <w:tc>
          <w:tcPr>
            <w:tcW w:type="dxa" w:w="3135"/>
            <w:shd w:val="clear" w:color="auto" w:fill="DDEBF7"/>
          </w:tcPr>
          <w:p>
            <w:r>
              <w:rPr>
                <w:rFonts w:ascii="Meiryo UI" w:hAnsi="Meiryo UI"/>
                <w:sz w:val="18"/>
              </w:rPr>
              <w:t>建築工事継続中</w:t>
            </w:r>
          </w:p>
        </w:tc>
        <w:tc>
          <w:tcPr>
            <w:tcW w:type="dxa" w:w="3135"/>
            <w:shd w:val="clear" w:color="auto" w:fill="DDEBF7"/>
          </w:tcPr>
          <w:p>
            <w:r>
              <w:rPr>
                <w:rFonts w:ascii="Meiryo UI" w:hAnsi="Meiryo UI"/>
                <w:sz w:val="18"/>
              </w:rPr>
              <w:t>★★★★★（非常に高）</w:t>
            </w:r>
          </w:p>
        </w:tc>
        <w:tc>
          <w:tcPr>
            <w:tcW w:type="dxa" w:w="3135"/>
            <w:shd w:val="clear" w:color="auto" w:fill="DDEBF7"/>
          </w:tcPr>
          <w:p>
            <w:r>
              <w:rPr>
                <w:rFonts w:ascii="Meiryo UI" w:hAnsi="Meiryo UI"/>
                <w:sz w:val="18"/>
              </w:rPr>
              <w:t>工事停止は違約金リスク。完成させることが最適解</w:t>
            </w:r>
          </w:p>
        </w:tc>
      </w:tr>
      <w:tr>
        <w:tc>
          <w:tcPr>
            <w:tcW w:type="dxa" w:w="3135"/>
          </w:tcPr>
          <w:p>
            <w:r>
              <w:rPr>
                <w:rFonts w:ascii="Meiryo UI" w:hAnsi="Meiryo UI"/>
                <w:sz w:val="18"/>
              </w:rPr>
              <w:t>完成物件へのLTV融資可能</w:t>
            </w:r>
          </w:p>
        </w:tc>
        <w:tc>
          <w:tcPr>
            <w:tcW w:type="dxa" w:w="3135"/>
          </w:tcPr>
          <w:p>
            <w:r>
              <w:rPr>
                <w:rFonts w:ascii="Meiryo UI" w:hAnsi="Meiryo UI"/>
                <w:sz w:val="18"/>
              </w:rPr>
              <w:t>★★★★☆（高）</w:t>
            </w:r>
          </w:p>
        </w:tc>
        <w:tc>
          <w:tcPr>
            <w:tcW w:type="dxa" w:w="3135"/>
          </w:tcPr>
          <w:p>
            <w:r>
              <w:rPr>
                <w:rFonts w:ascii="Meiryo UI" w:hAnsi="Meiryo UI"/>
                <w:sz w:val="18"/>
              </w:rPr>
              <w:t>UAEの銀行融資環境は健全。完成物件担保なら融資獲得は現実的</w:t>
            </w:r>
          </w:p>
        </w:tc>
      </w:tr>
      <w:tr>
        <w:tc>
          <w:tcPr>
            <w:tcW w:type="dxa" w:w="3135"/>
            <w:shd w:val="clear" w:color="auto" w:fill="DDEBF7"/>
          </w:tcPr>
          <w:p>
            <w:r>
              <w:rPr>
                <w:rFonts w:ascii="Meiryo UI" w:hAnsi="Meiryo UI"/>
                <w:sz w:val="18"/>
              </w:rPr>
              <w:t>投げ売り10%・パニックなし</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確認困難。ただし外部報道と大きく乖離なし</w:t>
            </w:r>
          </w:p>
        </w:tc>
      </w:tr>
      <w:tr>
        <w:tc>
          <w:tcPr>
            <w:tcW w:type="dxa" w:w="3135"/>
          </w:tcPr>
          <w:p>
            <w:r>
              <w:rPr>
                <w:rFonts w:ascii="Meiryo UI" w:hAnsi="Meiryo UI"/>
                <w:sz w:val="18"/>
              </w:rPr>
              <w:t>焦って売却しない方針</w:t>
            </w:r>
          </w:p>
        </w:tc>
        <w:tc>
          <w:tcPr>
            <w:tcW w:type="dxa" w:w="3135"/>
          </w:tcPr>
          <w:p>
            <w:r>
              <w:rPr>
                <w:rFonts w:ascii="Meiryo UI" w:hAnsi="Meiryo UI"/>
                <w:sz w:val="18"/>
              </w:rPr>
              <w:t>★★★★☆（高）</w:t>
            </w:r>
          </w:p>
        </w:tc>
        <w:tc>
          <w:tcPr>
            <w:tcW w:type="dxa" w:w="3135"/>
          </w:tcPr>
          <w:p>
            <w:r>
              <w:rPr>
                <w:rFonts w:ascii="Meiryo UI" w:hAnsi="Meiryo UI"/>
                <w:sz w:val="18"/>
              </w:rPr>
              <w:t>現預金428億円・自己資本比率45%が方針を支える財務基盤</w:t>
            </w:r>
          </w:p>
        </w:tc>
      </w:tr>
    </w:tbl>
    <w:p/>
    <w:p>
      <w:r>
        <w:rPr>
          <w:rFonts w:ascii="Meiryo UI" w:hAnsi="Meiryo UI"/>
          <w:sz w:val="20"/>
        </w:rPr>
        <w:t>総合評価：経営陣説明は概ね信頼できる。ただしオフプラン物件の完成時期と価格回復は外部環境依存。「建築工事継続中 + LTV融資可能」という2点が確認できれば、最悪シナリオ（強制売却）の確率は20%以下に低下する。現預金428億円という財務安全弁が経営陣の「焦らない」姿勢を担保している点は重要。</w:t>
      </w:r>
    </w:p>
    <w:p/>
    <w:p>
      <w:r>
        <w:t>──────────────────────────────────────────────────</w:t>
      </w:r>
    </w:p>
    <w:p/>
    <w:p>
      <w:pPr>
        <w:pStyle w:val="Heading2"/>
      </w:pPr>
      <w:r>
        <w:rPr>
          <w:rFonts w:ascii="Meiryo UI" w:hAnsi="Meiryo UI"/>
          <w:color w:val="2E74B5"/>
        </w:rPr>
        <w:t>③ 成功報酬の巡航軌道化タイムライン</w:t>
      </w:r>
    </w:p>
    <w:p/>
    <w:p>
      <w:pPr>
        <w:pStyle w:val="Heading3"/>
      </w:pPr>
      <w:r>
        <w:rPr>
          <w:rFonts w:ascii="Meiryo UI" w:hAnsi="Meiryo UI"/>
          <w:color w:val="2E74B5"/>
        </w:rPr>
        <w:t>タイムライン詳細</w:t>
      </w:r>
    </w:p>
    <w:p/>
    <w:p>
      <w:pPr>
        <w:shd w:val="clear" w:color="auto" w:fill="F2F2F2"/>
      </w:pPr>
      <w:r>
        <w:rPr>
          <w:rFonts w:ascii="Courier New" w:hAnsi="Courier New"/>
          <w:sz w:val="16"/>
        </w:rPr>
        <w:t>【成功報酬巡航軌道化の時系列シナリオ】</w:t>
        <w:br/>
        <w:t>━━━━━━━━━━━━━━━━━━━━━━━━━━━━━━━━━━</w:t>
        <w:br/>
        <w:t>2023/8期〜2024/8期：開発フェーズ移行物件群</w:t>
        <w:br/>
        <w:t xml:space="preserve">  ↓（開発期間3〜4年）</w:t>
        <w:br/>
        <w:t>2026年冬〜2027年春：ホテル物件連続竣工</w:t>
        <w:br/>
        <w:t xml:space="preserve">  ↓</w:t>
        <w:br/>
        <w:t xml:space="preserve">  ファンド移管 → 成功報酬発生（2027/8期に本格計上開始）</w:t>
        <w:br/>
        <w:br/>
        <w:t>具体的フロー：</w:t>
        <w:br/>
        <w:t>[物件取得] → [開発・バリューアップ] → [竣工・稼働開始]</w:t>
        <w:br/>
        <w:t>→ [インカム実績積み上げ] → [ファンド売却]</w:t>
        <w:br/>
        <w:t>→ [成功報酬（アウトパフォーマンスフィー）確定・計上]</w:t>
        <w:br/>
        <w:br/>
        <w:t>巡航軌道入り後の年間成功報酬試算：</w:t>
        <w:br/>
        <w:t>━━━━━━━━━━━━━━━━━━━━━━━━━━━━━━━━━━</w:t>
        <w:br/>
        <w:t>AUM規模：現在積み上げ中（棚卸資産目標1,000〜1,200億円）</w:t>
        <w:br/>
        <w:t>成功報酬率：7〜10%（ハードルレート超過部分）</w:t>
        <w:br/>
        <w:br/>
        <w:t>シナリオ別年間成功報酬：</w:t>
        <w:br/>
        <w:t xml:space="preserve">  保守的（AUM 800億円×利回り超過3%×成功報酬率7%）：</w:t>
        <w:br/>
        <w:t xml:space="preserve">    = 800億円 × 3% × 7% ≒ **1.68億円**（小さい、計算式要確認）</w:t>
        <w:br/>
        <w:br/>
        <w:t xml:space="preserve">  ※修正：成功報酬の実態は</w:t>
        <w:br/>
        <w:t xml:space="preserve">  「売却額 × 超過利回り分」ではなく</w:t>
        <w:br/>
        <w:t xml:space="preserve">  「売却益のうちハードルレート超過部分の一定%」</w:t>
        <w:br/>
        <w:br/>
        <w:t xml:space="preserve">  実態ベース試算：</w:t>
        <w:br/>
        <w:t xml:space="preserve">  年間売却額（フロー）500億円 × 利益率20% = 100億円の利益</w:t>
        <w:br/>
        <w:t xml:space="preserve">  うちハードルレート超過分 60% = 60億円</w:t>
        <w:br/>
        <w:t xml:space="preserve">  成功報酬料率 15% = **9億円**（保守）</w:t>
        <w:br/>
        <w:br/>
        <w:t xml:space="preserve">  楽観ベース：</w:t>
        <w:br/>
        <w:t xml:space="preserve">  年間売却額700億円 × 利益率25% × 超過分70% × 報酬率20%</w:t>
        <w:br/>
        <w:t xml:space="preserve">  = **24.5億円**</w:t>
        <w:br/>
        <w:br/>
        <w:t xml:space="preserve">  巡航軌道成功報酬レンジ：**年間10〜25億円**（現状の2〜5倍）</w:t>
        <w:br/>
        <w:t>━━━━━━━━━━━━━━━━━━━━━━━━━━━━━━━━━━</w:t>
      </w:r>
    </w:p>
    <w:p/>
    <w:p>
      <w:pPr>
        <w:pStyle w:val="Heading3"/>
      </w:pPr>
      <w:r>
        <w:rPr>
          <w:rFonts w:ascii="Meiryo UI" w:hAnsi="Meiryo UI"/>
          <w:color w:val="2E74B5"/>
        </w:rPr>
        <w:t>DCF Fair Value（巡航軌道実現シナリオ）</w:t>
      </w:r>
    </w:p>
    <w:p/>
    <w:p>
      <w:pPr>
        <w:pStyle w:val="Heading4"/>
      </w:pPr>
      <w:r>
        <w:rPr>
          <w:rFonts w:ascii="Meiryo UI" w:hAnsi="Meiryo UI"/>
          <w:color w:val="2E74B5"/>
        </w:rPr>
        <w:t>WACC算出</w:t>
      </w:r>
    </w:p>
    <w:p/>
    <w:p>
      <w:pPr>
        <w:shd w:val="clear" w:color="auto" w:fill="F2F2F2"/>
      </w:pPr>
      <w:r>
        <w:rPr>
          <w:rFonts w:ascii="Courier New" w:hAnsi="Courier New"/>
          <w:sz w:val="16"/>
        </w:rPr>
        <w:t>【WACC前提条件の詳細】</w:t>
        <w:br/>
        <w:t>━━━━━━━━━━━━━━━━━━━━━━━━━━━━━━━━━━</w:t>
        <w:br/>
        <w:t>■ リスクフリーレート（Rf）：2.429%（JGB10Y 確定値）</w:t>
        <w:br/>
        <w:br/>
        <w:t>■ β（ベータ）：1.35</w:t>
        <w:br/>
        <w:t xml:space="preserve">  根拠：不動産開発×海外展開×成長ステージ企業</w:t>
        <w:br/>
        <w:t xml:space="preserve">  市場ベータ（東証上場不動産セクター平均1.0〜1.2）に</w:t>
        <w:br/>
        <w:t xml:space="preserve">  海外リスクプレミアム +0.15を加算</w:t>
        <w:br/>
        <w:br/>
        <w:t>■ ERP（株式リスクプレミアム）：6.5%</w:t>
        <w:br/>
        <w:t xml:space="preserve">  （日本株式市場の長期ERP水準：5.5〜7.0%、中央値採用）</w:t>
        <w:br/>
        <w:br/>
        <w:t>■ 株主資本コスト（Re）：</w:t>
        <w:br/>
        <w:t xml:space="preserve">  Re = Rf + β × ERP</w:t>
        <w:br/>
        <w:t xml:space="preserve">  Re = 2.429% + 1.35 × 6.5%</w:t>
        <w:br/>
        <w:t xml:space="preserve">  Re = 2.429% + 8.775%</w:t>
        <w:br/>
        <w:t xml:space="preserve">  Re = **11.20%**</w:t>
        <w:br/>
        <w:br/>
        <w:t>■ 負債コスト（Rd）：2.8%</w:t>
        <w:br/>
        <w:t xml:space="preserve">  （銀行借入金利の市場水準。「極めて協力的」の表現から</w:t>
        <w:br/>
        <w:t xml:space="preserve">   スプレッド薄め。SB金利参考）</w:t>
        <w:br/>
        <w:br/>
        <w:t>■ 実効税率（Tc）：28%（国内・海外混合推定）</w:t>
        <w:br/>
        <w:t xml:space="preserve">  国内30% × 80% + ドバイ9% × 20% = 25.8% → 切り上げ28%</w:t>
        <w:br/>
        <w:br/>
        <w:t>■ 資本構成：</w:t>
        <w:br/>
        <w:t xml:space="preserve">  自己資本比率 45% → E/(D+E) = 0.45</w:t>
        <w:br/>
        <w:t xml:space="preserve">  負債比率 55% → D/(D+E) = 0.55</w:t>
        <w:br/>
        <w:br/>
        <w:t>■ WACC：</w:t>
        <w:br/>
        <w:t xml:space="preserve">  WACC = [0.45 × 11.20%] + [0.55 × 2.8% × (1-0.28)]</w:t>
        <w:br/>
        <w:t xml:space="preserve">  WACC = 5.040% + 1.109%</w:t>
        <w:br/>
        <w:t xml:space="preserve">  WACC = **6.15%**</w:t>
        <w:br/>
        <w:br/>
        <w:t>■ 永続成長率（g）：2.5%</w:t>
        <w:br/>
        <w:t xml:space="preserve">  根拠：</w:t>
        <w:br/>
        <w:t xml:space="preserve">  ・日本不動産市場長期成長率：1.5〜2.0%</w:t>
        <w:br/>
        <w:t xml:space="preserve">  ・海外展開（ASEAN・マイアミ）成長寄与：+0.5〜1.0%</w:t>
        <w:br/>
        <w:t xml:space="preserve">  ・名目GDP成長率：2.0〜2.5%</w:t>
        <w:br/>
        <w:t xml:space="preserve">  ・保守的に2.5%採用（WACCとの差：3.65%）</w:t>
        <w:br/>
        <w:t>━━━━━━━━━━━━━━━━━━━━━━━━━━━━━━━━━━</w:t>
      </w:r>
    </w:p>
    <w:p/>
    <w:p>
      <w:pPr>
        <w:pStyle w:val="Heading4"/>
      </w:pPr>
      <w:r>
        <w:rPr>
          <w:rFonts w:ascii="Meiryo UI" w:hAnsi="Meiryo UI"/>
          <w:color w:val="2E74B5"/>
        </w:rPr>
        <w:t>FCF試算（巡航軌道シナリオ）</w:t>
      </w:r>
    </w:p>
    <w:p/>
    <w:p>
      <w:pPr>
        <w:shd w:val="clear" w:color="auto" w:fill="F2F2F2"/>
      </w:pPr>
      <w:r>
        <w:rPr>
          <w:rFonts w:ascii="Courier New" w:hAnsi="Courier New"/>
          <w:sz w:val="16"/>
        </w:rPr>
        <w:t>【FCF試算フレームワーク】</w:t>
        <w:br/>
        <w:t>━━━━━━━━━━━━━━━━━━━━━━━━━━━━━━━━━━</w:t>
        <w:br/>
        <w:t>ベース：EBITDA ≒ 営業利益 + 減価償却</w:t>
        <w:br/>
        <w:br/>
        <w:t>EPS = ¥512（yfinance確認値）</w:t>
        <w:br/>
        <w:t>発行済株式数推定：</w:t>
        <w:br/>
        <w:t xml:space="preserve">  時価総額 ≒ 750〜800億円（業界AUM・市場情報ベース）</w:t>
        <w:br/>
        <w:t xml:space="preserve">  → 推定株数：1,230万株（750億円 ÷ ¥6,370 ≒ 1,177万株）</w:t>
        <w:br/>
        <w:t xml:space="preserve">  → 切りよく1,200万株で計算</w:t>
        <w:br/>
        <w:br/>
        <w:t>純利益推定：¥512 × 1,200万株 ≒ **61.4億円**（現在期）</w:t>
        <w:br/>
        <w:br/>
        <w:t>粗利→営業利益の推計：</w:t>
        <w:br/>
        <w:t xml:space="preserve">  粗利（通期試算）：563億円</w:t>
        <w:br/>
        <w:t xml:space="preserve">  販管費：240億円</w:t>
        <w:br/>
        <w:t xml:space="preserve">  支払利息：25億円</w:t>
        <w:br/>
        <w:t xml:space="preserve">  営業利益推計：563 - 240 - 25 = **298億円**（粗利ベース参考値）</w:t>
        <w:br/>
        <w:t xml:space="preserve">  </w:t>
        <w:br/>
        <w:t xml:space="preserve">  ※ただし粗利≠売上総利益。霞ヶ関キャピタルの「粗利」は</w:t>
        <w:br/>
        <w:t xml:space="preserve">  プロジェクト収益ベースと解釈</w:t>
        <w:br/>
        <w:br/>
        <w:t>修正EBIT推計（保守的）：</w:t>
        <w:br/>
        <w:t xml:space="preserve">  現期（FY26）：80億円</w:t>
        <w:br/>
        <w:t xml:space="preserve">  来期（FY27、巡航軌道入り後）：100〜120億円</w:t>
        <w:br/>
        <w:t xml:space="preserve">  FY28以降：120〜150億円（成功報酬フル寄与）</w:t>
        <w:br/>
        <w:br/>
        <w:t>FCF = NOPAT - ΔNWC - Capex</w:t>
        <w:br/>
        <w:t xml:space="preserve">  NOPAT = EBIT × (1 - Tc) = 100億円 × 0.72 = 72億円（FY27）</w:t>
        <w:br/>
        <w:t xml:space="preserve">  ΔNWC（棚卸資産積み上げ）：▲50億円/年（1,200億円目標達成まで）</w:t>
        <w:br/>
        <w:t xml:space="preserve">  Capex：▲5億円（アセットライト故に軽微）</w:t>
        <w:br/>
        <w:t xml:space="preserve">  </w:t>
        <w:br/>
        <w:t xml:space="preserve">  FCF(FY27) = 72 - 50 - 5 = **17億円**</w:t>
        <w:br/>
        <w:t xml:space="preserve">  FCF(FY28) = 86 - 30 - 5 = **51億円**（棚卸投資ペース鈍化）</w:t>
        <w:br/>
        <w:t xml:space="preserve">  FCF(FY29) = 108 - 10 - 5 = **93億円**（巡航軌道フル）</w:t>
        <w:br/>
        <w:t xml:space="preserve">  FCF(FY30+) = 130 - 10 - 5 = **115億円**</w:t>
        <w:br/>
        <w:t>━━━━━━━━━━━━━━━━━━━━━━━━━━━━━━━━━━</w:t>
      </w:r>
    </w:p>
    <w:p/>
    <w:p>
      <w:pPr>
        <w:pStyle w:val="Heading4"/>
      </w:pPr>
      <w:r>
        <w:rPr>
          <w:rFonts w:ascii="Meiryo UI" w:hAnsi="Meiryo UI"/>
          <w:color w:val="2E74B5"/>
        </w:rPr>
        <w:t>DCF計算</w:t>
      </w:r>
    </w:p>
    <w:p/>
    <w:p>
      <w:pPr>
        <w:shd w:val="clear" w:color="auto" w:fill="F2F2F2"/>
      </w:pPr>
      <w:r>
        <w:rPr>
          <w:rFonts w:ascii="Courier New" w:hAnsi="Courier New"/>
          <w:sz w:val="16"/>
        </w:rPr>
        <w:t>【DCF企業価値計算（WACC 6.15%、g 2.5%）】</w:t>
        <w:br/>
        <w:t>━━━━━━━━━━━━━━━━━━━━━━━━━━━━━━━━━━</w:t>
        <w:br/>
        <w:t>予測期間（5年）のFCF現在価値：</w:t>
        <w:br/>
        <w:br/>
        <w:t>Year    FCF(億円)  割引率     PV(億円)</w:t>
        <w:br/>
        <w:t>FY27      17       1/(1.0615)^1    16.0</w:t>
        <w:br/>
        <w:t>FY28      51       1/(1.0615)^2    45.2</w:t>
        <w:br/>
        <w:t>FY29      93       1/(1.0615)^3    77.6</w:t>
        <w:br/>
        <w:t>FY30     115       1/(1.0615)^4    90.2</w:t>
        <w:br/>
        <w:t>FY31     120       1/(1.0615)^5    88.7</w:t>
        <w:br/>
        <w:t>━━━━━━━━━━━━━━━━━━━━━━━━━━━━━━━━━━</w:t>
        <w:br/>
        <w:t>予測期間PV合計：**317.7億円**</w:t>
        <w:br/>
        <w:br/>
        <w:t>ターミナルバリュー（FY31末）：</w:t>
        <w:br/>
        <w:t xml:space="preserve">  TV = FCF(FY32) ÷ (WACC - g)</w:t>
        <w:br/>
        <w:t xml:space="preserve">     = 123億円 ÷ (0.0615 - 0.025)</w:t>
        <w:br/>
        <w:t xml:space="preserve">     = 123億円 ÷ 0.0365</w:t>
        <w:br/>
        <w:t xml:space="preserve">     = **3,370億円**</w:t>
        <w:br/>
        <w:t xml:space="preserve">     </w:t>
        <w:br/>
        <w:t xml:space="preserve">  TV現在価値 = 3,370億円 ÷ (1.0615)^5</w:t>
        <w:br/>
        <w:t xml:space="preserve">             = 3,370億円 × 0.7384</w:t>
        <w:br/>
        <w:t xml:space="preserve">             = **2,488億円**</w:t>
        <w:br/>
        <w:br/>
        <w:t>企業価値合計：317.7 + 2,488 = **2,806億円**</w:t>
        <w:br/>
        <w:br/>
        <w:t>ネットデット調整（負債 - 現預金428億円）：</w:t>
        <w:br/>
        <w:t xml:space="preserve">  推定有利子負債：370億円（自己資本比率45%・総資産逆算）</w:t>
        <w:br/>
        <w:t xml:space="preserve">  ネットキャッシュ：428 - 370 = +58億円（ネットキャッシュポジション）</w:t>
        <w:br/>
        <w:t xml:space="preserve">  </w:t>
        <w:br/>
        <w:t xml:space="preserve">  株主価値：2,806 + 58 = **2,864億円**</w:t>
        <w:br/>
        <w:br/>
        <w:t>理論株価：2,864億円 ÷ 1,200万株 = **¥23,867**</w:t>
        <w:br/>
        <w:br/>
        <w:t>━━━━━━━━━━━━━━━━━━━━━━━━━━━━━━━━━━</w:t>
        <w:br/>
        <w:t>⚠️ 重要注意：上記DCFは「巡航軌道完全実現シナリオ」の強気試算。</w:t>
        <w:br/>
        <w:t>FCFの急成長仮定（FY29以降93億円→115億円）は実現不確実性が高い。</w:t>
        <w:br/>
        <w:br/>
        <w:t>現実的な中間シナリオ（FCFを30%ディスカウント）：</w:t>
        <w:br/>
        <w:t xml:space="preserve">  株主価値：2,864億円 × 70% = 2,005億円</w:t>
        <w:br/>
        <w:t xml:space="preserve">  理論株価：2,005億円 ÷ 1,200万株 = **¥16,708**</w:t>
        <w:br/>
        <w:br/>
        <w:t>【最終理論株価レンジ】</w:t>
        <w:br/>
        <w:t xml:space="preserve">  保守的（40%ディスカウント）：**¥14,320**</w:t>
        <w:br/>
        <w:t xml:space="preserve">  基本シナリオ（30%ディスカウント）：**¥16,708**</w:t>
        <w:br/>
        <w:t xml:space="preserve">  → しかしPER・PBRとの整合性チェックが必要（後述）</w:t>
        <w:br/>
        <w:t>━━━━━━━━━━━━━━━━━━━━━━━━━━━━━━━━━━</w:t>
      </w:r>
    </w:p>
    <w:p/>
    <w:p>
      <w:pPr>
        <w:pStyle w:val="Heading4"/>
      </w:pPr>
      <w:r>
        <w:rPr>
          <w:rFonts w:ascii="Meiryo UI" w:hAnsi="Meiryo UI"/>
          <w:color w:val="2E74B5"/>
        </w:rPr>
        <w:t>PER・PBRとの整合チェック（⑧との統合）</w:t>
      </w:r>
    </w:p>
    <w:p/>
    <w:p>
      <w:pPr>
        <w:shd w:val="clear" w:color="auto" w:fill="F2F2F2"/>
      </w:pPr>
      <w:r>
        <w:rPr>
          <w:rFonts w:ascii="Courier New" w:hAnsi="Courier New"/>
          <w:sz w:val="16"/>
        </w:rPr>
        <w:t>【マルチプル整合性チェック】</w:t>
        <w:br/>
        <w:t>━━━━━━━━━━━━━━━━━━━━━━━━━━━━━━━━━━</w:t>
        <w:br/>
        <w:t>確認値（yfinance）：</w:t>
        <w:br/>
        <w:t xml:space="preserve">  PBR = 2.27倍｜BPS = ¥2,806｜ROE = 23.7%｜PER = 12.4倍</w:t>
        <w:br/>
        <w:br/>
        <w:t>PBRベースの理論株価：</w:t>
        <w:br/>
        <w:t xml:space="preserve">  BPS ¥2,806 × PBR 2.27 = ¥6,370（現在株価と一致 ✓）</w:t>
        <w:br/>
        <w:br/>
        <w:t>ROE成長モデル（Gordon Growth）：</w:t>
        <w:br/>
        <w:t xml:space="preserve">  Justified PBR = ROE × Plowback ÷ (Re - g)</w:t>
        <w:br/>
        <w:t xml:space="preserve">  Plowback（内部留保率）≒ 0.70（配当性向30%想定）</w:t>
        <w:br/>
        <w:t xml:space="preserve">  Justified PBR = 0.237 × 0.70 ÷ (0.1120 - 0.025)</w:t>
        <w:br/>
        <w:t xml:space="preserve">               = 0.1659 ÷ 0.0870</w:t>
        <w:br/>
        <w:t xml:space="preserve">               = **1.91倍**</w:t>
        <w:br/>
        <w:br/>
        <w:t xml:space="preserve">  現在PBR 2.27倍 &gt; Justified PBR 1.91倍</w:t>
        <w:br/>
        <w:t xml:space="preserve">  → 市場は若干のプレミアムを既に付与している</w:t>
        <w:br/>
        <w:t xml:space="preserve">  → ただしROEが25〜27%に改善すれば：</w:t>
        <w:br/>
        <w:t xml:space="preserve">    Justified PBR = 0.265 × 0.70 ÷ 0.0870 = **2.13倍** → 正当化に近づく</w:t>
        <w:br/>
        <w:br/>
        <w:t>来期EPS成長織り込みPER：</w:t>
        <w:br/>
        <w:t xml:space="preserve">  EPS ¥512（現在）</w:t>
        <w:br/>
        <w:t xml:space="preserve">  来期成長率（成功報酬巡航軌道化）+30〜40%</w:t>
        <w:br/>
        <w:t xml:space="preserve">  来期EPS想定：¥665〜¥717</w:t>
        <w:br/>
        <w:br/>
        <w:t xml:space="preserve">  来期PER（現株価ベース）：¥6,370 ÷ ¥691 = **9.2倍**</w:t>
        <w:br/>
        <w:t xml:space="preserve">  → 歴史的に不動産成長株のPERは15〜20倍水準</w:t>
        <w:br/>
        <w:t xml:space="preserve">  → 現株価はフォワードPER 9.2倍で大幅に割安</w:t>
        <w:br/>
        <w:br/>
        <w:t>PER 15倍適用の理論株価：¥691 × 15 = **¥10,365**</w:t>
        <w:br/>
        <w:t>PER 18倍適用の理論株価：¥691 × 18 = **¥12,438**</w:t>
        <w:br/>
        <w:br/>
        <w:t>【統合理論株価（DCF + マルチプル加重平均）】</w:t>
        <w:br/>
        <w:t xml:space="preserve">  DCF中間値：¥16,708（過度に楽観的、40%ディスカウント）</w:t>
        <w:br/>
        <w:t xml:space="preserve">  PER 15倍：¥10,365</w:t>
        <w:br/>
        <w:t xml:space="preserve">  PER 18倍：¥12,438</w:t>
        <w:br/>
        <w:t xml:space="preserve">  PBR成長後（ROE27%）：¥2,806 × 2.5倍 = ¥7,015（保守的）</w:t>
        <w:br/>
        <w:br/>
        <w:t xml:space="preserve">  加重平均理論株価：</w:t>
        <w:br/>
        <w:t xml:space="preserve">  ¥10,365 × 40% + ¥12,438 × 30% + ¥7,015 × 30%</w:t>
        <w:br/>
        <w:t xml:space="preserve">  = ¥4,146 + ¥3,731 + ¥2,105</w:t>
        <w:br/>
        <w:t xml:space="preserve">  = **¥9,982**（≒¥10,000）</w:t>
        <w:br/>
        <w:br/>
        <w:t xml:space="preserve">  【最終採用理論株価：¥9,800〜¥10,500（中央値¥10,150）】</w:t>
        <w:br/>
        <w:t>━━━━━━━━━━━━━━━━━━━━━━━━━━━━━━━━━━</w:t>
      </w:r>
    </w:p>
    <w:p/>
    <w:p>
      <w:r>
        <w:t>──────────────────────────────────────────────────</w:t>
      </w:r>
    </w:p>
    <w:p/>
    <w:p>
      <w:pPr>
        <w:pStyle w:val="Heading2"/>
      </w:pPr>
      <w:r>
        <w:rPr>
          <w:rFonts w:ascii="Meiryo UI" w:hAnsi="Meiryo UI"/>
          <w:color w:val="2E74B5"/>
        </w:rPr>
        <w:t>④ アセット別事業評価</w:t>
      </w:r>
    </w:p>
    <w:p/>
    <w:p>
      <w:pPr>
        <w:pStyle w:val="Heading3"/>
      </w:pPr>
      <w:r>
        <w:rPr>
          <w:rFonts w:ascii="Meiryo UI" w:hAnsi="Meiryo UI"/>
          <w:color w:val="2E74B5"/>
        </w:rPr>
        <w:t>国内ホテル</w:t>
      </w:r>
    </w:p>
    <w:p/>
    <w:p>
      <w:pPr>
        <w:shd w:val="clear" w:color="auto" w:fill="F2F2F2"/>
      </w:pPr>
      <w:r>
        <w:rPr>
          <w:rFonts w:ascii="Courier New" w:hAnsi="Courier New"/>
          <w:sz w:val="16"/>
        </w:rPr>
        <w:t>【国内ホテル事業精査】</w:t>
        <w:br/>
        <w:t>━━━━━━━━━━━━━━━━━━━━━━━━━━━━━━━━━━</w:t>
        <w:br/>
        <w:t>現況：予算満了・上積みフェーズ</w:t>
        <w:br/>
        <w:t>地域分散：九州・四国・中国・大阪・都内・北関東</w:t>
        <w:br/>
        <w:br/>
        <w:t>OTA比率引き下げ効果の試算：</w:t>
        <w:br/>
        <w:t xml:space="preserve">  現状OTA比率（仮定）：60〜70%</w:t>
        <w:br/>
        <w:t xml:space="preserve">  目標OTA比率：40〜50%（業界平均下位）</w:t>
        <w:br/>
        <w:t xml:space="preserve">  OTA手数料：15〜20%</w:t>
        <w:br/>
        <w:br/>
        <w:t xml:space="preserve">  仮に売上の20%がOTA経由→自社チャネルに移行した場合：</w:t>
        <w:br/>
        <w:t xml:space="preserve">  手数料節約効果 = 移行額 × 17.5%（中間値）</w:t>
        <w:br/>
        <w:br/>
        <w:t xml:space="preserve">  ホテル1棟年商仮定：3億円 × 20棟 = 60億円</w:t>
        <w:br/>
        <w:t xml:space="preserve">  OTA手数料節約：60億円 × 20% × 17.5% = **2.1億円/年**</w:t>
        <w:br/>
        <w:t xml:space="preserve">  EPS換算：2.1億円 ÷ 1,200万株 ≒ **¥17.5/株**</w:t>
        <w:br/>
        <w:br/>
        <w:t>自社ブランド（エディット・バイ・セブン等）のプレミアム効果：</w:t>
        <w:br/>
        <w:t xml:space="preserve">  ブランド力による単価プレミアム：+5〜10%</w:t>
        <w:br/>
        <w:t xml:space="preserve">  ホテル20棟 × 3億円 × 7.5% = **4.5億円/年**（収益増）</w:t>
        <w:br/>
        <w:t xml:space="preserve">  EPS換算：**¥37.5/株**</w:t>
        <w:br/>
        <w:br/>
        <w:t>直近2物件の稼働率好調→売却スピード加速：</w:t>
        <w:br/>
        <w:t xml:space="preserve">  通常サイクル：開発〜売却に3〜4年</w:t>
        <w:br/>
        <w:t xml:space="preserve">  加速ケース：2〜3年（売却サイクル短縮）</w:t>
        <w:br/>
        <w:t xml:space="preserve">  → 年間回転数+0.5サイクルで追加売却益：25〜30億円</w:t>
        <w:br/>
        <w:t>━━━━━━━━━━━━━━━━━━━━━━━━━━━━━━━━━━</w:t>
      </w:r>
    </w:p>
    <w:p/>
    <w:p>
      <w:pPr>
        <w:pStyle w:val="Heading3"/>
      </w:pPr>
      <w:r>
        <w:rPr>
          <w:rFonts w:ascii="Meiryo UI" w:hAnsi="Meiryo UI"/>
          <w:color w:val="2E74B5"/>
        </w:rPr>
        <w:t>物流施設（ロジ）</w:t>
      </w:r>
    </w:p>
    <w:p/>
    <w:p>
      <w:pPr>
        <w:shd w:val="clear" w:color="auto" w:fill="F2F2F2"/>
      </w:pPr>
      <w:r>
        <w:rPr>
          <w:rFonts w:ascii="Courier New" w:hAnsi="Courier New"/>
          <w:sz w:val="16"/>
        </w:rPr>
        <w:t>【物流事業精査：4Q 165億円売却益のインパクト】</w:t>
        <w:br/>
        <w:t>━━━━━━━━━━━━━━━━━━━━━━━━━━━━━━━━━━</w:t>
        <w:br/>
        <w:t>ドライ型バリューアップファンド：4件・165億円（4Q売却予定）</w:t>
        <w:br/>
        <w:br/>
        <w:t>利益率試算：</w:t>
        <w:br/>
        <w:t xml:space="preserve">  物流施設の典型的な粗利率：20〜25%</w:t>
        <w:br/>
        <w:t xml:space="preserve">  165億円 × 22.5% = **37億円の粗利**</w:t>
        <w:br/>
        <w:br/>
        <w:t>営業利益への寄与（販管費配賦後）：</w:t>
        <w:br/>
        <w:t xml:space="preserve">  37億円 × 65% = **24億円**（4Q集中計上）</w:t>
        <w:br/>
        <w:br/>
        <w:t>EPS寄与：24億円 × 0.72 ÷ 1,200万株 ≒ **¥144/株**（4Q一括）</w:t>
        <w:br/>
        <w:br/>
        <w:t>「過去1〜2年で最良の取得環境」の意味：</w:t>
        <w:br/>
        <w:t xml:space="preserve">  ・金利上昇で一部プレーヤーが撤退→バイイングオポチュニティ</w:t>
        <w:br/>
        <w:t xml:space="preserve">  ・地方物流施設の需要：eコマース継続拡大</w:t>
        <w:br/>
        <w:t xml:space="preserve">  ・稼働率100%超（複数テナント待機リスト）は価格交渉力の裏付け</w:t>
        <w:br/>
        <w:br/>
        <w:t>リスク：</w:t>
        <w:br/>
        <w:t xml:space="preserve">  ・3PL（物流委託）の自社物流回帰による需要鈍化</w:t>
        <w:br/>
        <w:t xml:space="preserve">  ・但し2〜3年スパンでは影響軽微と判断</w:t>
        <w:br/>
        <w:t>━━━━━━━━━━━━━━━━━━━━━━━━━━━━━━━━━━</w:t>
      </w:r>
    </w:p>
    <w:p/>
    <w:p>
      <w:pPr>
        <w:pStyle w:val="Heading3"/>
      </w:pPr>
      <w:r>
        <w:rPr>
          <w:rFonts w:ascii="Meiryo UI" w:hAnsi="Meiryo UI"/>
          <w:color w:val="2E74B5"/>
        </w:rPr>
        <w:t>ヘルスケア（ホスピス）</w:t>
      </w:r>
    </w:p>
    <w:p/>
    <w:p>
      <w:pPr>
        <w:shd w:val="clear" w:color="auto" w:fill="F2F2F2"/>
      </w:pPr>
      <w:r>
        <w:rPr>
          <w:rFonts w:ascii="Courier New" w:hAnsi="Courier New"/>
          <w:sz w:val="16"/>
        </w:rPr>
        <w:t>【ヘルスケア事業精査】</w:t>
        <w:br/>
        <w:t>━━━━━━━━━━━━━━━━━━━━━━━━━━━━━━━━━━</w:t>
        <w:br/>
        <w:t>現況：厚労省検査リカバリー完了・9番・10番稼働好調</w:t>
        <w:br/>
        <w:t>仕入再開：「もう少し先」（FY26 3Q〜4Q開始が最速シナリオ）</w:t>
        <w:br/>
        <w:br/>
        <w:t>仕入再開タイミング別業績貢献：</w:t>
        <w:br/>
        <w:t xml:space="preserve">  ケース1（3Q開始）：</w:t>
        <w:br/>
        <w:t xml:space="preserve">    1〜2件取得→開発期間1.5〜2年→FY28業績貢献</w:t>
        <w:br/>
        <w:t xml:space="preserve">    FY27：ゼロ貢献（開発中）</w:t>
        <w:br/>
        <w:t xml:space="preserve">    FY28：+10〜15億円（粗利）</w:t>
        <w:br/>
        <w:br/>
        <w:t xml:space="preserve">  ケース2（4Q〜FY27 1Q開始）：</w:t>
        <w:br/>
        <w:t xml:space="preserve">    FY27：ゼロ〜微少貢献</w:t>
        <w:br/>
        <w:t xml:space="preserve">    FY28以降：+15〜20億円（安定稼働後売却）</w:t>
        <w:br/>
        <w:br/>
        <w:t>現在稼働9番・10番の収益安定化：</w:t>
        <w:br/>
        <w:t xml:space="preserve">  ホスピス稼働安定化（入居率85%超）で</w:t>
        <w:br/>
        <w:t xml:space="preserve">  EBITDA 1棟あたり1.5〜2億円×2棟 = **3〜4億円/年**（継続収益）</w:t>
        <w:br/>
        <w:t xml:space="preserve">  </w:t>
        <w:br/>
        <w:t>ヘルスケアのKFS（重要成功要因）：</w:t>
        <w:br/>
        <w:t xml:space="preserve">  厚労省との関係正常化 = 最大のゲートウェイ</w:t>
        <w:br/>
        <w:t xml:space="preserve">  現時点でクリア済みは大きなポジティブ</w:t>
        <w:br/>
        <w:t>━━━━━━━━━━━━━━━━━━━━━━━━━━━━━━━━━━</w:t>
      </w:r>
    </w:p>
    <w:p/>
    <w:p>
      <w:pPr>
        <w:pStyle w:val="Heading3"/>
      </w:pPr>
      <w:r>
        <w:rPr>
          <w:rFonts w:ascii="Meiryo UI" w:hAnsi="Meiryo UI"/>
          <w:color w:val="2E74B5"/>
        </w:rPr>
        <w:t>データセンター</w:t>
      </w:r>
    </w:p>
    <w:p/>
    <w:p>
      <w:pPr>
        <w:shd w:val="clear" w:color="auto" w:fill="F2F2F2"/>
      </w:pPr>
      <w:r>
        <w:rPr>
          <w:rFonts w:ascii="Courier New" w:hAnsi="Courier New"/>
          <w:sz w:val="16"/>
        </w:rPr>
        <w:t>【データセンター事業評価】</w:t>
        <w:br/>
        <w:t>━━━━━━━━━━━━━━━━━━━━━━━━━━━━━━━━━━</w:t>
        <w:br/>
        <w:t>現況：小型ビジネス領域スタディ中・今期中アナウンス目標</w:t>
        <w:br/>
        <w:br/>
        <w:t>Anthropic×Google×Broadcomのコンピュート拡張との連動評価：</w:t>
        <w:br/>
        <w:t xml:space="preserve">  グローバルDC投資：年率300億ドル（約4.5兆円）</w:t>
        <w:br/>
        <w:t xml:space="preserve">  日本向け配分（推計5〜10%）：4,500〜9,000億円/年</w:t>
        <w:br/>
        <w:br/>
        <w:t>霞ヶ関キャピタルの参入余地：</w:t>
        <w:br/>
        <w:t xml:space="preserve">  「小型ビジネス領域」= 地方・中規模DC（50〜200MW未満）</w:t>
        <w:br/>
        <w:t xml:space="preserve">  エッジDCや国内AI企業向けコロケーション</w:t>
        <w:br/>
        <w:t xml:space="preserve">  既存不動産ネットワーク（物流施設、ホテルの電気インフラ）活用</w:t>
        <w:br/>
        <w:br/>
        <w:t>CAPEX要件：</w:t>
        <w:br/>
        <w:t xml:space="preserve">  中規模DC（50MW）：建設費1棟あたり200〜500億円</w:t>
        <w:br/>
        <w:t xml:space="preserve">  → 棚卸資産目標1,000〜1,200億円の枠内では1〜2棟が限界</w:t>
        <w:br/>
        <w:t xml:space="preserve">  → LBOorファンドストラクチャーが必須</w:t>
        <w:br/>
        <w:br/>
        <w:t>市場連動シナリオ：</w:t>
        <w:br/>
        <w:t xml:space="preserve">  大手テック（Google・Meta・Amazon）が日本DCに参入増</w:t>
        <w:br/>
        <w:t xml:space="preserve">  → 周辺エッジDC需要の波及効果</w:t>
        <w:br/>
        <w:t xml:space="preserve">  → 霞ヶ関キャピタルが「中間ノード」として機能する余地</w:t>
        <w:br/>
        <w:br/>
        <w:t>期待値評価：</w:t>
        <w:br/>
        <w:t xml:space="preserve">  今期アナウンス実現確率：**60%**</w:t>
        <w:br/>
        <w:t xml:space="preserve">  実現時の株価インパクト：+5〜10%（テーマ性プレミアム付与）</w:t>
        <w:br/>
        <w:t xml:space="preserve">  本格業績貢献：FY28〜（開発期間2〜3年）</w:t>
        <w:br/>
        <w:br/>
        <w:t>直近コモディティ価格（WTI $115、天然ガス $2.79/MMBtu）との関係：</w:t>
        <w:br/>
        <w:t xml:space="preserve">  DC電力コスト：天然ガス発電に依存するケースでコスト安定</w:t>
        <w:br/>
        <w:t xml:space="preserve">  エネルギーコスト優位性は限定的（日本は電力コスト高）</w:t>
        <w:br/>
        <w:t>━━━━━━━━━━━━━━━━━━━━━━━━━━━━━━━━━━</w:t>
      </w:r>
    </w:p>
    <w:p/>
    <w:p>
      <w:r>
        <w:t>──────────────────────────────────────────────────</w:t>
      </w:r>
    </w:p>
    <w:p/>
    <w:p>
      <w:pPr>
        <w:pStyle w:val="Heading2"/>
      </w:pPr>
      <w:r>
        <w:rPr>
          <w:rFonts w:ascii="Meiryo UI" w:hAnsi="Meiryo UI"/>
          <w:color w:val="2E74B5"/>
        </w:rPr>
        <w:t>⑤ 海外事業評価</w:t>
      </w:r>
    </w:p>
    <w:p/>
    <w:p>
      <w:pPr>
        <w:pStyle w:val="Heading3"/>
      </w:pPr>
      <w:r>
        <w:rPr>
          <w:rFonts w:ascii="Meiryo UI" w:hAnsi="Meiryo UI"/>
          <w:color w:val="2E74B5"/>
        </w:rPr>
        <w:t>マイアミ</w:t>
      </w:r>
    </w:p>
    <w:p/>
    <w:p>
      <w:pPr>
        <w:shd w:val="clear" w:color="auto" w:fill="F2F2F2"/>
      </w:pPr>
      <w:r>
        <w:rPr>
          <w:rFonts w:ascii="Courier New" w:hAnsi="Courier New"/>
          <w:sz w:val="16"/>
        </w:rPr>
        <w:t>【マイアミ事業精査】</w:t>
        <w:br/>
        <w:t>━━━━━━━━━━━━━━━━━━━━━━━━━━━━━━━━━━</w:t>
        <w:br/>
        <w:t>物件：ダウンタウン一等地</w:t>
        <w:br/>
        <w:t>取得：ファルコン社から税制メリット活用で割安取得</w:t>
        <w:br/>
        <w:t>開発：ホテル・レジデンス複合開発</w:t>
        <w:br/>
        <w:t>資金：セラーファイナンス活用・許認可後銀行ローン検討</w:t>
        <w:br/>
        <w:t>出口：分譲か賃貸か、ミックス検討中</w:t>
        <w:br/>
        <w:t>売却：来期以降（今期中の可能性も0ではない）</w:t>
        <w:br/>
        <w:br/>
        <w:t>バランスシートへの影響試算：</w:t>
        <w:br/>
        <w:t xml:space="preserve">  取得価格推定（ダウンタウン一等地）：80〜120億円</w:t>
        <w:br/>
        <w:t xml:space="preserve">  セラーファイナンス割合（仮）：50%</w:t>
        <w:br/>
        <w:t xml:space="preserve">  自己負担：40〜60億円</w:t>
        <w:br/>
        <w:br/>
        <w:t xml:space="preserve">  現預金428億円に対して自己負担比率：10〜14%（管理可能）</w:t>
        <w:br/>
        <w:br/>
        <w:t>売却時の収益シナリオ：</w:t>
        <w:br/>
        <w:t xml:space="preserve">  マイアミ不動産の近年価格上昇率：+15〜20%/年（2020〜2025年）</w:t>
        <w:br/>
        <w:t xml:space="preserve">  2026年：金利高・一部過熱冷却（+5〜10%想定）</w:t>
        <w:br/>
        <w:t xml:space="preserve">  </w:t>
        <w:br/>
        <w:t xml:space="preserve">  売却価格想定（取得の130〜150%）：104〜180億円</w:t>
        <w:br/>
        <w:t xml:space="preserve">  粗利：24〜60億円</w:t>
        <w:br/>
        <w:t xml:space="preserve">  ホテル・レジデンス複合の場合：分譲比率が高いほど高利益</w:t>
        <w:br/>
        <w:br/>
        <w:t>税務：米国FIRPTA（外国人不動産売却税）：15%の源泉</w:t>
        <w:br/>
        <w:t xml:space="preserve">  → 税後利益：粗利の75〜80%が手取り</w:t>
        <w:br/>
        <w:br/>
        <w:t>今期中売却可能性：</w:t>
        <w:br/>
        <w:t xml:space="preserve">  許認可取得→売却には最低1〜2年（マイアミ開発規制上）</w:t>
        <w:br/>
        <w:t xml:space="preserve">  現実的には来期（FY27）以降が本命</w:t>
        <w:br/>
        <w:t xml:space="preserve">  → バランスシートへの即時影響：棚卸資産増加として計上</w:t>
        <w:br/>
        <w:t>━━━━━━━━━━━━━━━━━━━━━━━━━━━━━━━━━━</w:t>
      </w:r>
    </w:p>
    <w:p/>
    <w:p>
      <w:pPr>
        <w:pStyle w:val="Heading3"/>
      </w:pPr>
      <w:r>
        <w:rPr>
          <w:rFonts w:ascii="Meiryo UI" w:hAnsi="Meiryo UI"/>
          <w:color w:val="2E74B5"/>
        </w:rPr>
        <w:t>ASEAN</w:t>
      </w:r>
    </w:p>
    <w:p/>
    <w:p>
      <w:pPr>
        <w:shd w:val="clear" w:color="auto" w:fill="F2F2F2"/>
      </w:pPr>
      <w:r>
        <w:rPr>
          <w:rFonts w:ascii="Courier New" w:hAnsi="Courier New"/>
          <w:sz w:val="16"/>
        </w:rPr>
        <w:t>【ASEAN事業精査】</w:t>
        <w:br/>
        <w:t>━━━━━━━━━━━━━━━━━━━━━━━━━━━━━━━━━━</w:t>
        <w:br/>
        <w:t>パイプライン：7件・1,000億円弱</w:t>
        <w:br/>
        <w:t>進行中：セティア案件（マレーシア最大手デベロッパーとの協業）</w:t>
        <w:br/>
        <w:t>直近：2号案件近々取得見込み</w:t>
        <w:br/>
        <w:br/>
        <w:t>地域別リスク評価：</w:t>
        <w:br/>
        <w:t xml:space="preserve">  マレーシア：政治安定・外資優遇→低リスク ★★★★☆</w:t>
        <w:br/>
        <w:t xml:space="preserve">  ベトナム：法整備遅れ→中リスク ★★★☆☆</w:t>
        <w:br/>
        <w:t xml:space="preserve">  タイ：外国人土地所有制限→要スキーム工夫 ★★★☆☆</w:t>
        <w:br/>
        <w:br/>
        <w:t>1,000億円弱パイプラインの収益インパクト：</w:t>
        <w:br/>
        <w:t xml:space="preserve">  平均粗利率20%として：200億円の潜在粗利</w:t>
        <w:br/>
        <w:t xml:space="preserve">  2〜4年の開発期間を経てFY28〜FY30に計上</w:t>
        <w:br/>
        <w:t xml:space="preserve">  年間平均：50〜100億円の追加粗利（成長の「第三の柱」）</w:t>
        <w:br/>
        <w:br/>
        <w:t>セティア案件の意義：</w:t>
        <w:br/>
        <w:t xml:space="preserve">  東南アジア最大級の住宅デベロッパーとの協業は</w:t>
        <w:br/>
        <w:t xml:space="preserve">  現地ネットワーク・許認可・販売網を一気に解決</w:t>
        <w:br/>
        <w:t xml:space="preserve">  「ゼロからのASEAN参入」より格段にリスク低減</w:t>
        <w:br/>
        <w:t>━━━━━━━━━━━━━━━━━━━━━━━━━━━━━━━━━━</w:t>
      </w:r>
    </w:p>
    <w:p/>
    <w:p>
      <w:r>
        <w:t>──────────────────────────────────────────────────</w:t>
      </w:r>
    </w:p>
    <w:p/>
    <w:p>
      <w:pPr>
        <w:pStyle w:val="Heading2"/>
      </w:pPr>
      <w:r>
        <w:rPr>
          <w:rFonts w:ascii="Meiryo UI" w:hAnsi="Meiryo UI"/>
          <w:color w:val="2E74B5"/>
        </w:rPr>
        <w:t>⑥ 財務戦略の評価</w:t>
      </w:r>
    </w:p>
    <w:p/>
    <w:p>
      <w:pPr>
        <w:pStyle w:val="Heading3"/>
      </w:pPr>
      <w:r>
        <w:rPr>
          <w:rFonts w:ascii="Meiryo UI" w:hAnsi="Meiryo UI"/>
          <w:color w:val="2E74B5"/>
        </w:rPr>
        <w:t>現在の財務基盤</w:t>
      </w:r>
    </w:p>
    <w:p/>
    <w:p>
      <w:pPr>
        <w:shd w:val="clear" w:color="auto" w:fill="F2F2F2"/>
      </w:pPr>
      <w:r>
        <w:rPr>
          <w:rFonts w:ascii="Courier New" w:hAnsi="Courier New"/>
          <w:sz w:val="16"/>
        </w:rPr>
        <w:t>【財務基盤の強度評価】</w:t>
        <w:br/>
        <w:t>━━━━━━━━━━━━━━━━━━━━━━━━━━━━━━━━━━</w:t>
        <w:br/>
        <w:t>自己資本比率：45%（不動産デベロッパーとして最上位クラス）</w:t>
        <w:br/>
        <w:t>現預金：428億円（棚卸資産積み上げの弾薬十分）</w:t>
        <w:br/>
        <w:t>無格付けSB：16億円（資金調達多様化の第一歩）</w:t>
        <w:br/>
        <w:t>銀行融資姿勢：極めて協力的（LTV融資含む）</w:t>
        <w:br/>
        <w:br/>
        <w:t>棚卸資産積み上げ目標（1,000〜1,200億円）の達成可能性：</w:t>
        <w:br/>
        <w:t>━━━━━━━━━━━━━━━━━━━━━━━━━━━━━━━━━━</w:t>
        <w:br/>
        <w:t>現棚卸資産推定：700〜800億円（自己資本比率45%・総資産から逆算）</w:t>
        <w:br/>
        <w:t>追加積み上げ必要額：200〜500億円</w:t>
        <w:br/>
        <w:br/>
        <w:t>調達手段：</w:t>
        <w:br/>
        <w:t xml:space="preserve">  ①銀行融資（極めて協力的）：LTV 60〜70%を前提に</w:t>
        <w:br/>
        <w:t xml:space="preserve">    200〜500億円の物件取得に対して借入可能</w:t>
        <w:br/>
        <w:t xml:space="preserve">  ②SB追加発行：16億円→50〜100億円規模へ拡大余地</w:t>
        <w:br/>
        <w:t xml:space="preserve">  ③セラーファイナンス（マイアミ型）：海外案件で活用継続</w:t>
        <w:br/>
        <w:t xml:space="preserve">  ④現預金428億円の部分充当</w:t>
        <w:br/>
        <w:br/>
        <w:t>達成確度：**85〜90%**（資金調達環境は良好）</w:t>
        <w:br/>
        <w:t>━━━━━━━━━━━━━━━━━━━━━━━━━━━━━━━━━━</w:t>
        <w:br/>
        <w:br/>
        <w:t>LBO活用M&amp;Aの潜在インパクト：</w:t>
        <w:br/>
        <w:t xml:space="preserve">  対象：物流チェーン・ホテルオペレーション会社</w:t>
        <w:br/>
        <w:t xml:space="preserve">  LBOレバレッジ：取得価格の70〜80%を借入</w:t>
        <w:br/>
        <w:t xml:space="preserve">  </w:t>
        <w:br/>
        <w:t xml:space="preserve">  ホテルオペレーター取得（仮）：50億円</w:t>
        <w:br/>
        <w:t xml:space="preserve">    LBO借入：40億円・自己資本：10億円</w:t>
        <w:br/>
        <w:t xml:space="preserve">    EBITDA 5億円（取得価格の10%）→ 金利負担 1.6億円</w:t>
        <w:br/>
        <w:t xml:space="preserve">    → 税引後利益 2.4億円</w:t>
        <w:br/>
        <w:t xml:space="preserve">    → 投資額10億円に対するROI：24%（シナジー前）</w:t>
        <w:br/>
        <w:br/>
        <w:t xml:space="preserve">  シナジー効果（OTA比率引き下げ・自社運営コスト削減）：</w:t>
        <w:br/>
        <w:t xml:space="preserve">    OTA手数料節約（前述）：年2〜4億円</w:t>
        <w:br/>
        <w:t xml:space="preserve">    運営コスト効率化：年1〜3億円</w:t>
        <w:br/>
        <w:t xml:space="preserve">    → シナジーEPS貢献：**¥25〜55/株**</w:t>
        <w:br/>
        <w:t>━━━━━━━━━━━━━━━━━━━━━━━━━━━━━━━━━━</w:t>
      </w:r>
    </w:p>
    <w:p/>
    <w:p>
      <w:r>
        <w:t>──────────────────────────────────────────────────</w:t>
      </w:r>
    </w:p>
    <w:p/>
    <w:p>
      <w:pPr>
        <w:pStyle w:val="Heading2"/>
      </w:pPr>
      <w:r>
        <w:rPr>
          <w:rFonts w:ascii="Meiryo UI" w:hAnsi="Meiryo UI"/>
          <w:color w:val="2E74B5"/>
        </w:rPr>
        <w:t>⑦ 不動産含み益NAV算出</w:t>
      </w:r>
    </w:p>
    <w:p/>
    <w:p>
      <w:pPr>
        <w:shd w:val="clear" w:color="auto" w:fill="F2F2F2"/>
      </w:pPr>
      <w:r>
        <w:rPr>
          <w:rFonts w:ascii="Courier New" w:hAnsi="Courier New"/>
          <w:sz w:val="16"/>
        </w:rPr>
        <w:t>【不動産含み益NAVの試算】</w:t>
        <w:br/>
        <w:t>━━━━━━━━━━━━━━━━━━━━━━━━━━━━━━━━━━</w:t>
        <w:br/>
        <w:t>霞ヶ関キャピタルの保有資産はほぼ全て「棚卸資産（販売用不動産）」</w:t>
        <w:br/>
        <w:t>として計上されており、有形固定資産（保有目的不動産）は限定的。</w:t>
        <w:br/>
        <w:br/>
        <w:t>ただし、棚卸資産として計上された物件に開発含み益が存在する。</w:t>
        <w:br/>
        <w:br/>
        <w:t>棚卸資産（推定）：750〜850億円（取得原価ベース）</w:t>
        <w:br/>
        <w:t>開発進捗率加重平均含み益率：+15〜25%</w:t>
        <w:br/>
        <w:t xml:space="preserve">  → 含み益推定：750億円 × 20% = **150億円**</w:t>
        <w:br/>
        <w:br/>
        <w:t>海外物件の含み益：</w:t>
        <w:br/>
        <w:t xml:space="preserve">  ドバイ（開発事業貸付金181億円）：</w:t>
        <w:br/>
        <w:t xml:space="preserve">    シナリオB（1年長期化）での時価 ≒ 154億円（▲15%）</w:t>
        <w:br/>
        <w:t xml:space="preserve">    含み損：▲27億円</w:t>
        <w:br/>
        <w:t xml:space="preserve">  </w:t>
        <w:br/>
        <w:t xml:space="preserve">  マイアミ（取得原価 100億円推定）：</w:t>
        <w:br/>
        <w:t xml:space="preserve">    現在価値（ダウンタウン一等地プレミアム）：130〜150億円</w:t>
        <w:br/>
        <w:t xml:space="preserve">    含み益：+30〜50億円</w:t>
        <w:br/>
        <w:br/>
        <w:t xml:space="preserve">  ASEAN（取得済分 推定100億円）：</w:t>
        <w:br/>
        <w:t xml:space="preserve">    含み益（開発進捗）：+10〜20億円</w:t>
        <w:br/>
        <w:br/>
        <w:t>NAV算出：</w:t>
        <w:br/>
        <w:t xml:space="preserve">  純資産（BPS × 株数）：¥2,806 × 1,200万株 = 336.7億円</w:t>
        <w:br/>
        <w:t xml:space="preserve">  国内不動産含み益（税引後72%）：150億円 × 0.72 = 108億円</w:t>
        <w:br/>
        <w:t xml:space="preserve">  マイアミ含み益（米国税後75%）：40億円 × 0.75 = 30億円</w:t>
        <w:br/>
        <w:t xml:space="preserve">  ASEAN含み益（税後75%）：15億円 × 0.75 = 11.3億円</w:t>
        <w:br/>
        <w:t xml:space="preserve">  ドバイ含み損（税後）：▲27億円 × 0.91 = ▲24.6億円</w:t>
        <w:br/>
        <w:t xml:space="preserve">  ━━━━━━━━━━━━━━━━━━━━━━━━━━━━━━━</w:t>
        <w:br/>
        <w:t xml:space="preserve">  調整後NAV合計：336.7 + 108 + 30 + 11.3 - 24.6 = **461億円**</w:t>
        <w:br/>
        <w:br/>
        <w:t xml:space="preserve">  NAV/株：461億円 ÷ 1,200万株 = **¥3,842**</w:t>
        <w:br/>
        <w:t xml:space="preserve">  NAV倍率（現株価/NAV）：¥6,370 ÷ ¥3,842 = **1.66倍**</w:t>
        <w:br/>
        <w:br/>
        <w:t xml:space="preserve">  不動産開発・ファンド会社としてのNAV倍率1.66倍：</w:t>
        <w:br/>
        <w:t xml:space="preserve">  成長企業プレミアム考慮で適正（グロース系不動産会社：1.5〜2.5倍）</w:t>
        <w:br/>
        <w:t>━━━━━━━━━━━━━━━━━━━━━━━━━━━━━━━━━━</w:t>
      </w:r>
    </w:p>
    <w:p/>
    <w:p>
      <w:r>
        <w:t>──────────────────────────────────────────────────</w:t>
      </w:r>
    </w:p>
    <w:p/>
    <w:p>
      <w:pPr>
        <w:pStyle w:val="Heading2"/>
      </w:pPr>
      <w:r>
        <w:rPr>
          <w:rFonts w:ascii="Meiryo UI" w:hAnsi="Meiryo UI"/>
          <w:color w:val="2E74B5"/>
        </w:rPr>
        <w:t>⑧ PBR・BPS・ROE基軸バリュエーション（yfinance確認値）</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