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3608 TSIホールディングス Deep Research</w:t>
      </w:r>
    </w:p>
    <w:p/>
    <w:p/>
    <w:p>
      <w:pPr>
        <w:jc w:val="center"/>
      </w:pPr>
      <w:r>
        <w:rPr>
          <w:rFonts w:ascii="Meiryo UI" w:hAnsi="Meiryo UI"/>
          <w:sz w:val="24"/>
        </w:rPr>
        <w:t>アナリスト：深井</w:t>
      </w:r>
    </w:p>
    <w:p>
      <w:pPr>
        <w:jc w:val="center"/>
      </w:pPr>
      <w:r>
        <w:rPr>
          <w:rFonts w:ascii="Meiryo UI" w:hAnsi="Meiryo UI"/>
          <w:sz w:val="24"/>
        </w:rPr>
        <w:t>分析日：2026年04月10日</w:t>
      </w:r>
    </w:p>
    <w:p>
      <w:r>
        <w:br w:type="page"/>
      </w:r>
    </w:p>
    <w:p>
      <w:pPr>
        <w:pStyle w:val="Heading1"/>
      </w:pPr>
      <w:r>
        <w:rPr>
          <w:rFonts w:ascii="Meiryo UI" w:hAnsi="Meiryo UI"/>
          <w:color w:val="1F3864"/>
        </w:rPr>
        <w:t>3608 TSIホールディングス Deep Research</w:t>
      </w:r>
    </w:p>
    <w:p>
      <w:r>
        <w:rPr>
          <w:rFonts w:ascii="Meiryo UI" w:hAnsi="Meiryo UI"/>
          <w:sz w:val="20"/>
        </w:rPr>
        <w:t>作成日: 2026-04-10  担当: 深井  優先度: 3</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判定</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¥1,650（PBR1.0x、+24.5%）</w:t>
            </w:r>
          </w:p>
        </w:tc>
      </w:tr>
      <w:tr>
        <w:tc>
          <w:tcPr>
            <w:tcW w:type="dxa" w:w="4703"/>
          </w:tcPr>
          <w:p>
            <w:r>
              <w:rPr>
                <w:rFonts w:ascii="Meiryo UI" w:hAnsi="Meiryo UI"/>
                <w:sz w:val="18"/>
              </w:rPr>
              <w:t>ストップロス</w:t>
            </w:r>
          </w:p>
        </w:tc>
        <w:tc>
          <w:tcPr>
            <w:tcW w:type="dxa" w:w="4703"/>
          </w:tcPr>
          <w:p>
            <w:r>
              <w:rPr>
                <w:rFonts w:ascii="Meiryo UI" w:hAnsi="Meiryo UI"/>
                <w:sz w:val="18"/>
              </w:rPr>
              <w:t>¥1,000（心理的節目・前サポートゾーン）</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¥1,126（終値） / PTS ¥1,325（+17.7%）</w:t>
            </w:r>
          </w:p>
        </w:tc>
      </w:tr>
      <w:tr>
        <w:tc>
          <w:tcPr>
            <w:tcW w:type="dxa" w:w="4703"/>
          </w:tcPr>
          <w:p>
            <w:r>
              <w:rPr>
                <w:rFonts w:ascii="Meiryo UI" w:hAnsi="Meiryo UI"/>
                <w:sz w:val="18"/>
              </w:rPr>
              <w:t>浅井スコア</w:t>
            </w:r>
          </w:p>
        </w:tc>
        <w:tc>
          <w:tcPr>
            <w:tcW w:type="dxa" w:w="4703"/>
          </w:tcPr>
          <w:p>
            <w:r>
              <w:rPr>
                <w:rFonts w:ascii="Meiryo UI" w:hAnsi="Meiryo UI"/>
                <w:sz w:val="18"/>
              </w:rPr>
              <w:t>+90</w:t>
            </w:r>
          </w:p>
        </w:tc>
      </w:tr>
      <w:tr>
        <w:tc>
          <w:tcPr>
            <w:tcW w:type="dxa" w:w="4703"/>
            <w:shd w:val="clear" w:color="auto" w:fill="DDEBF7"/>
          </w:tcPr>
          <w:p>
            <w:r>
              <w:rPr>
                <w:rFonts w:ascii="Meiryo UI" w:hAnsi="Meiryo UI"/>
                <w:sz w:val="18"/>
              </w:rPr>
              <w:t>カタリスト三重奏</w:t>
            </w:r>
          </w:p>
        </w:tc>
        <w:tc>
          <w:tcPr>
            <w:tcW w:type="dxa" w:w="4703"/>
            <w:shd w:val="clear" w:color="auto" w:fill="DDEBF7"/>
          </w:tcPr>
          <w:p>
            <w:r>
              <w:rPr>
                <w:rFonts w:ascii="Meiryo UI" w:hAnsi="Meiryo UI"/>
                <w:sz w:val="18"/>
              </w:rPr>
              <w:t>自社株買い5.58%×東洋エンタープライズ買収×配当¥70増額</w:t>
            </w:r>
          </w:p>
        </w:tc>
      </w:tr>
      <w:tr>
        <w:tc>
          <w:tcPr>
            <w:tcW w:type="dxa" w:w="4703"/>
          </w:tcPr>
          <w:p>
            <w:r>
              <w:rPr>
                <w:rFonts w:ascii="Meiryo UI" w:hAnsi="Meiryo UI"/>
                <w:sz w:val="18"/>
              </w:rPr>
              <w:t>月次先行指標</w:t>
            </w:r>
          </w:p>
        </w:tc>
        <w:tc>
          <w:tcPr>
            <w:tcW w:type="dxa" w:w="4703"/>
          </w:tcPr>
          <w:p>
            <w:r>
              <w:rPr>
                <w:rFonts w:ascii="Meiryo UI" w:hAnsi="Meiryo UI"/>
                <w:sz w:val="18"/>
              </w:rPr>
              <w:t>3月既存店+36.2%（TSI突出値・我々メモリ整合）</w:t>
            </w:r>
          </w:p>
        </w:tc>
      </w:tr>
    </w:tbl>
    <w:p/>
    <w:p>
      <w:r>
        <w:t>──────────────────────────────────────────────────</w:t>
      </w:r>
    </w:p>
    <w:p/>
    <w:p>
      <w:pPr>
        <w:pStyle w:val="Heading2"/>
      </w:pPr>
      <w:r>
        <w:rPr>
          <w:rFonts w:ascii="Meiryo UI" w:hAnsi="Meiryo UI"/>
          <w:color w:val="2E74B5"/>
        </w:rPr>
        <w:t>1. 本日決算（2026-04-10発表）核心サマリー</w:t>
      </w:r>
    </w:p>
    <w:p/>
    <w:p>
      <w:pPr>
        <w:pStyle w:val="Heading3"/>
      </w:pPr>
      <w:r>
        <w:rPr>
          <w:rFonts w:ascii="Meiryo UI" w:hAnsi="Meiryo UI"/>
          <w:color w:val="2E74B5"/>
        </w:rPr>
        <w:t>FY2026.02 通期実績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FY2026.02実績</w:t>
            </w:r>
          </w:p>
        </w:tc>
        <w:tc>
          <w:tcPr>
            <w:tcW w:type="dxa" w:w="2351"/>
            <w:shd w:val="clear" w:color="auto" w:fill="2E74B5"/>
          </w:tcPr>
          <w:p>
            <w:r>
              <w:rPr>
                <w:rFonts w:ascii="Meiryo UI" w:hAnsi="Meiryo UI"/>
                <w:b/>
                <w:color w:val="FFFFFF"/>
                <w:sz w:val="18"/>
              </w:rPr>
              <w:t>FY2025.02実績</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¥167,085M</w:t>
            </w:r>
          </w:p>
        </w:tc>
        <w:tc>
          <w:tcPr>
            <w:tcW w:type="dxa" w:w="2351"/>
          </w:tcPr>
          <w:p>
            <w:r>
              <w:rPr>
                <w:rFonts w:ascii="Meiryo UI" w:hAnsi="Meiryo UI"/>
                <w:sz w:val="18"/>
              </w:rPr>
              <w:t>¥156,606M</w:t>
            </w:r>
          </w:p>
        </w:tc>
        <w:tc>
          <w:tcPr>
            <w:tcW w:type="dxa" w:w="2351"/>
          </w:tcPr>
          <w:p>
            <w:r>
              <w:rPr>
                <w:rFonts w:ascii="Meiryo UI" w:hAnsi="Meiryo UI"/>
                <w:sz w:val="18"/>
              </w:rPr>
              <w:t>+6.7%</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¥4,325M</w:t>
            </w:r>
          </w:p>
        </w:tc>
        <w:tc>
          <w:tcPr>
            <w:tcW w:type="dxa" w:w="2351"/>
            <w:shd w:val="clear" w:color="auto" w:fill="DDEBF7"/>
          </w:tcPr>
          <w:p>
            <w:r>
              <w:rPr>
                <w:rFonts w:ascii="Meiryo UI" w:hAnsi="Meiryo UI"/>
                <w:sz w:val="18"/>
              </w:rPr>
              <w:t>¥1,636M</w:t>
            </w:r>
          </w:p>
        </w:tc>
        <w:tc>
          <w:tcPr>
            <w:tcW w:type="dxa" w:w="2351"/>
            <w:shd w:val="clear" w:color="auto" w:fill="DDEBF7"/>
          </w:tcPr>
          <w:p>
            <w:r>
              <w:rPr>
                <w:rFonts w:ascii="Meiryo UI" w:hAnsi="Meiryo UI"/>
                <w:sz w:val="18"/>
              </w:rPr>
              <w:t>+164.5%</w:t>
            </w:r>
          </w:p>
        </w:tc>
      </w:tr>
      <w:tr>
        <w:tc>
          <w:tcPr>
            <w:tcW w:type="dxa" w:w="2351"/>
          </w:tcPr>
          <w:p>
            <w:r>
              <w:rPr>
                <w:rFonts w:ascii="Meiryo UI" w:hAnsi="Meiryo UI"/>
                <w:sz w:val="18"/>
              </w:rPr>
              <w:t>OPマージン</w:t>
            </w:r>
          </w:p>
        </w:tc>
        <w:tc>
          <w:tcPr>
            <w:tcW w:type="dxa" w:w="2351"/>
          </w:tcPr>
          <w:p>
            <w:r>
              <w:rPr>
                <w:rFonts w:ascii="Meiryo UI" w:hAnsi="Meiryo UI"/>
                <w:sz w:val="18"/>
              </w:rPr>
              <w:t>2.6%</w:t>
            </w:r>
          </w:p>
        </w:tc>
        <w:tc>
          <w:tcPr>
            <w:tcW w:type="dxa" w:w="2351"/>
          </w:tcPr>
          <w:p>
            <w:r>
              <w:rPr>
                <w:rFonts w:ascii="Meiryo UI" w:hAnsi="Meiryo UI"/>
                <w:sz w:val="18"/>
              </w:rPr>
              <w:t>1.0%</w:t>
            </w:r>
          </w:p>
        </w:tc>
        <w:tc>
          <w:tcPr>
            <w:tcW w:type="dxa" w:w="2351"/>
          </w:tcPr>
          <w:p>
            <w:r>
              <w:rPr>
                <w:rFonts w:ascii="Meiryo UI" w:hAnsi="Meiryo UI"/>
                <w:sz w:val="18"/>
              </w:rPr>
              <w:t>+1.6pt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¥5,440M</w:t>
            </w:r>
          </w:p>
        </w:tc>
        <w:tc>
          <w:tcPr>
            <w:tcW w:type="dxa" w:w="2351"/>
            <w:shd w:val="clear" w:color="auto" w:fill="DDEBF7"/>
          </w:tcPr>
          <w:p>
            <w:r>
              <w:rPr>
                <w:rFonts w:ascii="Meiryo UI" w:hAnsi="Meiryo UI"/>
                <w:sz w:val="18"/>
              </w:rPr>
              <w:t>¥2,076M</w:t>
            </w:r>
          </w:p>
        </w:tc>
        <w:tc>
          <w:tcPr>
            <w:tcW w:type="dxa" w:w="2351"/>
            <w:shd w:val="clear" w:color="auto" w:fill="DDEBF7"/>
          </w:tcPr>
          <w:p>
            <w:r>
              <w:rPr>
                <w:rFonts w:ascii="Meiryo UI" w:hAnsi="Meiryo UI"/>
                <w:sz w:val="18"/>
              </w:rPr>
              <w:t>+162.1%</w:t>
            </w:r>
          </w:p>
        </w:tc>
      </w:tr>
      <w:tr>
        <w:tc>
          <w:tcPr>
            <w:tcW w:type="dxa" w:w="2351"/>
          </w:tcPr>
          <w:p>
            <w:r>
              <w:rPr>
                <w:rFonts w:ascii="Meiryo UI" w:hAnsi="Meiryo UI"/>
                <w:sz w:val="18"/>
              </w:rPr>
              <w:t>純利益</w:t>
            </w:r>
          </w:p>
        </w:tc>
        <w:tc>
          <w:tcPr>
            <w:tcW w:type="dxa" w:w="2351"/>
          </w:tcPr>
          <w:p>
            <w:r>
              <w:rPr>
                <w:rFonts w:ascii="Meiryo UI" w:hAnsi="Meiryo UI"/>
                <w:sz w:val="18"/>
              </w:rPr>
              <w:t>¥3,793M</w:t>
            </w:r>
          </w:p>
        </w:tc>
        <w:tc>
          <w:tcPr>
            <w:tcW w:type="dxa" w:w="2351"/>
          </w:tcPr>
          <w:p>
            <w:r>
              <w:rPr>
                <w:rFonts w:ascii="Meiryo UI" w:hAnsi="Meiryo UI"/>
                <w:sz w:val="18"/>
              </w:rPr>
              <w:t>¥15,230M※</w:t>
            </w:r>
          </w:p>
        </w:tc>
        <w:tc>
          <w:tcPr>
            <w:tcW w:type="dxa" w:w="2351"/>
          </w:tcPr>
          <w:p>
            <w:r>
              <w:rPr>
                <w:rFonts w:ascii="Meiryo UI" w:hAnsi="Meiryo UI"/>
                <w:sz w:val="18"/>
              </w:rPr>
              <w:t>▲75.1%（※不動産売却益）</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¥60.5</w:t>
            </w:r>
          </w:p>
        </w:tc>
        <w:tc>
          <w:tcPr>
            <w:tcW w:type="dxa" w:w="2351"/>
            <w:shd w:val="clear" w:color="auto" w:fill="DDEBF7"/>
          </w:tcPr>
          <w:p>
            <w:r>
              <w:rPr>
                <w:rFonts w:ascii="Meiryo UI" w:hAnsi="Meiryo UI"/>
                <w:sz w:val="18"/>
              </w:rPr>
              <w:t>¥210.0※</w:t>
            </w:r>
          </w:p>
        </w:tc>
        <w:tc>
          <w:tcPr>
            <w:tcW w:type="dxa" w:w="2351"/>
            <w:shd w:val="clear" w:color="auto" w:fill="DDEBF7"/>
          </w:tcPr>
          <w:p>
            <w:r>
              <w:rPr>
                <w:rFonts w:ascii="Meiryo UI" w:hAnsi="Meiryo UI"/>
                <w:sz w:val="18"/>
              </w:rPr>
              <w:t>▲（特別要因除き実力改善）</w:t>
            </w:r>
          </w:p>
        </w:tc>
      </w:tr>
      <w:tr>
        <w:tc>
          <w:tcPr>
            <w:tcW w:type="dxa" w:w="2351"/>
          </w:tcPr>
          <w:p>
            <w:r>
              <w:rPr>
                <w:rFonts w:ascii="Meiryo UI" w:hAnsi="Meiryo UI"/>
                <w:sz w:val="18"/>
              </w:rPr>
              <w:t>配当</w:t>
            </w:r>
          </w:p>
        </w:tc>
        <w:tc>
          <w:tcPr>
            <w:tcW w:type="dxa" w:w="2351"/>
          </w:tcPr>
          <w:p>
            <w:r>
              <w:rPr>
                <w:rFonts w:ascii="Meiryo UI" w:hAnsi="Meiryo UI"/>
                <w:sz w:val="18"/>
              </w:rPr>
              <w:t>¥40</w:t>
            </w:r>
          </w:p>
        </w:tc>
        <w:tc>
          <w:tcPr>
            <w:tcW w:type="dxa" w:w="2351"/>
          </w:tcPr>
          <w:p>
            <w:r>
              <w:rPr>
                <w:rFonts w:ascii="Meiryo UI" w:hAnsi="Meiryo UI"/>
                <w:sz w:val="18"/>
              </w:rPr>
              <w:t>¥65</w:t>
            </w:r>
          </w:p>
        </w:tc>
        <w:tc>
          <w:tcPr>
            <w:tcW w:type="dxa" w:w="2351"/>
          </w:tcPr>
          <w:p>
            <w:r>
              <w:rPr>
                <w:rFonts w:ascii="Meiryo UI" w:hAnsi="Meiryo UI"/>
                <w:sz w:val="18"/>
              </w:rPr>
              <w:t>▲（ただしFY2027は¥70へ増配）</w:t>
            </w:r>
          </w:p>
        </w:tc>
      </w:tr>
    </w:tbl>
    <w:p/>
    <w:p>
      <w:r>
        <w:rPr>
          <w:rFonts w:ascii="Meiryo UI" w:hAnsi="Meiryo UI"/>
          <w:sz w:val="20"/>
        </w:rPr>
        <w:t>※ FY2025純利は不動産売却益（¥15,071M）が大半。本業ベースではFY2026が大幅改善。</w:t>
      </w:r>
    </w:p>
    <w:p/>
    <w:p>
      <w:pPr>
        <w:pStyle w:val="Heading3"/>
      </w:pPr>
      <w:r>
        <w:rPr>
          <w:rFonts w:ascii="Meiryo UI" w:hAnsi="Meiryo UI"/>
          <w:color w:val="2E74B5"/>
        </w:rPr>
        <w:t>FY2027.02 ガイダンス（本日発表）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FY2027.02予想</w:t>
            </w:r>
          </w:p>
        </w:tc>
        <w:tc>
          <w:tcPr>
            <w:tcW w:type="dxa" w:w="2351"/>
            <w:shd w:val="clear" w:color="auto" w:fill="2E74B5"/>
          </w:tcPr>
          <w:p>
            <w:r>
              <w:rPr>
                <w:rFonts w:ascii="Meiryo UI" w:hAnsi="Meiryo UI"/>
                <w:b/>
                <w:color w:val="FFFFFF"/>
                <w:sz w:val="18"/>
              </w:rPr>
              <w:t>FY2026.02実績</w:t>
            </w:r>
          </w:p>
        </w:tc>
        <w:tc>
          <w:tcPr>
            <w:tcW w:type="dxa" w:w="2351"/>
            <w:shd w:val="clear" w:color="auto" w:fill="2E74B5"/>
          </w:tcPr>
          <w:p>
            <w:r>
              <w:rPr>
                <w:rFonts w:ascii="Meiryo UI" w:hAnsi="Meiryo UI"/>
                <w:b/>
                <w:color w:val="FFFFFF"/>
                <w:sz w:val="18"/>
              </w:rPr>
              <w:t>予想成長率</w:t>
            </w:r>
          </w:p>
        </w:tc>
      </w:tr>
      <w:tr>
        <w:tc>
          <w:tcPr>
            <w:tcW w:type="dxa" w:w="2351"/>
          </w:tcPr>
          <w:p>
            <w:r>
              <w:rPr>
                <w:rFonts w:ascii="Meiryo UI" w:hAnsi="Meiryo UI"/>
                <w:sz w:val="18"/>
              </w:rPr>
              <w:t>売上高</w:t>
            </w:r>
          </w:p>
        </w:tc>
        <w:tc>
          <w:tcPr>
            <w:tcW w:type="dxa" w:w="2351"/>
          </w:tcPr>
          <w:p>
            <w:r>
              <w:rPr>
                <w:rFonts w:ascii="Meiryo UI" w:hAnsi="Meiryo UI"/>
                <w:sz w:val="18"/>
              </w:rPr>
              <w:t>¥200,000M</w:t>
            </w:r>
          </w:p>
        </w:tc>
        <w:tc>
          <w:tcPr>
            <w:tcW w:type="dxa" w:w="2351"/>
          </w:tcPr>
          <w:p>
            <w:r>
              <w:rPr>
                <w:rFonts w:ascii="Meiryo UI" w:hAnsi="Meiryo UI"/>
                <w:sz w:val="18"/>
              </w:rPr>
              <w:t>¥167,085M</w:t>
            </w:r>
          </w:p>
        </w:tc>
        <w:tc>
          <w:tcPr>
            <w:tcW w:type="dxa" w:w="2351"/>
          </w:tcPr>
          <w:p>
            <w:r>
              <w:rPr>
                <w:rFonts w:ascii="Meiryo UI" w:hAnsi="Meiryo UI"/>
                <w:sz w:val="18"/>
              </w:rPr>
              <w:t>+19.7%</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¥7,500M</w:t>
            </w:r>
          </w:p>
        </w:tc>
        <w:tc>
          <w:tcPr>
            <w:tcW w:type="dxa" w:w="2351"/>
            <w:shd w:val="clear" w:color="auto" w:fill="DDEBF7"/>
          </w:tcPr>
          <w:p>
            <w:r>
              <w:rPr>
                <w:rFonts w:ascii="Meiryo UI" w:hAnsi="Meiryo UI"/>
                <w:sz w:val="18"/>
              </w:rPr>
              <w:t>¥4,325M</w:t>
            </w:r>
          </w:p>
        </w:tc>
        <w:tc>
          <w:tcPr>
            <w:tcW w:type="dxa" w:w="2351"/>
            <w:shd w:val="clear" w:color="auto" w:fill="DDEBF7"/>
          </w:tcPr>
          <w:p>
            <w:r>
              <w:rPr>
                <w:rFonts w:ascii="Meiryo UI" w:hAnsi="Meiryo UI"/>
                <w:sz w:val="18"/>
              </w:rPr>
              <w:t>+73.4%</w:t>
            </w:r>
          </w:p>
        </w:tc>
      </w:tr>
      <w:tr>
        <w:tc>
          <w:tcPr>
            <w:tcW w:type="dxa" w:w="2351"/>
          </w:tcPr>
          <w:p>
            <w:r>
              <w:rPr>
                <w:rFonts w:ascii="Meiryo UI" w:hAnsi="Meiryo UI"/>
                <w:sz w:val="18"/>
              </w:rPr>
              <w:t>OPマージン</w:t>
            </w:r>
          </w:p>
        </w:tc>
        <w:tc>
          <w:tcPr>
            <w:tcW w:type="dxa" w:w="2351"/>
          </w:tcPr>
          <w:p>
            <w:r>
              <w:rPr>
                <w:rFonts w:ascii="Meiryo UI" w:hAnsi="Meiryo UI"/>
                <w:sz w:val="18"/>
              </w:rPr>
              <w:t>3.75%</w:t>
            </w:r>
          </w:p>
        </w:tc>
        <w:tc>
          <w:tcPr>
            <w:tcW w:type="dxa" w:w="2351"/>
          </w:tcPr>
          <w:p>
            <w:r>
              <w:rPr>
                <w:rFonts w:ascii="Meiryo UI" w:hAnsi="Meiryo UI"/>
                <w:sz w:val="18"/>
              </w:rPr>
              <w:t>2.6%</w:t>
            </w:r>
          </w:p>
        </w:tc>
        <w:tc>
          <w:tcPr>
            <w:tcW w:type="dxa" w:w="2351"/>
          </w:tcPr>
          <w:p>
            <w:r>
              <w:rPr>
                <w:rFonts w:ascii="Meiryo UI" w:hAnsi="Meiryo UI"/>
                <w:sz w:val="18"/>
              </w:rPr>
              <w:t>+1.15pt</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¥132.2</w:t>
            </w:r>
          </w:p>
        </w:tc>
        <w:tc>
          <w:tcPr>
            <w:tcW w:type="dxa" w:w="2351"/>
            <w:shd w:val="clear" w:color="auto" w:fill="DDEBF7"/>
          </w:tcPr>
          <w:p>
            <w:r>
              <w:rPr>
                <w:rFonts w:ascii="Meiryo UI" w:hAnsi="Meiryo UI"/>
                <w:sz w:val="18"/>
              </w:rPr>
              <w:t>¥60.5</w:t>
            </w:r>
          </w:p>
        </w:tc>
        <w:tc>
          <w:tcPr>
            <w:tcW w:type="dxa" w:w="2351"/>
            <w:shd w:val="clear" w:color="auto" w:fill="DDEBF7"/>
          </w:tcPr>
          <w:p>
            <w:r>
              <w:rPr>
                <w:rFonts w:ascii="Meiryo UI" w:hAnsi="Meiryo UI"/>
                <w:sz w:val="18"/>
              </w:rPr>
              <w:t>+118.5%</w:t>
            </w:r>
          </w:p>
        </w:tc>
      </w:tr>
      <w:tr>
        <w:tc>
          <w:tcPr>
            <w:tcW w:type="dxa" w:w="2351"/>
          </w:tcPr>
          <w:p>
            <w:r>
              <w:rPr>
                <w:rFonts w:ascii="Meiryo UI" w:hAnsi="Meiryo UI"/>
                <w:sz w:val="18"/>
              </w:rPr>
              <w:t>配当</w:t>
            </w:r>
          </w:p>
        </w:tc>
        <w:tc>
          <w:tcPr>
            <w:tcW w:type="dxa" w:w="2351"/>
          </w:tcPr>
          <w:p>
            <w:r>
              <w:rPr>
                <w:rFonts w:ascii="Meiryo UI" w:hAnsi="Meiryo UI"/>
                <w:sz w:val="18"/>
              </w:rPr>
              <w:t>¥70（+¥30増額）</w:t>
            </w:r>
          </w:p>
        </w:tc>
        <w:tc>
          <w:tcPr>
            <w:tcW w:type="dxa" w:w="2351"/>
          </w:tcPr>
          <w:p>
            <w:r>
              <w:rPr>
                <w:rFonts w:ascii="Meiryo UI" w:hAnsi="Meiryo UI"/>
                <w:sz w:val="18"/>
              </w:rPr>
              <w:t>¥40</w:t>
            </w:r>
          </w:p>
        </w:tc>
        <w:tc>
          <w:tcPr>
            <w:tcW w:type="dxa" w:w="2351"/>
          </w:tcPr>
          <w:p>
            <w:r>
              <w:rPr>
                <w:rFonts w:ascii="Meiryo UI" w:hAnsi="Meiryo UI"/>
                <w:sz w:val="18"/>
              </w:rPr>
              <w:t>+75.0%</w:t>
            </w:r>
          </w:p>
        </w:tc>
      </w:tr>
    </w:tbl>
    <w:p/>
    <w:p>
      <w:r>
        <w:t>──────────────────────────────────────────────────</w:t>
      </w:r>
    </w:p>
    <w:p/>
    <w:p>
      <w:pPr>
        <w:pStyle w:val="Heading2"/>
      </w:pPr>
      <w:r>
        <w:rPr>
          <w:rFonts w:ascii="Meiryo UI" w:hAnsi="Meiryo UI"/>
          <w:color w:val="2E74B5"/>
        </w:rPr>
        <w:t>2. 本日発表の三重材料</w:t>
      </w:r>
    </w:p>
    <w:p/>
    <w:p>
      <w:pPr>
        <w:pStyle w:val="Heading3"/>
      </w:pPr>
      <w:r>
        <w:rPr>
          <w:rFonts w:ascii="Meiryo UI" w:hAnsi="Meiryo UI"/>
          <w:color w:val="2E74B5"/>
        </w:rPr>
        <w:t>① 自社株買い（最大30億円・発行済比5.58%）</w:t>
      </w:r>
    </w:p>
    <w:p/>
    <w:p>
      <w:pPr>
        <w:pStyle w:val="ListBullet"/>
      </w:pPr>
      <w:r>
        <w:rPr>
          <w:rFonts w:ascii="Meiryo UI" w:hAnsi="Meiryo UI"/>
          <w:sz w:val="20"/>
        </w:rPr>
        <w:t>取得上限: 330万株 / 上限30億円</w:t>
      </w:r>
    </w:p>
    <w:p>
      <w:pPr>
        <w:pStyle w:val="ListBullet"/>
      </w:pPr>
      <w:r>
        <w:rPr>
          <w:rFonts w:ascii="Meiryo UI" w:hAnsi="Meiryo UI"/>
          <w:sz w:val="20"/>
        </w:rPr>
        <w:t>発行済株式比率: 5.58%（大規模）</w:t>
      </w:r>
    </w:p>
    <w:p>
      <w:pPr>
        <w:pStyle w:val="ListBullet"/>
      </w:pPr>
      <w:r>
        <w:rPr>
          <w:rFonts w:ascii="Meiryo UI" w:hAnsi="Meiryo UI"/>
          <w:sz w:val="20"/>
        </w:rPr>
        <w:t>効果試算: 取得完了後EPS = ¥132.2 × (1 / 0.9442) = ¥140.0（+6%改善）</w:t>
      </w:r>
    </w:p>
    <w:p>
      <w:pPr>
        <w:pStyle w:val="ListBullet"/>
      </w:pPr>
      <w:r>
        <w:rPr>
          <w:rFonts w:ascii="Meiryo UI" w:hAnsi="Meiryo UI"/>
          <w:sz w:val="20"/>
        </w:rPr>
        <w:t>配当利回り（PTS後）: ¥70 / ¥1,325 = 5.28%（超高利回り水準）</w:t>
      </w:r>
    </w:p>
    <w:p/>
    <w:p>
      <w:r>
        <w:rPr>
          <w:rFonts w:ascii="Meiryo UI" w:hAnsi="Meiryo UI"/>
          <w:sz w:val="20"/>
        </w:rPr>
        <w:t>&gt; 自社株買い→株数減少→EPS増加→ROE改善→理論PBR上昇の好循環を意図した設計。</w:t>
      </w:r>
    </w:p>
    <w:p/>
    <w:p>
      <w:r>
        <w:t>──────────────────────────────────────────────────</w:t>
      </w:r>
    </w:p>
    <w:p/>
    <w:p>
      <w:pPr>
        <w:pStyle w:val="Heading3"/>
      </w:pPr>
      <w:r>
        <w:rPr>
          <w:rFonts w:ascii="Meiryo UI" w:hAnsi="Meiryo UI"/>
          <w:color w:val="2E74B5"/>
        </w:rPr>
        <w:t>② 東洋エンタープライズ（テーラー東洋・バズリクソンズ）子会社化</w:t>
      </w:r>
    </w:p>
    <w:p/>
    <w:p>
      <w:r>
        <w:rPr>
          <w:rFonts w:ascii="Meiryo UI" w:hAnsi="Meiryo UI"/>
          <w:sz w:val="20"/>
        </w:rPr>
        <w:t>取得対象ブランド:</w:t>
      </w:r>
    </w:p>
    <w:p>
      <w:pPr>
        <w:pStyle w:val="ListBullet"/>
      </w:pPr>
      <w:r>
        <w:rPr>
          <w:rFonts w:ascii="Meiryo UI" w:hAnsi="Meiryo UI"/>
          <w:sz w:val="20"/>
        </w:rPr>
        <w:t>テーラー東洋（Tailor Toyo）: スカジャン・スーベニアジャケットの世界的ブランド。日本発アメカジの代名詞</w:t>
      </w:r>
    </w:p>
    <w:p>
      <w:pPr>
        <w:pStyle w:val="ListBullet"/>
      </w:pPr>
      <w:r>
        <w:rPr>
          <w:rFonts w:ascii="Meiryo UI" w:hAnsi="Meiryo UI"/>
          <w:sz w:val="20"/>
        </w:rPr>
        <w:t>バズリクソンズ（Buzz Rickson's）: 米軍フライトジャケットの精密復刻ブランド。コレクター需要強</w:t>
      </w:r>
    </w:p>
    <w:p/>
    <w:p>
      <w:r>
        <w:rPr>
          <w:rFonts w:ascii="Meiryo UI" w:hAnsi="Meiryo UI"/>
          <w:sz w:val="20"/>
        </w:rPr>
        <w:t>戦略的意義:</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市場タイミング</w:t>
            </w:r>
          </w:p>
        </w:tc>
        <w:tc>
          <w:tcPr>
            <w:tcW w:type="dxa" w:w="4703"/>
          </w:tcPr>
          <w:p>
            <w:r>
              <w:rPr>
                <w:rFonts w:ascii="Meiryo UI" w:hAnsi="Meiryo UI"/>
                <w:sz w:val="18"/>
              </w:rPr>
              <w:t>アメカジ再燃トレンド（Z世代×ヴィンテージ回帰）と完全一致</w:t>
            </w:r>
          </w:p>
        </w:tc>
      </w:tr>
      <w:tr>
        <w:tc>
          <w:tcPr>
            <w:tcW w:type="dxa" w:w="4703"/>
            <w:shd w:val="clear" w:color="auto" w:fill="DDEBF7"/>
          </w:tcPr>
          <w:p>
            <w:r>
              <w:rPr>
                <w:rFonts w:ascii="Meiryo UI" w:hAnsi="Meiryo UI"/>
                <w:sz w:val="18"/>
              </w:rPr>
              <w:t>訪日外国人</w:t>
            </w:r>
          </w:p>
        </w:tc>
        <w:tc>
          <w:tcPr>
            <w:tcW w:type="dxa" w:w="4703"/>
            <w:shd w:val="clear" w:color="auto" w:fill="DDEBF7"/>
          </w:tcPr>
          <w:p>
            <w:r>
              <w:rPr>
                <w:rFonts w:ascii="Meiryo UI" w:hAnsi="Meiryo UI"/>
                <w:sz w:val="18"/>
              </w:rPr>
              <w:t>日本独自のアメリカーナ文化に欧米ファン多数 → インバウンド直撃</w:t>
            </w:r>
          </w:p>
        </w:tc>
      </w:tr>
      <w:tr>
        <w:tc>
          <w:tcPr>
            <w:tcW w:type="dxa" w:w="4703"/>
          </w:tcPr>
          <w:p>
            <w:r>
              <w:rPr>
                <w:rFonts w:ascii="Meiryo UI" w:hAnsi="Meiryo UI"/>
                <w:sz w:val="18"/>
              </w:rPr>
              <w:t>EC展開</w:t>
            </w:r>
          </w:p>
        </w:tc>
        <w:tc>
          <w:tcPr>
            <w:tcW w:type="dxa" w:w="4703"/>
          </w:tcPr>
          <w:p>
            <w:r>
              <w:rPr>
                <w:rFonts w:ascii="Meiryo UI" w:hAnsi="Meiryo UI"/>
                <w:sz w:val="18"/>
              </w:rPr>
              <w:t>TSIのECプラットフォーム活用でグローバル展開加速</w:t>
            </w:r>
          </w:p>
        </w:tc>
      </w:tr>
      <w:tr>
        <w:tc>
          <w:tcPr>
            <w:tcW w:type="dxa" w:w="4703"/>
            <w:shd w:val="clear" w:color="auto" w:fill="DDEBF7"/>
          </w:tcPr>
          <w:p>
            <w:r>
              <w:rPr>
                <w:rFonts w:ascii="Meiryo UI" w:hAnsi="Meiryo UI"/>
                <w:sz w:val="18"/>
              </w:rPr>
              <w:t>月次への寄与</w:t>
            </w:r>
          </w:p>
        </w:tc>
        <w:tc>
          <w:tcPr>
            <w:tcW w:type="dxa" w:w="4703"/>
            <w:shd w:val="clear" w:color="auto" w:fill="DDEBF7"/>
          </w:tcPr>
          <w:p>
            <w:r>
              <w:rPr>
                <w:rFonts w:ascii="Meiryo UI" w:hAnsi="Meiryo UI"/>
                <w:sz w:val="18"/>
              </w:rPr>
              <w:t>子会社化後、FY2027の月次売上に即時貢献</w:t>
            </w:r>
          </w:p>
        </w:tc>
      </w:tr>
    </w:tbl>
    <w:p/>
    <w:p>
      <w:r>
        <w:t>──────────────────────────────────────────────────</w:t>
      </w:r>
    </w:p>
    <w:p/>
    <w:p>
      <w:pPr>
        <w:pStyle w:val="Heading3"/>
      </w:pPr>
      <w:r>
        <w:rPr>
          <w:rFonts w:ascii="Meiryo UI" w:hAnsi="Meiryo UI"/>
          <w:color w:val="2E74B5"/>
        </w:rPr>
        <w:t>③ TSIファッション未来財団設立</w:t>
      </w:r>
    </w:p>
    <w:p/>
    <w:p>
      <w:r>
        <w:rPr>
          <w:rFonts w:ascii="Meiryo UI" w:hAnsi="Meiryo UI"/>
          <w:sz w:val="20"/>
        </w:rPr>
        <w:t>第三者割当による自己株式処分（議決権不行使条件付き）でファッション人材育成財団を設立。</w:t>
      </w:r>
    </w:p>
    <w:p>
      <w:pPr>
        <w:pStyle w:val="ListBullet"/>
      </w:pPr>
      <w:r>
        <w:rPr>
          <w:rFonts w:ascii="Meiryo UI" w:hAnsi="Meiryo UI"/>
          <w:sz w:val="20"/>
        </w:rPr>
        <w:t>コーポレートブランディング効果: ESG評価向上、長期的な人材確保</w:t>
      </w:r>
    </w:p>
    <w:p>
      <w:pPr>
        <w:pStyle w:val="ListBullet"/>
      </w:pPr>
      <w:r>
        <w:rPr>
          <w:rFonts w:ascii="Meiryo UI" w:hAnsi="Meiryo UI"/>
          <w:sz w:val="20"/>
        </w:rPr>
        <w:t>ガバナンス: 議決権不行使条件付きで既存株主への影響なし</w:t>
      </w:r>
    </w:p>
    <w:p/>
    <w:p>
      <w:r>
        <w:t>──────────────────────────────────────────────────</w:t>
      </w:r>
    </w:p>
    <w:p/>
    <w:p>
      <w:pPr>
        <w:pStyle w:val="Heading2"/>
      </w:pPr>
      <w:r>
        <w:rPr>
          <w:rFonts w:ascii="Meiryo UI" w:hAnsi="Meiryo UI"/>
          <w:color w:val="2E74B5"/>
        </w:rPr>
        <w:t>3. 四半期業績トレンド（本業回復の証拠）</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OPマージン</w:t>
            </w:r>
          </w:p>
        </w:tc>
        <w:tc>
          <w:tcPr>
            <w:tcW w:type="dxa" w:w="1881"/>
            <w:shd w:val="clear" w:color="auto" w:fill="2E74B5"/>
          </w:tcPr>
          <w:p>
            <w:r>
              <w:rPr>
                <w:rFonts w:ascii="Meiryo UI" w:hAnsi="Meiryo UI"/>
                <w:b/>
                <w:color w:val="FFFFFF"/>
                <w:sz w:val="18"/>
              </w:rPr>
              <w:t>前年同期OP</w:t>
            </w:r>
          </w:p>
        </w:tc>
      </w:tr>
      <w:tr>
        <w:tc>
          <w:tcPr>
            <w:tcW w:type="dxa" w:w="1881"/>
          </w:tcPr>
          <w:p>
            <w:r>
              <w:rPr>
                <w:rFonts w:ascii="Meiryo UI" w:hAnsi="Meiryo UI"/>
                <w:sz w:val="18"/>
              </w:rPr>
              <w:t>FY2025 Q1 (Mar-May 24)</w:t>
            </w:r>
          </w:p>
        </w:tc>
        <w:tc>
          <w:tcPr>
            <w:tcW w:type="dxa" w:w="1881"/>
          </w:tcPr>
          <w:p>
            <w:r>
              <w:rPr>
                <w:rFonts w:ascii="Meiryo UI" w:hAnsi="Meiryo UI"/>
                <w:sz w:val="18"/>
              </w:rPr>
              <w:t>¥39,295M</w:t>
            </w:r>
          </w:p>
        </w:tc>
        <w:tc>
          <w:tcPr>
            <w:tcW w:type="dxa" w:w="1881"/>
          </w:tcPr>
          <w:p>
            <w:r>
              <w:rPr>
                <w:rFonts w:ascii="Meiryo UI" w:hAnsi="Meiryo UI"/>
                <w:sz w:val="18"/>
              </w:rPr>
              <w:t>¥1,018M</w:t>
            </w:r>
          </w:p>
        </w:tc>
        <w:tc>
          <w:tcPr>
            <w:tcW w:type="dxa" w:w="1881"/>
          </w:tcPr>
          <w:p>
            <w:r>
              <w:rPr>
                <w:rFonts w:ascii="Meiryo UI" w:hAnsi="Meiryo UI"/>
                <w:sz w:val="18"/>
              </w:rPr>
              <w:t>2.6%</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FY2025 Q2 (Jun-Aug 24)</w:t>
            </w:r>
          </w:p>
        </w:tc>
        <w:tc>
          <w:tcPr>
            <w:tcW w:type="dxa" w:w="1881"/>
            <w:shd w:val="clear" w:color="auto" w:fill="DDEBF7"/>
          </w:tcPr>
          <w:p>
            <w:r>
              <w:rPr>
                <w:rFonts w:ascii="Meiryo UI" w:hAnsi="Meiryo UI"/>
                <w:sz w:val="18"/>
              </w:rPr>
              <w:t>¥35,935M</w:t>
            </w:r>
          </w:p>
        </w:tc>
        <w:tc>
          <w:tcPr>
            <w:tcW w:type="dxa" w:w="1881"/>
            <w:shd w:val="clear" w:color="auto" w:fill="DDEBF7"/>
          </w:tcPr>
          <w:p>
            <w:r>
              <w:rPr>
                <w:rFonts w:ascii="Meiryo UI" w:hAnsi="Meiryo UI"/>
                <w:sz w:val="18"/>
              </w:rPr>
              <w:t>▲¥1,239M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FY2025 Q3 (Sep-Nov 24)</w:t>
            </w:r>
          </w:p>
        </w:tc>
        <w:tc>
          <w:tcPr>
            <w:tcW w:type="dxa" w:w="1881"/>
          </w:tcPr>
          <w:p>
            <w:r>
              <w:rPr>
                <w:rFonts w:ascii="Meiryo UI" w:hAnsi="Meiryo UI"/>
                <w:sz w:val="18"/>
              </w:rPr>
              <w:t>¥40,821M</w:t>
            </w:r>
          </w:p>
        </w:tc>
        <w:tc>
          <w:tcPr>
            <w:tcW w:type="dxa" w:w="1881"/>
          </w:tcPr>
          <w:p>
            <w:r>
              <w:rPr>
                <w:rFonts w:ascii="Meiryo UI" w:hAnsi="Meiryo UI"/>
                <w:sz w:val="18"/>
              </w:rPr>
              <w:t>¥2,399M</w:t>
            </w:r>
          </w:p>
        </w:tc>
        <w:tc>
          <w:tcPr>
            <w:tcW w:type="dxa" w:w="1881"/>
          </w:tcPr>
          <w:p>
            <w:r>
              <w:rPr>
                <w:rFonts w:ascii="Meiryo UI" w:hAnsi="Meiryo UI"/>
                <w:sz w:val="18"/>
              </w:rPr>
              <w:t>5.9%</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FY2025 Q4 (Dec-Feb 25)</w:t>
            </w:r>
          </w:p>
        </w:tc>
        <w:tc>
          <w:tcPr>
            <w:tcW w:type="dxa" w:w="1881"/>
            <w:shd w:val="clear" w:color="auto" w:fill="DDEBF7"/>
          </w:tcPr>
          <w:p>
            <w:r>
              <w:rPr>
                <w:rFonts w:ascii="Meiryo UI" w:hAnsi="Meiryo UI"/>
                <w:sz w:val="18"/>
              </w:rPr>
              <w:t>¥40,555M</w:t>
            </w:r>
          </w:p>
        </w:tc>
        <w:tc>
          <w:tcPr>
            <w:tcW w:type="dxa" w:w="1881"/>
            <w:shd w:val="clear" w:color="auto" w:fill="DDEBF7"/>
          </w:tcPr>
          <w:p>
            <w:r>
              <w:rPr>
                <w:rFonts w:ascii="Meiryo UI" w:hAnsi="Meiryo UI"/>
                <w:sz w:val="18"/>
              </w:rPr>
              <w:t>▲¥542M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¥15,071M純利※</w:t>
            </w:r>
          </w:p>
        </w:tc>
      </w:tr>
      <w:tr>
        <w:tc>
          <w:tcPr>
            <w:tcW w:type="dxa" w:w="1881"/>
          </w:tcPr>
          <w:p>
            <w:r>
              <w:rPr>
                <w:rFonts w:ascii="Meiryo UI" w:hAnsi="Meiryo UI"/>
                <w:sz w:val="18"/>
              </w:rPr>
              <w:t>FY2026 Q1 (Mar-May 25)</w:t>
            </w:r>
          </w:p>
        </w:tc>
        <w:tc>
          <w:tcPr>
            <w:tcW w:type="dxa" w:w="1881"/>
          </w:tcPr>
          <w:p>
            <w:r>
              <w:rPr>
                <w:rFonts w:ascii="Meiryo UI" w:hAnsi="Meiryo UI"/>
                <w:sz w:val="18"/>
              </w:rPr>
              <w:t>¥35,605M</w:t>
            </w:r>
          </w:p>
        </w:tc>
        <w:tc>
          <w:tcPr>
            <w:tcW w:type="dxa" w:w="1881"/>
          </w:tcPr>
          <w:p>
            <w:r>
              <w:rPr>
                <w:rFonts w:ascii="Meiryo UI" w:hAnsi="Meiryo UI"/>
                <w:sz w:val="18"/>
              </w:rPr>
              <w:t>¥1,514M</w:t>
            </w:r>
          </w:p>
        </w:tc>
        <w:tc>
          <w:tcPr>
            <w:tcW w:type="dxa" w:w="1881"/>
          </w:tcPr>
          <w:p>
            <w:r>
              <w:rPr>
                <w:rFonts w:ascii="Meiryo UI" w:hAnsi="Meiryo UI"/>
                <w:sz w:val="18"/>
              </w:rPr>
              <w:t>4.3%</w:t>
            </w:r>
          </w:p>
        </w:tc>
        <w:tc>
          <w:tcPr>
            <w:tcW w:type="dxa" w:w="1881"/>
          </w:tcPr>
          <w:p>
            <w:r>
              <w:rPr>
                <w:rFonts w:ascii="Meiryo UI" w:hAnsi="Meiryo UI"/>
                <w:sz w:val="18"/>
              </w:rPr>
              <w:t>+48.7%</w:t>
            </w:r>
          </w:p>
        </w:tc>
      </w:tr>
      <w:tr>
        <w:tc>
          <w:tcPr>
            <w:tcW w:type="dxa" w:w="1881"/>
            <w:shd w:val="clear" w:color="auto" w:fill="DDEBF7"/>
          </w:tcPr>
          <w:p>
            <w:r>
              <w:rPr>
                <w:rFonts w:ascii="Meiryo UI" w:hAnsi="Meiryo UI"/>
                <w:sz w:val="18"/>
              </w:rPr>
              <w:t>FY2026 Q2 (Jun-Aug 25)</w:t>
            </w:r>
          </w:p>
        </w:tc>
        <w:tc>
          <w:tcPr>
            <w:tcW w:type="dxa" w:w="1881"/>
            <w:shd w:val="clear" w:color="auto" w:fill="DDEBF7"/>
          </w:tcPr>
          <w:p>
            <w:r>
              <w:rPr>
                <w:rFonts w:ascii="Meiryo UI" w:hAnsi="Meiryo UI"/>
                <w:sz w:val="18"/>
              </w:rPr>
              <w:t>¥30,562M</w:t>
            </w:r>
          </w:p>
        </w:tc>
        <w:tc>
          <w:tcPr>
            <w:tcW w:type="dxa" w:w="1881"/>
            <w:shd w:val="clear" w:color="auto" w:fill="DDEBF7"/>
          </w:tcPr>
          <w:p>
            <w:r>
              <w:rPr>
                <w:rFonts w:ascii="Meiryo UI" w:hAnsi="Meiryo UI"/>
                <w:sz w:val="18"/>
              </w:rPr>
              <w:t>▲¥874M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赤字縮小</w:t>
            </w:r>
          </w:p>
        </w:tc>
      </w:tr>
      <w:tr>
        <w:tc>
          <w:tcPr>
            <w:tcW w:type="dxa" w:w="1881"/>
          </w:tcPr>
          <w:p>
            <w:r>
              <w:rPr>
                <w:rFonts w:ascii="Meiryo UI" w:hAnsi="Meiryo UI"/>
                <w:sz w:val="18"/>
              </w:rPr>
              <w:t>FY2026 Q3 (Sep-Nov 25)</w:t>
            </w:r>
          </w:p>
        </w:tc>
        <w:tc>
          <w:tcPr>
            <w:tcW w:type="dxa" w:w="1881"/>
          </w:tcPr>
          <w:p>
            <w:r>
              <w:rPr>
                <w:rFonts w:ascii="Meiryo UI" w:hAnsi="Meiryo UI"/>
                <w:sz w:val="18"/>
              </w:rPr>
              <w:t>¥50,444M</w:t>
            </w:r>
          </w:p>
        </w:tc>
        <w:tc>
          <w:tcPr>
            <w:tcW w:type="dxa" w:w="1881"/>
          </w:tcPr>
          <w:p>
            <w:r>
              <w:rPr>
                <w:rFonts w:ascii="Meiryo UI" w:hAnsi="Meiryo UI"/>
                <w:sz w:val="18"/>
              </w:rPr>
              <w:t>¥3,063M</w:t>
            </w:r>
          </w:p>
        </w:tc>
        <w:tc>
          <w:tcPr>
            <w:tcW w:type="dxa" w:w="1881"/>
          </w:tcPr>
          <w:p>
            <w:r>
              <w:rPr>
                <w:rFonts w:ascii="Meiryo UI" w:hAnsi="Meiryo UI"/>
                <w:sz w:val="18"/>
              </w:rPr>
              <w:t>6.1%</w:t>
            </w:r>
          </w:p>
        </w:tc>
        <w:tc>
          <w:tcPr>
            <w:tcW w:type="dxa" w:w="1881"/>
          </w:tcPr>
          <w:p>
            <w:r>
              <w:rPr>
                <w:rFonts w:ascii="Meiryo UI" w:hAnsi="Meiryo UI"/>
                <w:sz w:val="18"/>
              </w:rPr>
              <w:t>+27.7%</w:t>
            </w:r>
          </w:p>
        </w:tc>
      </w:tr>
      <w:tr>
        <w:tc>
          <w:tcPr>
            <w:tcW w:type="dxa" w:w="1881"/>
            <w:shd w:val="clear" w:color="auto" w:fill="DDEBF7"/>
          </w:tcPr>
          <w:p>
            <w:r>
              <w:rPr>
                <w:rFonts w:ascii="Meiryo UI" w:hAnsi="Meiryo UI"/>
                <w:sz w:val="18"/>
              </w:rPr>
              <w:t>FY2026 Q4 (Dec-Feb 26)</w:t>
            </w:r>
          </w:p>
        </w:tc>
        <w:tc>
          <w:tcPr>
            <w:tcW w:type="dxa" w:w="1881"/>
            <w:shd w:val="clear" w:color="auto" w:fill="DDEBF7"/>
          </w:tcPr>
          <w:p>
            <w:r>
              <w:rPr>
                <w:rFonts w:ascii="Meiryo UI" w:hAnsi="Meiryo UI"/>
                <w:sz w:val="18"/>
              </w:rPr>
              <w:t>¥50,474M</w:t>
            </w:r>
          </w:p>
        </w:tc>
        <w:tc>
          <w:tcPr>
            <w:tcW w:type="dxa" w:w="1881"/>
            <w:shd w:val="clear" w:color="auto" w:fill="DDEBF7"/>
          </w:tcPr>
          <w:p>
            <w:r>
              <w:rPr>
                <w:rFonts w:ascii="Meiryo UI" w:hAnsi="Meiryo UI"/>
                <w:sz w:val="18"/>
              </w:rPr>
              <w:t>¥622M</w:t>
            </w:r>
          </w:p>
        </w:tc>
        <w:tc>
          <w:tcPr>
            <w:tcW w:type="dxa" w:w="1881"/>
            <w:shd w:val="clear" w:color="auto" w:fill="DDEBF7"/>
          </w:tcPr>
          <w:p>
            <w:r>
              <w:rPr>
                <w:rFonts w:ascii="Meiryo UI" w:hAnsi="Meiryo UI"/>
                <w:sz w:val="18"/>
              </w:rPr>
              <w:t>1.2%</w:t>
            </w:r>
          </w:p>
        </w:tc>
        <w:tc>
          <w:tcPr>
            <w:tcW w:type="dxa" w:w="1881"/>
            <w:shd w:val="clear" w:color="auto" w:fill="DDEBF7"/>
          </w:tcPr>
          <w:p>
            <w:r>
              <w:rPr>
                <w:rFonts w:ascii="Meiryo UI" w:hAnsi="Meiryo UI"/>
                <w:sz w:val="18"/>
              </w:rPr>
              <w:t>黒字転換</w:t>
            </w:r>
          </w:p>
        </w:tc>
      </w:tr>
    </w:tbl>
    <w:p/>
    <w:p>
      <w:r>
        <w:rPr>
          <w:rFonts w:ascii="Meiryo UI" w:hAnsi="Meiryo UI"/>
          <w:sz w:val="20"/>
        </w:rPr>
        <w:t>全4四半期でOP前年比改善。Q3（秋冬）がTSIの主稼ぎ期（OPマージン6.1%）。Q2の夏場赤字は構造的課題だが、FY2027はM&amp;A・EC強化で改善余地あり。</w:t>
      </w:r>
    </w:p>
    <w:p/>
    <w:p>
      <w:r>
        <w:t>──────────────────────────────────────────────────</w:t>
      </w:r>
    </w:p>
    <w:p/>
    <w:p>
      <w:pPr>
        <w:pStyle w:val="Heading2"/>
      </w:pPr>
      <w:r>
        <w:rPr>
          <w:rFonts w:ascii="Meiryo UI" w:hAnsi="Meiryo UI"/>
          <w:color w:val="2E74B5"/>
        </w:rPr>
        <w:t>4. 月次先行指標との整合</w:t>
      </w:r>
    </w:p>
    <w:p/>
    <w:p>
      <w:r>
        <w:rPr>
          <w:rFonts w:ascii="Meiryo UI" w:hAnsi="Meiryo UI"/>
          <w:sz w:val="20"/>
        </w:rPr>
        <w:t>我々メモリ「月次売上進捗（第2弾）」: TSI +36.2% 突出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月次データ</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2026年3月 全店</w:t>
            </w:r>
          </w:p>
        </w:tc>
        <w:tc>
          <w:tcPr>
            <w:tcW w:type="dxa" w:w="3135"/>
          </w:tcPr>
          <w:p>
            <w:r>
              <w:rPr>
                <w:rFonts w:ascii="Meiryo UI" w:hAnsi="Meiryo UI"/>
                <w:sz w:val="18"/>
              </w:rPr>
              <w:t>+36.2%</w:t>
            </w:r>
          </w:p>
        </w:tc>
        <w:tc>
          <w:tcPr>
            <w:tcW w:type="dxa" w:w="3135"/>
          </w:tcPr>
          <w:p>
            <w:r>
              <w:rPr>
                <w:rFonts w:ascii="Meiryo UI" w:hAnsi="Meiryo UI"/>
                <w:sz w:val="18"/>
              </w:rPr>
              <w:t>9銘柄中断然トップ</w:t>
            </w:r>
          </w:p>
        </w:tc>
      </w:tr>
      <w:tr>
        <w:tc>
          <w:tcPr>
            <w:tcW w:type="dxa" w:w="3135"/>
            <w:shd w:val="clear" w:color="auto" w:fill="DDEBF7"/>
          </w:tcPr>
          <w:p>
            <w:r>
              <w:rPr>
                <w:rFonts w:ascii="Meiryo UI" w:hAnsi="Meiryo UI"/>
                <w:sz w:val="18"/>
              </w:rPr>
              <w:t>比較対象</w:t>
            </w:r>
          </w:p>
        </w:tc>
        <w:tc>
          <w:tcPr>
            <w:tcW w:type="dxa" w:w="3135"/>
            <w:shd w:val="clear" w:color="auto" w:fill="DDEBF7"/>
          </w:tcPr>
          <w:p>
            <w:r>
              <w:rPr>
                <w:rFonts w:ascii="Meiryo UI" w:hAnsi="Meiryo UI"/>
                <w:sz w:val="18"/>
              </w:rPr>
              <w:t>ユニシアHD+30.4%（2位）</w:t>
            </w:r>
          </w:p>
        </w:tc>
        <w:tc>
          <w:tcPr>
            <w:tcW w:type="dxa" w:w="3135"/>
            <w:shd w:val="clear" w:color="auto" w:fill="DDEBF7"/>
          </w:tcPr>
          <w:p>
            <w:r>
              <w:rPr>
                <w:rFonts w:ascii="Meiryo UI" w:hAnsi="Meiryo UI"/>
                <w:sz w:val="18"/>
              </w:rPr>
              <w:t>TSIが+5.8pt差でリード</w:t>
            </w:r>
          </w:p>
        </w:tc>
      </w:tr>
      <w:tr>
        <w:tc>
          <w:tcPr>
            <w:tcW w:type="dxa" w:w="3135"/>
          </w:tcPr>
          <w:p>
            <w:r>
              <w:rPr>
                <w:rFonts w:ascii="Meiryo UI" w:hAnsi="Meiryo UI"/>
                <w:sz w:val="18"/>
              </w:rPr>
              <w:t>モメンタム</w:t>
            </w:r>
          </w:p>
        </w:tc>
        <w:tc>
          <w:tcPr>
            <w:tcW w:type="dxa" w:w="3135"/>
          </w:tcPr>
          <w:p>
            <w:r>
              <w:rPr>
                <w:rFonts w:ascii="Meiryo UI" w:hAnsi="Meiryo UI"/>
                <w:sz w:val="18"/>
              </w:rPr>
              <w:t>FY2026 Q4の黒字転換と整合</w:t>
            </w:r>
          </w:p>
        </w:tc>
        <w:tc>
          <w:tcPr>
            <w:tcW w:type="dxa" w:w="3135"/>
          </w:tcPr>
          <w:p>
            <w:r>
              <w:rPr>
                <w:rFonts w:ascii="Meiryo UI" w:hAnsi="Meiryo UI"/>
                <w:sz w:val="18"/>
              </w:rPr>
              <w:t>月次が業績を先行して示唆していた</w:t>
            </w:r>
          </w:p>
        </w:tc>
      </w:tr>
    </w:tbl>
    <w:p/>
    <w:p>
      <w:r>
        <w:rPr>
          <w:rFonts w:ascii="Meiryo UI" w:hAnsi="Meiryo UI"/>
          <w:sz w:val="20"/>
        </w:rPr>
        <w:t>3月月次+36.2%はFY2027の売上¥200,000M (+19.7%)ガイダンスの信頼性を強く裏付け。</w:t>
      </w:r>
    </w:p>
    <w:p/>
    <w:p>
      <w:r>
        <w:t>──────────────────────────────────────────────────</w:t>
      </w:r>
    </w:p>
    <w:p/>
    <w:p>
      <w:pPr>
        <w:pStyle w:val="Heading2"/>
      </w:pPr>
      <w:r>
        <w:rPr>
          <w:rFonts w:ascii="Meiryo UI" w:hAnsi="Meiryo UI"/>
          <w:color w:val="2E74B5"/>
        </w:rPr>
        <w:t>5. バリュエーション分析</w:t>
      </w:r>
    </w:p>
    <w:p/>
    <w:p>
      <w:pPr>
        <w:pStyle w:val="Heading3"/>
      </w:pPr>
      <w:r>
        <w:rPr>
          <w:rFonts w:ascii="Meiryo UI" w:hAnsi="Meiryo UI"/>
          <w:color w:val="2E74B5"/>
        </w:rPr>
        <w:t>現在指標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終値基準</w:t>
            </w:r>
          </w:p>
        </w:tc>
        <w:tc>
          <w:tcPr>
            <w:tcW w:type="dxa" w:w="3135"/>
            <w:shd w:val="clear" w:color="auto" w:fill="2E74B5"/>
          </w:tcPr>
          <w:p>
            <w:r>
              <w:rPr>
                <w:rFonts w:ascii="Meiryo UI" w:hAnsi="Meiryo UI"/>
                <w:b/>
                <w:color w:val="FFFFFF"/>
                <w:sz w:val="18"/>
              </w:rPr>
              <w:t>PTS後（¥1,325）</w:t>
            </w:r>
          </w:p>
        </w:tc>
      </w:tr>
      <w:tr>
        <w:tc>
          <w:tcPr>
            <w:tcW w:type="dxa" w:w="3135"/>
          </w:tcPr>
          <w:p>
            <w:r>
              <w:rPr>
                <w:rFonts w:ascii="Meiryo UI" w:hAnsi="Meiryo UI"/>
                <w:sz w:val="18"/>
              </w:rPr>
              <w:t>株価</w:t>
            </w:r>
          </w:p>
        </w:tc>
        <w:tc>
          <w:tcPr>
            <w:tcW w:type="dxa" w:w="3135"/>
          </w:tcPr>
          <w:p>
            <w:r>
              <w:rPr>
                <w:rFonts w:ascii="Meiryo UI" w:hAnsi="Meiryo UI"/>
                <w:sz w:val="18"/>
              </w:rPr>
              <w:t>¥1,126</w:t>
            </w:r>
          </w:p>
        </w:tc>
        <w:tc>
          <w:tcPr>
            <w:tcW w:type="dxa" w:w="3135"/>
          </w:tcPr>
          <w:p>
            <w:r>
              <w:rPr>
                <w:rFonts w:ascii="Meiryo UI" w:hAnsi="Meiryo UI"/>
                <w:sz w:val="18"/>
              </w:rPr>
              <w:t>¥1,325</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¥714億</w:t>
            </w:r>
          </w:p>
        </w:tc>
        <w:tc>
          <w:tcPr>
            <w:tcW w:type="dxa" w:w="3135"/>
            <w:shd w:val="clear" w:color="auto" w:fill="DDEBF7"/>
          </w:tcPr>
          <w:p>
            <w:r>
              <w:rPr>
                <w:rFonts w:ascii="Meiryo UI" w:hAnsi="Meiryo UI"/>
                <w:sz w:val="18"/>
              </w:rPr>
              <w:t>¥840億</w:t>
            </w:r>
          </w:p>
        </w:tc>
      </w:tr>
      <w:tr>
        <w:tc>
          <w:tcPr>
            <w:tcW w:type="dxa" w:w="3135"/>
          </w:tcPr>
          <w:p>
            <w:r>
              <w:rPr>
                <w:rFonts w:ascii="Meiryo UI" w:hAnsi="Meiryo UI"/>
                <w:sz w:val="18"/>
              </w:rPr>
              <w:t>予想PER</w:t>
            </w:r>
          </w:p>
        </w:tc>
        <w:tc>
          <w:tcPr>
            <w:tcW w:type="dxa" w:w="3135"/>
          </w:tcPr>
          <w:p>
            <w:r>
              <w:rPr>
                <w:rFonts w:ascii="Meiryo UI" w:hAnsi="Meiryo UI"/>
                <w:sz w:val="18"/>
              </w:rPr>
              <w:t>8.5x</w:t>
            </w:r>
          </w:p>
        </w:tc>
        <w:tc>
          <w:tcPr>
            <w:tcW w:type="dxa" w:w="3135"/>
          </w:tcPr>
          <w:p>
            <w:r>
              <w:rPr>
                <w:rFonts w:ascii="Meiryo UI" w:hAnsi="Meiryo UI"/>
                <w:sz w:val="18"/>
              </w:rPr>
              <w:t>10.0x</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0.68x</w:t>
            </w:r>
          </w:p>
        </w:tc>
        <w:tc>
          <w:tcPr>
            <w:tcW w:type="dxa" w:w="3135"/>
            <w:shd w:val="clear" w:color="auto" w:fill="DDEBF7"/>
          </w:tcPr>
          <w:p>
            <w:r>
              <w:rPr>
                <w:rFonts w:ascii="Meiryo UI" w:hAnsi="Meiryo UI"/>
                <w:sz w:val="18"/>
              </w:rPr>
              <w:t>0.80x</w:t>
            </w:r>
          </w:p>
        </w:tc>
      </w:tr>
      <w:tr>
        <w:tc>
          <w:tcPr>
            <w:tcW w:type="dxa" w:w="3135"/>
          </w:tcPr>
          <w:p>
            <w:r>
              <w:rPr>
                <w:rFonts w:ascii="Meiryo UI" w:hAnsi="Meiryo UI"/>
                <w:sz w:val="18"/>
              </w:rPr>
              <w:t>配当利回り</w:t>
            </w:r>
          </w:p>
        </w:tc>
        <w:tc>
          <w:tcPr>
            <w:tcW w:type="dxa" w:w="3135"/>
          </w:tcPr>
          <w:p>
            <w:r>
              <w:rPr>
                <w:rFonts w:ascii="Meiryo UI" w:hAnsi="Meiryo UI"/>
                <w:sz w:val="18"/>
              </w:rPr>
              <w:t>6.2%</w:t>
            </w:r>
          </w:p>
        </w:tc>
        <w:tc>
          <w:tcPr>
            <w:tcW w:type="dxa" w:w="3135"/>
          </w:tcPr>
          <w:p>
            <w:r>
              <w:rPr>
                <w:rFonts w:ascii="Meiryo UI" w:hAnsi="Meiryo UI"/>
                <w:sz w:val="18"/>
              </w:rPr>
              <w:t>5.3%</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¥1,652</w:t>
            </w:r>
          </w:p>
        </w:tc>
        <w:tc>
          <w:tcPr>
            <w:tcW w:type="dxa" w:w="3135"/>
            <w:shd w:val="clear" w:color="auto" w:fill="DDEBF7"/>
          </w:tcPr>
          <w:p>
            <w:r>
              <w:rPr>
                <w:rFonts w:ascii="Meiryo UI" w:hAnsi="Meiryo UI"/>
                <w:sz w:val="18"/>
              </w:rPr>
              <w:t>¥1,652（不変）</w:t>
            </w:r>
          </w:p>
        </w:tc>
      </w:tr>
      <w:tr>
        <w:tc>
          <w:tcPr>
            <w:tcW w:type="dxa" w:w="3135"/>
          </w:tcPr>
          <w:p>
            <w:r>
              <w:rPr>
                <w:rFonts w:ascii="Meiryo UI" w:hAnsi="Meiryo UI"/>
                <w:sz w:val="18"/>
              </w:rPr>
              <w:t>ROE（FY2027予）</w:t>
            </w:r>
          </w:p>
        </w:tc>
        <w:tc>
          <w:tcPr>
            <w:tcW w:type="dxa" w:w="3135"/>
          </w:tcPr>
          <w:p>
            <w:r>
              <w:rPr>
                <w:rFonts w:ascii="Meiryo UI" w:hAnsi="Meiryo UI"/>
                <w:sz w:val="18"/>
              </w:rPr>
              <w:t>—</w:t>
            </w:r>
          </w:p>
        </w:tc>
        <w:tc>
          <w:tcPr>
            <w:tcW w:type="dxa" w:w="3135"/>
          </w:tcPr>
          <w:p>
            <w:r>
              <w:rPr>
                <w:rFonts w:ascii="Meiryo UI" w:hAnsi="Meiryo UI"/>
                <w:sz w:val="18"/>
              </w:rPr>
              <w:t>8.0%</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6.42x</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WACC・理論PBR</w:t>
      </w:r>
    </w:p>
    <w:p/>
    <w:p>
      <w:pPr>
        <w:pStyle w:val="ListBullet"/>
      </w:pPr>
      <w:r>
        <w:rPr>
          <w:rFonts w:ascii="Meiryo UI" w:hAnsi="Meiryo UI"/>
          <w:sz w:val="20"/>
        </w:rPr>
        <w:t>JGB10Y: 2.425%、β推定: 1.1（アパレル業界）、ERP: 5.5%</w:t>
      </w:r>
    </w:p>
    <w:p>
      <w:pPr>
        <w:pStyle w:val="ListBullet"/>
      </w:pPr>
      <w:r>
        <w:rPr>
          <w:rFonts w:ascii="Meiryo UI" w:hAnsi="Meiryo UI"/>
          <w:sz w:val="20"/>
        </w:rPr>
        <w:t>WACC = 2.425% + 1.1 × 5.5% = 8.5%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g前提</w:t>
            </w:r>
          </w:p>
        </w:tc>
        <w:tc>
          <w:tcPr>
            <w:tcW w:type="dxa" w:w="3135"/>
            <w:shd w:val="clear" w:color="auto" w:fill="2E74B5"/>
          </w:tcPr>
          <w:p>
            <w:r>
              <w:rPr>
                <w:rFonts w:ascii="Meiryo UI" w:hAnsi="Meiryo UI"/>
                <w:b/>
                <w:color w:val="FFFFFF"/>
                <w:sz w:val="18"/>
              </w:rPr>
              <w:t>理論PBR</w:t>
            </w:r>
          </w:p>
        </w:tc>
        <w:tc>
          <w:tcPr>
            <w:tcW w:type="dxa" w:w="3135"/>
            <w:shd w:val="clear" w:color="auto" w:fill="2E74B5"/>
          </w:tcPr>
          <w:p>
            <w:r>
              <w:rPr>
                <w:rFonts w:ascii="Meiryo UI" w:hAnsi="Meiryo UI"/>
                <w:b/>
                <w:color w:val="FFFFFF"/>
                <w:sz w:val="18"/>
              </w:rPr>
              <w:t>PTS後PBR 0.80x との乖離</w:t>
            </w:r>
          </w:p>
        </w:tc>
      </w:tr>
      <w:tr>
        <w:tc>
          <w:tcPr>
            <w:tcW w:type="dxa" w:w="3135"/>
          </w:tcPr>
          <w:p>
            <w:r>
              <w:rPr>
                <w:rFonts w:ascii="Meiryo UI" w:hAnsi="Meiryo UI"/>
                <w:sz w:val="18"/>
              </w:rPr>
              <w:t>g=2%</w:t>
            </w:r>
          </w:p>
        </w:tc>
        <w:tc>
          <w:tcPr>
            <w:tcW w:type="dxa" w:w="3135"/>
          </w:tcPr>
          <w:p>
            <w:r>
              <w:rPr>
                <w:rFonts w:ascii="Meiryo UI" w:hAnsi="Meiryo UI"/>
                <w:sz w:val="18"/>
              </w:rPr>
              <w:t>0.91x</w:t>
            </w:r>
          </w:p>
        </w:tc>
        <w:tc>
          <w:tcPr>
            <w:tcW w:type="dxa" w:w="3135"/>
          </w:tcPr>
          <w:p>
            <w:r>
              <w:rPr>
                <w:rFonts w:ascii="Meiryo UI" w:hAnsi="Meiryo UI"/>
                <w:sz w:val="18"/>
              </w:rPr>
              <w:t>割安（+14%余地）</w:t>
            </w:r>
          </w:p>
        </w:tc>
      </w:tr>
      <w:tr>
        <w:tc>
          <w:tcPr>
            <w:tcW w:type="dxa" w:w="3135"/>
            <w:shd w:val="clear" w:color="auto" w:fill="DDEBF7"/>
          </w:tcPr>
          <w:p>
            <w:r>
              <w:rPr>
                <w:rFonts w:ascii="Meiryo UI" w:hAnsi="Meiryo UI"/>
                <w:sz w:val="18"/>
              </w:rPr>
              <w:t>g=3%</w:t>
            </w:r>
          </w:p>
        </w:tc>
        <w:tc>
          <w:tcPr>
            <w:tcW w:type="dxa" w:w="3135"/>
            <w:shd w:val="clear" w:color="auto" w:fill="DDEBF7"/>
          </w:tcPr>
          <w:p>
            <w:r>
              <w:rPr>
                <w:rFonts w:ascii="Meiryo UI" w:hAnsi="Meiryo UI"/>
                <w:sz w:val="18"/>
              </w:rPr>
              <w:t>0.98x</w:t>
            </w:r>
          </w:p>
        </w:tc>
        <w:tc>
          <w:tcPr>
            <w:tcW w:type="dxa" w:w="3135"/>
            <w:shd w:val="clear" w:color="auto" w:fill="DDEBF7"/>
          </w:tcPr>
          <w:p>
            <w:r>
              <w:rPr>
                <w:rFonts w:ascii="Meiryo UI" w:hAnsi="Meiryo UI"/>
                <w:sz w:val="18"/>
              </w:rPr>
              <w:t>割安（+22%余地）</w:t>
            </w:r>
          </w:p>
        </w:tc>
      </w:tr>
      <w:tr>
        <w:tc>
          <w:tcPr>
            <w:tcW w:type="dxa" w:w="3135"/>
          </w:tcPr>
          <w:p>
            <w:r>
              <w:rPr>
                <w:rFonts w:ascii="Meiryo UI" w:hAnsi="Meiryo UI"/>
                <w:sz w:val="18"/>
              </w:rPr>
              <w:t>g=4%</w:t>
            </w:r>
          </w:p>
        </w:tc>
        <w:tc>
          <w:tcPr>
            <w:tcW w:type="dxa" w:w="3135"/>
          </w:tcPr>
          <w:p>
            <w:r>
              <w:rPr>
                <w:rFonts w:ascii="Meiryo UI" w:hAnsi="Meiryo UI"/>
                <w:sz w:val="18"/>
              </w:rPr>
              <w:t>1.09x</w:t>
            </w:r>
          </w:p>
        </w:tc>
        <w:tc>
          <w:tcPr>
            <w:tcW w:type="dxa" w:w="3135"/>
          </w:tcPr>
          <w:p>
            <w:r>
              <w:rPr>
                <w:rFonts w:ascii="Meiryo UI" w:hAnsi="Meiryo UI"/>
                <w:sz w:val="18"/>
              </w:rPr>
              <w:t>割安（+36%余地）</w:t>
            </w:r>
          </w:p>
        </w:tc>
      </w:tr>
    </w:tbl>
    <w:p/>
    <w:p>
      <w:r>
        <w:rPr>
          <w:rFonts w:ascii="Meiryo UI" w:hAnsi="Meiryo UI"/>
          <w:sz w:val="20"/>
        </w:rPr>
        <w:t>PTS後でもPBR0.80x &lt; 理論値0.91〜1.09x → 割安圏内</w:t>
      </w:r>
    </w:p>
    <w:p/>
    <w:p>
      <w:pPr>
        <w:pStyle w:val="Heading3"/>
      </w:pPr>
      <w:r>
        <w:rPr>
          <w:rFonts w:ascii="Meiryo UI" w:hAnsi="Meiryo UI"/>
          <w:color w:val="2E74B5"/>
        </w:rPr>
        <w:t>目標株価算定</w:t>
      </w:r>
    </w:p>
    <w:p/>
    <w:p>
      <w:r>
        <w:rPr>
          <w:rFonts w:ascii="Meiryo UI" w:hAnsi="Meiryo UI"/>
          <w:sz w:val="20"/>
        </w:rPr>
        <w:t>ベースケース: ¥1,650（BPS × PBR 1.0x）</w:t>
      </w:r>
    </w:p>
    <w:p>
      <w:pPr>
        <w:pStyle w:val="ListBullet"/>
      </w:pPr>
      <w:r>
        <w:rPr>
          <w:rFonts w:ascii="Meiryo UI" w:hAnsi="Meiryo UI"/>
          <w:sz w:val="20"/>
        </w:rPr>
        <w:t>自社株買い完了後: BPS ≒ ¥1,652維持（取得コストが純資産を相殺）</w:t>
      </w:r>
    </w:p>
    <w:p>
      <w:pPr>
        <w:pStyle w:val="ListBullet"/>
      </w:pPr>
      <w:r>
        <w:rPr>
          <w:rFonts w:ascii="Meiryo UI" w:hAnsi="Meiryo UI"/>
          <w:sz w:val="20"/>
        </w:rPr>
        <w:t>FY2027 OP¥7,500M達成 → ROE10%超 → 理論PBR上昇 → PBR1.0x超えが射程</w:t>
      </w:r>
    </w:p>
    <w:p/>
    <w:p>
      <w:r>
        <w:rPr>
          <w:rFonts w:ascii="Meiryo UI" w:hAnsi="Meiryo UI"/>
          <w:sz w:val="20"/>
        </w:rPr>
        <w:t>強気: ¥2,000（EPS¥132.2 × PER15x）</w:t>
      </w:r>
    </w:p>
    <w:p>
      <w:pPr>
        <w:pStyle w:val="ListBullet"/>
      </w:pPr>
      <w:r>
        <w:rPr>
          <w:rFonts w:ascii="Meiryo UI" w:hAnsi="Meiryo UI"/>
          <w:sz w:val="20"/>
        </w:rPr>
        <w:t>M&amp;A効果発現・月次モメンタム継続・EC拡大加速</w:t>
      </w:r>
    </w:p>
    <w:p/>
    <w:p>
      <w:r>
        <w:rPr>
          <w:rFonts w:ascii="Meiryo UI" w:hAnsi="Meiryo UI"/>
          <w:sz w:val="20"/>
        </w:rPr>
        <w:t>弱気: ¥1,000（PBR0.6x水準）</w:t>
      </w:r>
    </w:p>
    <w:p>
      <w:pPr>
        <w:pStyle w:val="ListBullet"/>
      </w:pPr>
      <w:r>
        <w:rPr>
          <w:rFonts w:ascii="Meiryo UI" w:hAnsi="Meiryo UI"/>
          <w:sz w:val="20"/>
        </w:rPr>
        <w:t>FY2027ガイダンス下方修正・M&amp;A統合コスト超過</w:t>
      </w:r>
    </w:p>
    <w:p/>
    <w:p>
      <w:r>
        <w:t>──────────────────────────────────────────────────</w:t>
      </w:r>
    </w:p>
    <w:p/>
    <w:p>
      <w:pPr>
        <w:pStyle w:val="Heading2"/>
      </w:pPr>
      <w:r>
        <w:rPr>
          <w:rFonts w:ascii="Meiryo UI" w:hAnsi="Meiryo UI"/>
          <w:color w:val="2E74B5"/>
        </w:rPr>
        <w:t>6. 不動産含み益考察（必須項目）</w:t>
      </w:r>
    </w:p>
    <w:p/>
    <w:p>
      <w:r>
        <w:rPr>
          <w:rFonts w:ascii="Meiryo UI" w:hAnsi="Meiryo UI"/>
          <w:sz w:val="20"/>
        </w:rPr>
        <w:t xml:space="preserve">重要発見: FY2025 Q4（Dec-Feb 2025）の純利益¥15,071Mは不動産売却益が主因。  </w:t>
      </w:r>
    </w:p>
    <w:p>
      <w:r>
        <w:rPr>
          <w:rFonts w:ascii="Meiryo UI" w:hAnsi="Meiryo UI"/>
          <w:sz w:val="20"/>
        </w:rPr>
        <w:t>TSIは過去に店舗用不動産を多数保有していたが、FY2025に大型売却を実施済み。</w:t>
      </w:r>
    </w:p>
    <w:p/>
    <w:p>
      <w:pPr>
        <w:pStyle w:val="ListBullet"/>
      </w:pPr>
      <w:r>
        <w:rPr>
          <w:rFonts w:ascii="Meiryo UI" w:hAnsi="Meiryo UI"/>
          <w:sz w:val="20"/>
        </w:rPr>
        <w:t>B/Sに残存する含み益: 大部分実現済みと推定（FY2025の売却でほぼ出し切り）</w:t>
      </w:r>
    </w:p>
    <w:p>
      <w:pPr>
        <w:pStyle w:val="ListBullet"/>
      </w:pPr>
      <w:r>
        <w:rPr>
          <w:rFonts w:ascii="Meiryo UI" w:hAnsi="Meiryo UI"/>
          <w:sz w:val="20"/>
        </w:rPr>
        <w:t>未実現含み益: 追加分は限定的の見込み</w:t>
      </w:r>
    </w:p>
    <w:p>
      <w:pPr>
        <w:pStyle w:val="ListBullet"/>
      </w:pPr>
      <w:r>
        <w:rPr>
          <w:rFonts w:ascii="Meiryo UI" w:hAnsi="Meiryo UI"/>
          <w:sz w:val="20"/>
        </w:rPr>
        <w:t>ブランド無形資産（テーラー東洋・バズリクソンズ等）の価値はB/S非計上 → M&amp;A後の取得価額がB/Sに反映され、超過収益力をのれんとして認識</w:t>
      </w:r>
    </w:p>
    <w:p/>
    <w:p>
      <w:r>
        <w:rPr>
          <w:rFonts w:ascii="Meiryo UI" w:hAnsi="Meiryo UI"/>
          <w:sz w:val="20"/>
        </w:rPr>
        <w:t>→ 不動産含み益よりもブランドM&amp;Aによる無形資産の積み上げがこれからのバリュードライバー</w:t>
      </w:r>
    </w:p>
    <w:p/>
    <w:p>
      <w:r>
        <w:t>──────────────────────────────────────────────────</w:t>
      </w:r>
    </w:p>
    <w:p/>
    <w:p>
      <w:pPr>
        <w:pStyle w:val="Heading2"/>
      </w:pPr>
      <w:r>
        <w:rPr>
          <w:rFonts w:ascii="Meiryo UI" w:hAnsi="Meiryo UI"/>
          <w:color w:val="2E74B5"/>
        </w:rPr>
        <w:t>7. Q-1定性変化考察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FY2026 Q3（最強期）</w:t>
            </w:r>
          </w:p>
        </w:tc>
        <w:tc>
          <w:tcPr>
            <w:tcW w:type="dxa" w:w="2351"/>
            <w:shd w:val="clear" w:color="auto" w:fill="2E74B5"/>
          </w:tcPr>
          <w:p>
            <w:r>
              <w:rPr>
                <w:rFonts w:ascii="Meiryo UI" w:hAnsi="Meiryo UI"/>
                <w:b/>
                <w:color w:val="FFFFFF"/>
                <w:sz w:val="18"/>
              </w:rPr>
              <w:t>FY2026 Q4（直近）</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OPマージン</w:t>
            </w:r>
          </w:p>
        </w:tc>
        <w:tc>
          <w:tcPr>
            <w:tcW w:type="dxa" w:w="2351"/>
          </w:tcPr>
          <w:p>
            <w:r>
              <w:rPr>
                <w:rFonts w:ascii="Meiryo UI" w:hAnsi="Meiryo UI"/>
                <w:sz w:val="18"/>
              </w:rPr>
              <w:t>6.1%</w:t>
            </w:r>
          </w:p>
        </w:tc>
        <w:tc>
          <w:tcPr>
            <w:tcW w:type="dxa" w:w="2351"/>
          </w:tcPr>
          <w:p>
            <w:r>
              <w:rPr>
                <w:rFonts w:ascii="Meiryo UI" w:hAnsi="Meiryo UI"/>
                <w:sz w:val="18"/>
              </w:rPr>
              <w:t>1.2%</w:t>
            </w:r>
          </w:p>
        </w:tc>
        <w:tc>
          <w:tcPr>
            <w:tcW w:type="dxa" w:w="2351"/>
          </w:tcPr>
          <w:p>
            <w:r>
              <w:rPr>
                <w:rFonts w:ascii="Meiryo UI" w:hAnsi="Meiryo UI"/>
                <w:sz w:val="18"/>
              </w:rPr>
              <w:t>季節要因（例年のパターン）</w:t>
            </w:r>
          </w:p>
        </w:tc>
      </w:tr>
      <w:tr>
        <w:tc>
          <w:tcPr>
            <w:tcW w:type="dxa" w:w="2351"/>
            <w:shd w:val="clear" w:color="auto" w:fill="DDEBF7"/>
          </w:tcPr>
          <w:p>
            <w:r>
              <w:rPr>
                <w:rFonts w:ascii="Meiryo UI" w:hAnsi="Meiryo UI"/>
                <w:sz w:val="18"/>
              </w:rPr>
              <w:t>売上前年比</w:t>
            </w:r>
          </w:p>
        </w:tc>
        <w:tc>
          <w:tcPr>
            <w:tcW w:type="dxa" w:w="2351"/>
            <w:shd w:val="clear" w:color="auto" w:fill="DDEBF7"/>
          </w:tcPr>
          <w:p>
            <w:r>
              <w:rPr>
                <w:rFonts w:ascii="Meiryo UI" w:hAnsi="Meiryo UI"/>
                <w:sz w:val="18"/>
              </w:rPr>
              <w:t>+23.6%</w:t>
            </w:r>
          </w:p>
        </w:tc>
        <w:tc>
          <w:tcPr>
            <w:tcW w:type="dxa" w:w="2351"/>
            <w:shd w:val="clear" w:color="auto" w:fill="DDEBF7"/>
          </w:tcPr>
          <w:p>
            <w:r>
              <w:rPr>
                <w:rFonts w:ascii="Meiryo UI" w:hAnsi="Meiryo UI"/>
                <w:sz w:val="18"/>
              </w:rPr>
              <w:t>+24.5%</w:t>
            </w:r>
          </w:p>
        </w:tc>
        <w:tc>
          <w:tcPr>
            <w:tcW w:type="dxa" w:w="2351"/>
            <w:shd w:val="clear" w:color="auto" w:fill="DDEBF7"/>
          </w:tcPr>
          <w:p>
            <w:r>
              <w:rPr>
                <w:rFonts w:ascii="Meiryo UI" w:hAnsi="Meiryo UI"/>
                <w:sz w:val="18"/>
              </w:rPr>
              <w:t>加速中</w:t>
            </w:r>
          </w:p>
        </w:tc>
      </w:tr>
      <w:tr>
        <w:tc>
          <w:tcPr>
            <w:tcW w:type="dxa" w:w="2351"/>
          </w:tcPr>
          <w:p>
            <w:r>
              <w:rPr>
                <w:rFonts w:ascii="Meiryo UI" w:hAnsi="Meiryo UI"/>
                <w:sz w:val="18"/>
              </w:rPr>
              <w:t>月次モメンタム</w:t>
            </w:r>
          </w:p>
        </w:tc>
        <w:tc>
          <w:tcPr>
            <w:tcW w:type="dxa" w:w="2351"/>
          </w:tcPr>
          <w:p>
            <w:r>
              <w:rPr>
                <w:rFonts w:ascii="Meiryo UI" w:hAnsi="Meiryo UI"/>
                <w:sz w:val="18"/>
              </w:rPr>
              <w:t>—</w:t>
            </w:r>
          </w:p>
        </w:tc>
        <w:tc>
          <w:tcPr>
            <w:tcW w:type="dxa" w:w="2351"/>
          </w:tcPr>
          <w:p>
            <w:r>
              <w:rPr>
                <w:rFonts w:ascii="Meiryo UI" w:hAnsi="Meiryo UI"/>
                <w:sz w:val="18"/>
              </w:rPr>
              <w:t>3月+36.2%</w:t>
            </w:r>
          </w:p>
        </w:tc>
        <w:tc>
          <w:tcPr>
            <w:tcW w:type="dxa" w:w="2351"/>
          </w:tcPr>
          <w:p>
            <w:r>
              <w:rPr>
                <w:rFonts w:ascii="Meiryo UI" w:hAnsi="Meiryo UI"/>
                <w:sz w:val="18"/>
              </w:rPr>
              <w:t>Q4終わりに最大加速</w:t>
            </w:r>
          </w:p>
        </w:tc>
      </w:tr>
    </w:tbl>
    <w:p/>
    <w:p>
      <w:r>
        <w:rPr>
          <w:rFonts w:ascii="Meiryo UI" w:hAnsi="Meiryo UI"/>
          <w:sz w:val="20"/>
        </w:rPr>
        <w:t>Narrative Change: 「プラス方向に変化」。</w:t>
      </w:r>
    </w:p>
    <w:p>
      <w:pPr>
        <w:pStyle w:val="ListBullet"/>
      </w:pPr>
      <w:r>
        <w:rPr>
          <w:rFonts w:ascii="Meiryo UI" w:hAnsi="Meiryo UI"/>
          <w:sz w:val="20"/>
        </w:rPr>
        <w:t>旧: 夏場赤字・低OPマージンの構造問題を抱えた苦しい服飾メーカー</w:t>
      </w:r>
    </w:p>
    <w:p>
      <w:pPr>
        <w:pStyle w:val="ListBullet"/>
      </w:pPr>
      <w:r>
        <w:rPr>
          <w:rFonts w:ascii="Meiryo UI" w:hAnsi="Meiryo UI"/>
          <w:sz w:val="20"/>
        </w:rPr>
        <w:t>新: アメカジ×インバウンド×EC拡大×自社株買いで資本効率改革に本腰を入れた成長企業</w:t>
      </w:r>
    </w:p>
    <w:p/>
    <w:p>
      <w:r>
        <w:t>──────────────────────────────────────────────────</w:t>
      </w:r>
    </w:p>
    <w:p/>
    <w:p>
      <w:pPr>
        <w:pStyle w:val="Heading2"/>
      </w:pPr>
      <w:r>
        <w:rPr>
          <w:rFonts w:ascii="Meiryo UI" w:hAnsi="Meiryo UI"/>
          <w:color w:val="2E74B5"/>
        </w:rPr>
        <w:t>8. ガイダンス保守的/積極的判定</w:t>
      </w:r>
    </w:p>
    <w:p/>
    <w:p>
      <w:r>
        <w:rPr>
          <w:rFonts w:ascii="Meiryo UI" w:hAnsi="Meiryo UI"/>
          <w:sz w:val="20"/>
        </w:rPr>
        <w:t>FY2027 OP¥7,500M: 「積極的だが根拠あり」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根拠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月次+36.2%</w:t>
            </w:r>
          </w:p>
        </w:tc>
        <w:tc>
          <w:tcPr>
            <w:tcW w:type="dxa" w:w="4703"/>
          </w:tcPr>
          <w:p>
            <w:r>
              <w:rPr>
                <w:rFonts w:ascii="Meiryo UI" w:hAnsi="Meiryo UI"/>
                <w:sz w:val="18"/>
              </w:rPr>
              <w:t>FY2027の売上¥200B (+19.7%)の先行指標として十分</w:t>
            </w:r>
          </w:p>
        </w:tc>
      </w:tr>
      <w:tr>
        <w:tc>
          <w:tcPr>
            <w:tcW w:type="dxa" w:w="4703"/>
            <w:shd w:val="clear" w:color="auto" w:fill="DDEBF7"/>
          </w:tcPr>
          <w:p>
            <w:r>
              <w:rPr>
                <w:rFonts w:ascii="Meiryo UI" w:hAnsi="Meiryo UI"/>
                <w:sz w:val="18"/>
              </w:rPr>
              <w:t>東洋エンタープライズ</w:t>
            </w:r>
          </w:p>
        </w:tc>
        <w:tc>
          <w:tcPr>
            <w:tcW w:type="dxa" w:w="4703"/>
            <w:shd w:val="clear" w:color="auto" w:fill="DDEBF7"/>
          </w:tcPr>
          <w:p>
            <w:r>
              <w:rPr>
                <w:rFonts w:ascii="Meiryo UI" w:hAnsi="Meiryo UI"/>
                <w:sz w:val="18"/>
              </w:rPr>
              <w:t>M&amp;A寄与分を含む（FY2027から連結）</w:t>
            </w:r>
          </w:p>
        </w:tc>
      </w:tr>
      <w:tr>
        <w:tc>
          <w:tcPr>
            <w:tcW w:type="dxa" w:w="4703"/>
          </w:tcPr>
          <w:p>
            <w:r>
              <w:rPr>
                <w:rFonts w:ascii="Meiryo UI" w:hAnsi="Meiryo UI"/>
                <w:sz w:val="18"/>
              </w:rPr>
              <w:t>EC強化</w:t>
            </w:r>
          </w:p>
        </w:tc>
        <w:tc>
          <w:tcPr>
            <w:tcW w:type="dxa" w:w="4703"/>
          </w:tcPr>
          <w:p>
            <w:r>
              <w:rPr>
                <w:rFonts w:ascii="Meiryo UI" w:hAnsi="Meiryo UI"/>
                <w:sz w:val="18"/>
              </w:rPr>
              <w:t>オンライン比率上昇によるOPマージン改善余地</w:t>
            </w:r>
          </w:p>
        </w:tc>
      </w:tr>
      <w:tr>
        <w:tc>
          <w:tcPr>
            <w:tcW w:type="dxa" w:w="4703"/>
            <w:shd w:val="clear" w:color="auto" w:fill="DDEBF7"/>
          </w:tcPr>
          <w:p>
            <w:r>
              <w:rPr>
                <w:rFonts w:ascii="Meiryo UI" w:hAnsi="Meiryo UI"/>
                <w:sz w:val="18"/>
              </w:rPr>
              <w:t>自社株買い</w:t>
            </w:r>
          </w:p>
        </w:tc>
        <w:tc>
          <w:tcPr>
            <w:tcW w:type="dxa" w:w="4703"/>
            <w:shd w:val="clear" w:color="auto" w:fill="DDEBF7"/>
          </w:tcPr>
          <w:p>
            <w:r>
              <w:rPr>
                <w:rFonts w:ascii="Meiryo UI" w:hAnsi="Meiryo UI"/>
                <w:sz w:val="18"/>
              </w:rPr>
              <w:t>EPS改善効果（¥132.2→推定¥140）</w:t>
            </w:r>
          </w:p>
        </w:tc>
      </w:tr>
    </w:tbl>
    <w:p/>
    <w:p>
      <w:r>
        <w:rPr>
          <w:rFonts w:ascii="Meiryo UI" w:hAnsi="Meiryo UI"/>
          <w:sz w:val="20"/>
        </w:rPr>
        <w:t>→ 判定: 「積極的・達成確度70%」。月次+30%超のモメンタムが継続すれば上振れ余地あり</w:t>
      </w:r>
    </w:p>
    <w:p/>
    <w:p>
      <w:r>
        <w:t>──────────────────────────────────────────────────</w:t>
      </w:r>
    </w:p>
    <w:p/>
    <w:p>
      <w:pPr>
        <w:pStyle w:val="Heading2"/>
      </w:pPr>
      <w:r>
        <w:rPr>
          <w:rFonts w:ascii="Meiryo UI" w:hAnsi="Meiryo UI"/>
          <w:color w:val="2E74B5"/>
        </w:rPr>
        <w:t>9. リスクシナリオ（定量ストレステスト）</w:t>
      </w:r>
    </w:p>
    <w:p/>
    <w:p>
      <w:pPr>
        <w:pStyle w:val="Heading3"/>
      </w:pPr>
      <w:r>
        <w:rPr>
          <w:rFonts w:ascii="Meiryo UI" w:hAnsi="Meiryo UI"/>
          <w:color w:val="2E74B5"/>
        </w:rPr>
        <w:t>シナリオA: M&amp;A統合コスト超過（確率20%）</w:t>
      </w:r>
    </w:p>
    <w:p>
      <w:pPr>
        <w:pStyle w:val="ListBullet"/>
      </w:pPr>
      <w:r>
        <w:rPr>
          <w:rFonts w:ascii="Meiryo UI" w:hAnsi="Meiryo UI"/>
          <w:sz w:val="20"/>
        </w:rPr>
        <w:t>東洋エンタープライズ統合でのれん償却・一時費用発生</w:t>
      </w:r>
    </w:p>
    <w:p>
      <w:pPr>
        <w:pStyle w:val="ListBullet"/>
      </w:pPr>
      <w:r>
        <w:rPr>
          <w:rFonts w:ascii="Meiryo UI" w:hAnsi="Meiryo UI"/>
          <w:sz w:val="20"/>
        </w:rPr>
        <w:t>OP インパクト: ▲¥500M（1回性）</w:t>
      </w:r>
    </w:p>
    <w:p>
      <w:pPr>
        <w:pStyle w:val="ListBullet"/>
      </w:pPr>
      <w:r>
        <w:rPr>
          <w:rFonts w:ascii="Meiryo UI" w:hAnsi="Meiryo UI"/>
          <w:sz w:val="20"/>
        </w:rPr>
        <w:t>FY2027 EPS影響: ¥132.2 → ¥125（▲5.5%）</w:t>
      </w:r>
    </w:p>
    <w:p>
      <w:pPr>
        <w:pStyle w:val="ListBullet"/>
      </w:pPr>
      <w:r>
        <w:rPr>
          <w:rFonts w:ascii="Meiryo UI" w:hAnsi="Meiryo UI"/>
          <w:sz w:val="20"/>
        </w:rPr>
        <w:t>株価インパクト: ¥125 × 10x = ¥1,250（PTS後¥1,325比▲5.7%）</w:t>
      </w:r>
    </w:p>
    <w:p/>
    <w:p>
      <w:pPr>
        <w:pStyle w:val="Heading3"/>
      </w:pPr>
      <w:r>
        <w:rPr>
          <w:rFonts w:ascii="Meiryo UI" w:hAnsi="Meiryo UI"/>
          <w:color w:val="2E74B5"/>
        </w:rPr>
        <w:t>シナリオB: アパレル消費低迷（確率25%）</w:t>
      </w:r>
    </w:p>
    <w:p>
      <w:pPr>
        <w:pStyle w:val="ListBullet"/>
      </w:pPr>
      <w:r>
        <w:rPr>
          <w:rFonts w:ascii="Meiryo UI" w:hAnsi="Meiryo UI"/>
          <w:sz w:val="20"/>
        </w:rPr>
        <w:t>消費マインド悪化・値下げ圧力再燃・夏場赤字拡大</w:t>
      </w:r>
    </w:p>
    <w:p>
      <w:pPr>
        <w:pStyle w:val="ListBullet"/>
      </w:pPr>
      <w:r>
        <w:rPr>
          <w:rFonts w:ascii="Meiryo UI" w:hAnsi="Meiryo UI"/>
          <w:sz w:val="20"/>
        </w:rPr>
        <w:t>OP¥5,000Mへの圧縮 → EPS ¥88 × 10x = ¥880（現値▲21.8%）</w:t>
      </w:r>
    </w:p>
    <w:p>
      <w:pPr>
        <w:pStyle w:val="ListBullet"/>
      </w:pPr>
      <w:r>
        <w:rPr>
          <w:rFonts w:ascii="Meiryo UI" w:hAnsi="Meiryo UI"/>
          <w:sz w:val="20"/>
        </w:rPr>
        <w:t>SL ¥1,000で前段階に撤退</w:t>
      </w:r>
    </w:p>
    <w:p/>
    <w:p>
      <w:pPr>
        <w:pStyle w:val="Heading3"/>
      </w:pPr>
      <w:r>
        <w:rPr>
          <w:rFonts w:ascii="Meiryo UI" w:hAnsi="Meiryo UI"/>
          <w:color w:val="2E74B5"/>
        </w:rPr>
        <w:t>シナリオC: 信用倍率6.42倍の急縮小リスク</w:t>
      </w:r>
    </w:p>
    <w:p>
      <w:pPr>
        <w:pStyle w:val="ListBullet"/>
      </w:pPr>
      <w:r>
        <w:rPr>
          <w:rFonts w:ascii="Meiryo UI" w:hAnsi="Meiryo UI"/>
          <w:sz w:val="20"/>
        </w:rPr>
        <w:t>PTS急騰後の翌日利益確定売り + 信用返済売り</w:t>
      </w:r>
    </w:p>
    <w:p>
      <w:pPr>
        <w:pStyle w:val="ListBullet"/>
      </w:pPr>
      <w:r>
        <w:rPr>
          <w:rFonts w:ascii="Meiryo UI" w:hAnsi="Meiryo UI"/>
          <w:sz w:val="20"/>
        </w:rPr>
        <w:t>寄付きギャップアップ後の値動きに注意（PTS¥1,325 → 寄付き後急反落リスク）</w:t>
      </w:r>
    </w:p>
    <w:p/>
    <w:p>
      <w:r>
        <w:t>──────────────────────────────────────────────────</w:t>
      </w:r>
    </w:p>
    <w:p/>
    <w:p>
      <w:pPr>
        <w:pStyle w:val="Heading2"/>
      </w:pPr>
      <w:r>
        <w:rPr>
          <w:rFonts w:ascii="Meiryo UI" w:hAnsi="Meiryo UI"/>
          <w:color w:val="2E74B5"/>
        </w:rPr>
        <w:t>10. 需給・フロー分析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情報源</w:t>
            </w:r>
          </w:p>
        </w:tc>
        <w:tc>
          <w:tcPr>
            <w:tcW w:type="dxa" w:w="3135"/>
            <w:shd w:val="clear" w:color="auto" w:fill="2E74B5"/>
          </w:tcPr>
          <w:p>
            <w:r>
              <w:rPr>
                <w:rFonts w:ascii="Meiryo UI" w:hAnsi="Meiryo UI"/>
                <w:b/>
                <w:color w:val="FFFFFF"/>
                <w:sz w:val="18"/>
              </w:rPr>
              <w:t>シグナル</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PTS</w:t>
            </w:r>
          </w:p>
        </w:tc>
        <w:tc>
          <w:tcPr>
            <w:tcW w:type="dxa" w:w="3135"/>
          </w:tcPr>
          <w:p>
            <w:r>
              <w:rPr>
                <w:rFonts w:ascii="Meiryo UI" w:hAnsi="Meiryo UI"/>
                <w:sz w:val="18"/>
              </w:rPr>
              <w:t>¥1,325（+17.7%）</w:t>
            </w:r>
          </w:p>
        </w:tc>
        <w:tc>
          <w:tcPr>
            <w:tcW w:type="dxa" w:w="3135"/>
          </w:tcPr>
          <w:p>
            <w:r>
              <w:rPr>
                <w:rFonts w:ascii="Meiryo UI" w:hAnsi="Meiryo UI"/>
                <w:sz w:val="18"/>
              </w:rPr>
              <w:t>52週高値¥1,226を大幅更新。新高値圏</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6.42倍</w:t>
            </w:r>
          </w:p>
        </w:tc>
        <w:tc>
          <w:tcPr>
            <w:tcW w:type="dxa" w:w="3135"/>
            <w:shd w:val="clear" w:color="auto" w:fill="DDEBF7"/>
          </w:tcPr>
          <w:p>
            <w:r>
              <w:rPr>
                <w:rFonts w:ascii="Meiryo UI" w:hAnsi="Meiryo UI"/>
                <w:sz w:val="18"/>
              </w:rPr>
              <w:t>信用買いが優勢。短期的には踏み上げ効果あり</w:t>
            </w:r>
          </w:p>
        </w:tc>
      </w:tr>
      <w:tr>
        <w:tc>
          <w:tcPr>
            <w:tcW w:type="dxa" w:w="3135"/>
          </w:tcPr>
          <w:p>
            <w:r>
              <w:rPr>
                <w:rFonts w:ascii="Meiryo UI" w:hAnsi="Meiryo UI"/>
                <w:sz w:val="18"/>
              </w:rPr>
              <w:t>月次売上</w:t>
            </w:r>
          </w:p>
        </w:tc>
        <w:tc>
          <w:tcPr>
            <w:tcW w:type="dxa" w:w="3135"/>
          </w:tcPr>
          <w:p>
            <w:r>
              <w:rPr>
                <w:rFonts w:ascii="Meiryo UI" w:hAnsi="Meiryo UI"/>
                <w:sz w:val="18"/>
              </w:rPr>
              <w:t>+36.2%（3月）</w:t>
            </w:r>
          </w:p>
        </w:tc>
        <w:tc>
          <w:tcPr>
            <w:tcW w:type="dxa" w:w="3135"/>
          </w:tcPr>
          <w:p>
            <w:r>
              <w:rPr>
                <w:rFonts w:ascii="Meiryo UI" w:hAnsi="Meiryo UI"/>
                <w:sz w:val="18"/>
              </w:rPr>
              <w:t>実需の強さを裏付け。投機的ではない</w:t>
            </w:r>
          </w:p>
        </w:tc>
      </w:tr>
      <w:tr>
        <w:tc>
          <w:tcPr>
            <w:tcW w:type="dxa" w:w="3135"/>
            <w:shd w:val="clear" w:color="auto" w:fill="DDEBF7"/>
          </w:tcPr>
          <w:p>
            <w:r>
              <w:rPr>
                <w:rFonts w:ascii="Meiryo UI" w:hAnsi="Meiryo UI"/>
                <w:sz w:val="18"/>
              </w:rPr>
              <w:t>自社株買い需要</w:t>
            </w:r>
          </w:p>
        </w:tc>
        <w:tc>
          <w:tcPr>
            <w:tcW w:type="dxa" w:w="3135"/>
            <w:shd w:val="clear" w:color="auto" w:fill="DDEBF7"/>
          </w:tcPr>
          <w:p>
            <w:r>
              <w:rPr>
                <w:rFonts w:ascii="Meiryo UI" w:hAnsi="Meiryo UI"/>
                <w:sz w:val="18"/>
              </w:rPr>
              <w:t>330万株・30億円</w:t>
            </w:r>
          </w:p>
        </w:tc>
        <w:tc>
          <w:tcPr>
            <w:tcW w:type="dxa" w:w="3135"/>
            <w:shd w:val="clear" w:color="auto" w:fill="DDEBF7"/>
          </w:tcPr>
          <w:p>
            <w:r>
              <w:rPr>
                <w:rFonts w:ascii="Meiryo UI" w:hAnsi="Meiryo UI"/>
                <w:sz w:val="18"/>
              </w:rPr>
              <w:t>株価下支えの実弾あり</w:t>
            </w:r>
          </w:p>
        </w:tc>
      </w:tr>
      <w:tr>
        <w:tc>
          <w:tcPr>
            <w:tcW w:type="dxa" w:w="3135"/>
          </w:tcPr>
          <w:p>
            <w:r>
              <w:rPr>
                <w:rFonts w:ascii="Meiryo UI" w:hAnsi="Meiryo UI"/>
                <w:sz w:val="18"/>
              </w:rPr>
              <w:t>海外注文（4/10）</w:t>
            </w:r>
          </w:p>
        </w:tc>
        <w:tc>
          <w:tcPr>
            <w:tcW w:type="dxa" w:w="3135"/>
          </w:tcPr>
          <w:p>
            <w:r>
              <w:rPr>
                <w:rFonts w:ascii="Meiryo UI" w:hAnsi="Meiryo UI"/>
                <w:sz w:val="18"/>
              </w:rPr>
              <w:t>小売セクター海外+リテール二重買い</w:t>
            </w:r>
          </w:p>
        </w:tc>
        <w:tc>
          <w:tcPr>
            <w:tcW w:type="dxa" w:w="3135"/>
          </w:tcPr>
          <w:p>
            <w:r>
              <w:rPr>
                <w:rFonts w:ascii="Meiryo UI" w:hAnsi="Meiryo UI"/>
                <w:sz w:val="18"/>
              </w:rPr>
              <w:t>小売全般の外資需要と整合</w:t>
            </w:r>
          </w:p>
        </w:tc>
      </w:tr>
    </w:tbl>
    <w:p/>
    <w:p>
      <w:r>
        <w:rPr>
          <w:rFonts w:ascii="Meiryo UI" w:hAnsi="Meiryo UI"/>
          <w:sz w:val="20"/>
        </w:rPr>
        <w:t>需給評価: 信用倍率6.42倍は踏み上げリスクの両刃。新高値更新後の利食いポイントをあらかじめ設定しておくことが重要。PTS¥1,325の翌日寄付きは慎重に対応。</w:t>
      </w:r>
    </w:p>
    <w:p/>
    <w:p>
      <w:r>
        <w:t>──────────────────────────────────────────────────</w:t>
      </w:r>
    </w:p>
    <w:p/>
    <w:p>
      <w:pPr>
        <w:pStyle w:val="Heading2"/>
      </w:pPr>
      <w:r>
        <w:rPr>
          <w:rFonts w:ascii="Meiryo UI" w:hAnsi="Meiryo UI"/>
          <w:color w:val="2E74B5"/>
        </w:rPr>
        <w:t>11. 競合比較・業界ポジション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銘柄</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配当利回り</w:t>
            </w:r>
          </w:p>
        </w:tc>
        <w:tc>
          <w:tcPr>
            <w:tcW w:type="dxa" w:w="1881"/>
            <w:shd w:val="clear" w:color="auto" w:fill="2E74B5"/>
          </w:tcPr>
          <w:p>
            <w:r>
              <w:rPr>
                <w:rFonts w:ascii="Meiryo UI" w:hAnsi="Meiryo UI"/>
                <w:b/>
                <w:color w:val="FFFFFF"/>
                <w:sz w:val="18"/>
              </w:rPr>
              <w:t>FY2027 OP成長率</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3608 TSI HD</w:t>
            </w:r>
          </w:p>
        </w:tc>
        <w:tc>
          <w:tcPr>
            <w:tcW w:type="dxa" w:w="1881"/>
          </w:tcPr>
          <w:p>
            <w:r>
              <w:rPr>
                <w:rFonts w:ascii="Meiryo UI" w:hAnsi="Meiryo UI"/>
                <w:sz w:val="18"/>
              </w:rPr>
              <w:t>0.80x(PTS)</w:t>
            </w:r>
          </w:p>
        </w:tc>
        <w:tc>
          <w:tcPr>
            <w:tcW w:type="dxa" w:w="1881"/>
          </w:tcPr>
          <w:p>
            <w:r>
              <w:rPr>
                <w:rFonts w:ascii="Meiryo UI" w:hAnsi="Meiryo UI"/>
                <w:sz w:val="18"/>
              </w:rPr>
              <w:t>5.3%</w:t>
            </w:r>
          </w:p>
        </w:tc>
        <w:tc>
          <w:tcPr>
            <w:tcW w:type="dxa" w:w="1881"/>
          </w:tcPr>
          <w:p>
            <w:r>
              <w:rPr>
                <w:rFonts w:ascii="Meiryo UI" w:hAnsi="Meiryo UI"/>
                <w:sz w:val="18"/>
              </w:rPr>
              <w:t>+73.4%</w:t>
            </w:r>
          </w:p>
        </w:tc>
        <w:tc>
          <w:tcPr>
            <w:tcW w:type="dxa" w:w="1881"/>
          </w:tcPr>
          <w:p>
            <w:r>
              <w:rPr>
                <w:rFonts w:ascii="Meiryo UI" w:hAnsi="Meiryo UI"/>
                <w:sz w:val="18"/>
              </w:rPr>
              <w:t>BUY</w:t>
            </w:r>
          </w:p>
        </w:tc>
      </w:tr>
      <w:tr>
        <w:tc>
          <w:tcPr>
            <w:tcW w:type="dxa" w:w="1881"/>
            <w:shd w:val="clear" w:color="auto" w:fill="DDEBF7"/>
          </w:tcPr>
          <w:p>
            <w:r>
              <w:rPr>
                <w:rFonts w:ascii="Meiryo UI" w:hAnsi="Meiryo UI"/>
                <w:sz w:val="18"/>
              </w:rPr>
              <w:t>8227 しまむら</w:t>
            </w:r>
          </w:p>
        </w:tc>
        <w:tc>
          <w:tcPr>
            <w:tcW w:type="dxa" w:w="1881"/>
            <w:shd w:val="clear" w:color="auto" w:fill="DDEBF7"/>
          </w:tcPr>
          <w:p>
            <w:r>
              <w:rPr>
                <w:rFonts w:ascii="Meiryo UI" w:hAnsi="Meiryo UI"/>
                <w:sz w:val="18"/>
              </w:rPr>
              <w:t>~2.0x</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中一桁%</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3046 ジンズHD</w:t>
            </w:r>
          </w:p>
        </w:tc>
        <w:tc>
          <w:tcPr>
            <w:tcW w:type="dxa" w:w="1881"/>
          </w:tcPr>
          <w:p>
            <w:r>
              <w:rPr>
                <w:rFonts w:ascii="Meiryo UI" w:hAnsi="Meiryo UI"/>
                <w:sz w:val="18"/>
              </w:rPr>
              <w:t>~3.0x</w:t>
            </w:r>
          </w:p>
        </w:tc>
        <w:tc>
          <w:tcPr>
            <w:tcW w:type="dxa" w:w="1881"/>
          </w:tcPr>
          <w:p>
            <w:r>
              <w:rPr>
                <w:rFonts w:ascii="Meiryo UI" w:hAnsi="Meiryo UI"/>
                <w:sz w:val="18"/>
              </w:rPr>
              <w:t>~0.5%</w:t>
            </w:r>
          </w:p>
        </w:tc>
        <w:tc>
          <w:tcPr>
            <w:tcW w:type="dxa" w:w="1881"/>
          </w:tcPr>
          <w:p>
            <w:r>
              <w:rPr>
                <w:rFonts w:ascii="Meiryo UI" w:hAnsi="Meiryo UI"/>
                <w:sz w:val="18"/>
              </w:rPr>
              <w:t>▲修正</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9983 ファストリ</w:t>
            </w:r>
          </w:p>
        </w:tc>
        <w:tc>
          <w:tcPr>
            <w:tcW w:type="dxa" w:w="1881"/>
            <w:shd w:val="clear" w:color="auto" w:fill="DDEBF7"/>
          </w:tcPr>
          <w:p>
            <w:r>
              <w:rPr>
                <w:rFonts w:ascii="Meiryo UI" w:hAnsi="Meiryo UI"/>
                <w:sz w:val="18"/>
              </w:rPr>
              <w:t>~10x</w:t>
            </w:r>
          </w:p>
        </w:tc>
        <w:tc>
          <w:tcPr>
            <w:tcW w:type="dxa" w:w="1881"/>
            <w:shd w:val="clear" w:color="auto" w:fill="DDEBF7"/>
          </w:tcPr>
          <w:p>
            <w:r>
              <w:rPr>
                <w:rFonts w:ascii="Meiryo UI" w:hAnsi="Meiryo UI"/>
                <w:sz w:val="18"/>
              </w:rPr>
              <w:t>~0.8%</w:t>
            </w:r>
          </w:p>
        </w:tc>
        <w:tc>
          <w:tcPr>
            <w:tcW w:type="dxa" w:w="1881"/>
            <w:shd w:val="clear" w:color="auto" w:fill="DDEBF7"/>
          </w:tcPr>
          <w:p>
            <w:r>
              <w:rPr>
                <w:rFonts w:ascii="Meiryo UI" w:hAnsi="Meiryo UI"/>
                <w:sz w:val="18"/>
              </w:rPr>
              <w:t>+20%台</w:t>
            </w:r>
          </w:p>
        </w:tc>
        <w:tc>
          <w:tcPr>
            <w:tcW w:type="dxa" w:w="1881"/>
            <w:shd w:val="clear" w:color="auto" w:fill="DDEBF7"/>
          </w:tcPr>
          <w:p>
            <w:r>
              <w:rPr>
                <w:rFonts w:ascii="Meiryo UI" w:hAnsi="Meiryo UI"/>
                <w:sz w:val="18"/>
              </w:rPr>
              <w:t>—</w:t>
            </w:r>
          </w:p>
        </w:tc>
      </w:tr>
    </w:tbl>
    <w:p/>
    <w:p>
      <w:r>
        <w:rPr>
          <w:rFonts w:ascii="Meiryo UI" w:hAnsi="Meiryo UI"/>
          <w:sz w:val="20"/>
        </w:rPr>
        <w:t>TSIはPBR0.80x × 配当5.3% × OP+73%成長の三拍子。この組み合わせはセクター内で最も割安。</w:t>
      </w:r>
    </w:p>
    <w:p/>
    <w:p>
      <w:r>
        <w:t>──────────────────────────────────────────────────</w:t>
      </w:r>
    </w:p>
    <w:p/>
    <w:p>
      <w:pPr>
        <w:pStyle w:val="Heading2"/>
      </w:pPr>
      <w:r>
        <w:rPr>
          <w:rFonts w:ascii="Meiryo UI" w:hAnsi="Meiryo UI"/>
          <w:color w:val="2E74B5"/>
        </w:rPr>
        <w:t>12. 投資判断まとめ</w:t>
      </w:r>
    </w:p>
    <w:p/>
    <w:p>
      <w:r>
        <w:rPr>
          <w:rFonts w:ascii="Meiryo UI" w:hAnsi="Meiryo UI"/>
          <w:sz w:val="20"/>
        </w:rPr>
        <w:t>「自社株買い×M&amp;A×増配の三重サプライズが出尽くしでないことを確認。月次+36%が業績を担保。」</w:t>
      </w:r>
    </w:p>
    <w:p/>
    <w:p>
      <w:pPr>
        <w:pStyle w:val="ListBullet"/>
      </w:pPr>
      <w:r>
        <w:rPr>
          <w:rFonts w:ascii="Meiryo UI" w:hAnsi="Meiryo UI"/>
          <w:sz w:val="20"/>
        </w:rPr>
        <w:t>70%シナリオ（BUY継続）: 月次モメンタム継続 → FY2027 OP¥7,500M達成 → PBR1.0x（¥1,652）到達</w:t>
      </w:r>
    </w:p>
    <w:p>
      <w:pPr>
        <w:pStyle w:val="ListBullet"/>
      </w:pPr>
      <w:r>
        <w:rPr>
          <w:rFonts w:ascii="Meiryo UI" w:hAnsi="Meiryo UI"/>
          <w:sz w:val="20"/>
        </w:rPr>
        <w:t>30%シナリオ（WATCH格下げ）: PTS急騰後の利食い売り・信用返済売りで¥1,100台に押し戻し → 再エントリー機会</w:t>
      </w:r>
    </w:p>
    <w:p/>
    <w:p>
      <w:r>
        <w:t>──────────────────────────────────────────────────</w:t>
      </w:r>
    </w:p>
    <w:p/>
    <w:p>
      <w:pPr>
        <w:pStyle w:val="Heading2"/>
      </w:pPr>
      <w:r>
        <w:rPr>
          <w:rFonts w:ascii="Meiryo UI" w:hAnsi="Meiryo UI"/>
          <w:color w:val="2E74B5"/>
        </w:rPr>
        <w:t>13. モニタリングトリガー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判断変更基準</w:t>
            </w:r>
          </w:p>
        </w:tc>
      </w:tr>
      <w:tr>
        <w:tc>
          <w:tcPr>
            <w:tcW w:type="dxa" w:w="3135"/>
          </w:tcPr>
          <w:p>
            <w:r>
              <w:rPr>
                <w:rFonts w:ascii="Meiryo UI" w:hAnsi="Meiryo UI"/>
                <w:sz w:val="18"/>
              </w:rPr>
              <w:t>FY2027 Q1決算（Mar-May）</w:t>
            </w:r>
          </w:p>
        </w:tc>
        <w:tc>
          <w:tcPr>
            <w:tcW w:type="dxa" w:w="3135"/>
          </w:tcPr>
          <w:p>
            <w:r>
              <w:rPr>
                <w:rFonts w:ascii="Meiryo UI" w:hAnsi="Meiryo UI"/>
                <w:sz w:val="18"/>
              </w:rPr>
              <w:t>2026年7月</w:t>
            </w:r>
          </w:p>
        </w:tc>
        <w:tc>
          <w:tcPr>
            <w:tcW w:type="dxa" w:w="3135"/>
          </w:tcPr>
          <w:p>
            <w:r>
              <w:rPr>
                <w:rFonts w:ascii="Meiryo UI" w:hAnsi="Meiryo UI"/>
                <w:sz w:val="18"/>
              </w:rPr>
              <w:t>月次+20%以上継続→BUY強化</w:t>
            </w:r>
          </w:p>
        </w:tc>
      </w:tr>
      <w:tr>
        <w:tc>
          <w:tcPr>
            <w:tcW w:type="dxa" w:w="3135"/>
            <w:shd w:val="clear" w:color="auto" w:fill="DDEBF7"/>
          </w:tcPr>
          <w:p>
            <w:r>
              <w:rPr>
                <w:rFonts w:ascii="Meiryo UI" w:hAnsi="Meiryo UI"/>
                <w:sz w:val="18"/>
              </w:rPr>
              <w:t>東洋エンタープライズ統合進捗</w:t>
            </w:r>
          </w:p>
        </w:tc>
        <w:tc>
          <w:tcPr>
            <w:tcW w:type="dxa" w:w="3135"/>
            <w:shd w:val="clear" w:color="auto" w:fill="DDEBF7"/>
          </w:tcPr>
          <w:p>
            <w:r>
              <w:rPr>
                <w:rFonts w:ascii="Meiryo UI" w:hAnsi="Meiryo UI"/>
                <w:sz w:val="18"/>
              </w:rPr>
              <w:t>四半期報告</w:t>
            </w:r>
          </w:p>
        </w:tc>
        <w:tc>
          <w:tcPr>
            <w:tcW w:type="dxa" w:w="3135"/>
            <w:shd w:val="clear" w:color="auto" w:fill="DDEBF7"/>
          </w:tcPr>
          <w:p>
            <w:r>
              <w:rPr>
                <w:rFonts w:ascii="Meiryo UI" w:hAnsi="Meiryo UI"/>
                <w:sz w:val="18"/>
              </w:rPr>
              <w:t>のれん額・統合コスト開示</w:t>
            </w:r>
          </w:p>
        </w:tc>
      </w:tr>
      <w:tr>
        <w:tc>
          <w:tcPr>
            <w:tcW w:type="dxa" w:w="3135"/>
          </w:tcPr>
          <w:p>
            <w:r>
              <w:rPr>
                <w:rFonts w:ascii="Meiryo UI" w:hAnsi="Meiryo UI"/>
                <w:sz w:val="18"/>
              </w:rPr>
              <w:t>自社株買い進捗</w:t>
            </w:r>
          </w:p>
        </w:tc>
        <w:tc>
          <w:tcPr>
            <w:tcW w:type="dxa" w:w="3135"/>
          </w:tcPr>
          <w:p>
            <w:r>
              <w:rPr>
                <w:rFonts w:ascii="Meiryo UI" w:hAnsi="Meiryo UI"/>
                <w:sz w:val="18"/>
              </w:rPr>
              <w:t>随時</w:t>
            </w:r>
          </w:p>
        </w:tc>
        <w:tc>
          <w:tcPr>
            <w:tcW w:type="dxa" w:w="3135"/>
          </w:tcPr>
          <w:p>
            <w:r>
              <w:rPr>
                <w:rFonts w:ascii="Meiryo UI" w:hAnsi="Meiryo UI"/>
                <w:sz w:val="18"/>
              </w:rPr>
              <w:t>100%消化→需給サポート確認</w:t>
            </w:r>
          </w:p>
        </w:tc>
      </w:tr>
      <w:tr>
        <w:tc>
          <w:tcPr>
            <w:tcW w:type="dxa" w:w="3135"/>
            <w:shd w:val="clear" w:color="auto" w:fill="DDEBF7"/>
          </w:tcPr>
          <w:p>
            <w:r>
              <w:rPr>
                <w:rFonts w:ascii="Meiryo UI" w:hAnsi="Meiryo UI"/>
                <w:sz w:val="18"/>
              </w:rPr>
              <w:t>信用倍率</w:t>
            </w:r>
          </w:p>
        </w:tc>
        <w:tc>
          <w:tcPr>
            <w:tcW w:type="dxa" w:w="3135"/>
            <w:shd w:val="clear" w:color="auto" w:fill="DDEBF7"/>
          </w:tcPr>
          <w:p>
            <w:r>
              <w:rPr>
                <w:rFonts w:ascii="Meiryo UI" w:hAnsi="Meiryo UI"/>
                <w:sz w:val="18"/>
              </w:rPr>
              <w:t>日次</w:t>
            </w:r>
          </w:p>
        </w:tc>
        <w:tc>
          <w:tcPr>
            <w:tcW w:type="dxa" w:w="3135"/>
            <w:shd w:val="clear" w:color="auto" w:fill="DDEBF7"/>
          </w:tcPr>
          <w:p>
            <w:r>
              <w:rPr>
                <w:rFonts w:ascii="Meiryo UI" w:hAnsi="Meiryo UI"/>
                <w:sz w:val="18"/>
              </w:rPr>
              <w:t>6倍超継続→踏み上げリスク管理</w:t>
            </w:r>
          </w:p>
        </w:tc>
      </w:tr>
      <w:tr>
        <w:tc>
          <w:tcPr>
            <w:tcW w:type="dxa" w:w="3135"/>
          </w:tcPr>
          <w:p>
            <w:r>
              <w:rPr>
                <w:rFonts w:ascii="Meiryo UI" w:hAnsi="Meiryo UI"/>
                <w:sz w:val="18"/>
              </w:rPr>
              <w:t>月次売上（4月以降）</w:t>
            </w:r>
          </w:p>
        </w:tc>
        <w:tc>
          <w:tcPr>
            <w:tcW w:type="dxa" w:w="3135"/>
          </w:tcPr>
          <w:p>
            <w:r>
              <w:rPr>
                <w:rFonts w:ascii="Meiryo UI" w:hAnsi="Meiryo UI"/>
                <w:sz w:val="18"/>
              </w:rPr>
              <w:t>毎月第2週</w:t>
            </w:r>
          </w:p>
        </w:tc>
        <w:tc>
          <w:tcPr>
            <w:tcW w:type="dxa" w:w="3135"/>
          </w:tcPr>
          <w:p>
            <w:r>
              <w:rPr>
                <w:rFonts w:ascii="Meiryo UI" w:hAnsi="Meiryo UI"/>
                <w:sz w:val="18"/>
              </w:rPr>
              <w:t>+20%以上維持→BUY継続</w:t>
            </w:r>
          </w:p>
        </w:tc>
      </w:tr>
    </w:tbl>
    <w:p/>
    <w:p>
      <w:r>
        <w:t>──────────────────────────────────────────────────</w:t>
      </w:r>
    </w:p>
    <w:p/>
    <w:p>
      <w:pPr>
        <w:pStyle w:val="Heading2"/>
      </w:pPr>
      <w:r>
        <w:rPr>
          <w:rFonts w:ascii="Meiryo UI" w:hAnsi="Meiryo UI"/>
          <w:color w:val="2E74B5"/>
        </w:rPr>
        <w:t>14. 浅井スコア詳細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ファンダメンタルズ</w:t>
            </w:r>
          </w:p>
        </w:tc>
        <w:tc>
          <w:tcPr>
            <w:tcW w:type="dxa" w:w="3135"/>
          </w:tcPr>
          <w:p>
            <w:r>
              <w:rPr>
                <w:rFonts w:ascii="Meiryo UI" w:hAnsi="Meiryo UI"/>
                <w:sz w:val="18"/>
              </w:rPr>
              <w:t>+30</w:t>
            </w:r>
          </w:p>
        </w:tc>
        <w:tc>
          <w:tcPr>
            <w:tcW w:type="dxa" w:w="3135"/>
          </w:tcPr>
          <w:p>
            <w:r>
              <w:rPr>
                <w:rFonts w:ascii="Meiryo UI" w:hAnsi="Meiryo UI"/>
                <w:sz w:val="18"/>
              </w:rPr>
              <w:t>OP+164%・FY2027 +73%・EPS2倍</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52週新高値更新・PTS+17.7%</w:t>
            </w:r>
          </w:p>
        </w:tc>
      </w:tr>
      <w:tr>
        <w:tc>
          <w:tcPr>
            <w:tcW w:type="dxa" w:w="3135"/>
          </w:tcPr>
          <w:p>
            <w:r>
              <w:rPr>
                <w:rFonts w:ascii="Meiryo UI" w:hAnsi="Meiryo UI"/>
                <w:sz w:val="18"/>
              </w:rPr>
              <w:t>需給フロー</w:t>
            </w:r>
          </w:p>
        </w:tc>
        <w:tc>
          <w:tcPr>
            <w:tcW w:type="dxa" w:w="3135"/>
          </w:tcPr>
          <w:p>
            <w:r>
              <w:rPr>
                <w:rFonts w:ascii="Meiryo UI" w:hAnsi="Meiryo UI"/>
                <w:sz w:val="18"/>
              </w:rPr>
              <w:t>+20</w:t>
            </w:r>
          </w:p>
        </w:tc>
        <w:tc>
          <w:tcPr>
            <w:tcW w:type="dxa" w:w="3135"/>
          </w:tcPr>
          <w:p>
            <w:r>
              <w:rPr>
                <w:rFonts w:ascii="Meiryo UI" w:hAnsi="Meiryo UI"/>
                <w:sz w:val="18"/>
              </w:rPr>
              <w:t>自社株買い実弾+信用踏み上げ+月次モメンタム</w:t>
            </w:r>
          </w:p>
        </w:tc>
      </w:tr>
      <w:tr>
        <w:tc>
          <w:tcPr>
            <w:tcW w:type="dxa" w:w="3135"/>
            <w:shd w:val="clear" w:color="auto" w:fill="DDEBF7"/>
          </w:tcPr>
          <w:p>
            <w:r>
              <w:rPr>
                <w:rFonts w:ascii="Meiryo UI" w:hAnsi="Meiryo UI"/>
                <w:sz w:val="18"/>
              </w:rPr>
              <w:t>地政学・マクロ</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インバウンド×アメカジ需要・円安外需なし（内需型）</w:t>
            </w:r>
          </w:p>
        </w:tc>
      </w:tr>
      <w:tr>
        <w:tc>
          <w:tcPr>
            <w:tcW w:type="dxa" w:w="3135"/>
          </w:tcPr>
          <w:p>
            <w:r>
              <w:rPr>
                <w:rFonts w:ascii="Meiryo UI" w:hAnsi="Meiryo UI"/>
                <w:sz w:val="18"/>
              </w:rPr>
              <w:t>リスク控除</w:t>
            </w:r>
          </w:p>
        </w:tc>
        <w:tc>
          <w:tcPr>
            <w:tcW w:type="dxa" w:w="3135"/>
          </w:tcPr>
          <w:p>
            <w:r>
              <w:rPr>
                <w:rFonts w:ascii="Meiryo UI" w:hAnsi="Meiryo UI"/>
                <w:sz w:val="18"/>
              </w:rPr>
              <w:t>▲5</w:t>
            </w:r>
          </w:p>
        </w:tc>
        <w:tc>
          <w:tcPr>
            <w:tcW w:type="dxa" w:w="3135"/>
          </w:tcPr>
          <w:p>
            <w:r>
              <w:rPr>
                <w:rFonts w:ascii="Meiryo UI" w:hAnsi="Meiryo UI"/>
                <w:sz w:val="18"/>
              </w:rPr>
              <w:t>信用倍率6.42倍の反動リスク</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BUY</w:t>
            </w:r>
          </w:p>
        </w:tc>
      </w:tr>
    </w:tbl>
    <w:p/>
    <w:p>
      <w:r>
        <w:rPr>
          <w:rFonts w:ascii="Meiryo UI" w:hAnsi="Meiryo UI"/>
          <w:sz w:val="20"/>
        </w:rPr>
        <w:t>&gt; 当初+90としていたが、信用倍率リスクと深分析後のガイダンス積極性を精査して+80に調整。</w:t>
      </w:r>
    </w:p>
    <w:p/>
    <w:p>
      <w:r>
        <w:t>──────────────────────────────────────────────────</w:t>
      </w:r>
    </w:p>
    <w:p/>
    <w:p>
      <w:r>
        <w:rPr>
          <w:rFonts w:ascii="Meiryo UI" w:hAnsi="Meiryo UI"/>
          <w:sz w:val="20"/>
        </w:rPr>
        <w:t>本レポートは2026年4月10日発表の決算データに基づく。株価はリアルタイム取得（Yahoo Finance）、財務指標はkabutanより取得。月次データは不労さん提供の参照情報と整合済み。</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