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[3622] ネットイヤーグループ</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[3622] ネットイヤーグループ</w:t>
      </w:r>
    </w:p>
    <w:p>
      <w:r>
        <w:rPr>
          <w:rFonts w:ascii="Meiryo UI" w:hAnsi="Meiryo UI"/>
          <w:sz w:val="20"/>
        </w:rPr>
        <w:t>作成日: 2026-04-14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ネットイヤーグループ（3622.T）DeepResearch レポート</w:t>
      </w:r>
    </w:p>
    <w:p>
      <w:r>
        <w:rPr>
          <w:rFonts w:ascii="Meiryo UI" w:hAnsi="Meiryo UI"/>
          <w:sz w:val="20"/>
        </w:rPr>
        <w:t>分析日: 2026-04-14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【中立（様子見）】 — アクティビスト介入によるNAV顕在化期待あるも、スタンダード降格確定・構造的収益力の脆弱性がDCF理論株価を現在値下回らせる。4/28決算での資本政策変更が唯一の反転トリガー</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¥542 ／ 理論株価（FV）¥420〜¥510（基本シナリオ中央値¥465） ／ 下値余地 ▲14%〜▲23%</w:t>
            </w:r>
          </w:p>
        </w:tc>
      </w:tr>
      <w:tr>
        <w:tc>
          <w:tcPr>
            <w:tcW w:type="dxa" w:w="4703"/>
          </w:tcPr>
          <w:p>
            <w:r>
              <w:rPr>
                <w:rFonts w:ascii="Meiryo UI" w:hAnsi="Meiryo UI"/>
                <w:sz w:val="18"/>
              </w:rPr>
              <w:t>主要カタリスト</w:t>
            </w:r>
          </w:p>
        </w:tc>
        <w:tc>
          <w:tcPr>
            <w:tcW w:type="dxa" w:w="4703"/>
          </w:tcPr>
          <w:p>
            <w:r>
              <w:rPr>
                <w:rFonts w:ascii="Meiryo UI" w:hAnsi="Meiryo UI"/>
                <w:sz w:val="18"/>
              </w:rPr>
              <w:t>①4/28決算：自社株買い・配当方針変更・MBO観測（最重要。具体数値要確認） ②アクティビスト保有比率拡大：要求内容の公開化でNAV顕在化 ③スタンダード降格後の株主構成変化：インデックス外れによる機関投資家売り圧力の一巡タイミング</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4/28決算でアクティビスト要求が却下 or 決算ガイダンス下方修正→ 降格売り×失望売りの二重圧力で¥450割れリスク。現在値は「介入プレミアム」込みであり、失望時の剥落が最大の毒</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現時点ではノーポジ維持。4/28決算発表内容を確認後、資本政策変更（自社株買い・特別配当・MBO等）が明示された場合のみ¥500以下で20%第1トランシェ。損切りライン¥430（BPS¥288×1.49倍水準）。決算前の先行エントリーは介入プレミアムを掴む危険あり</w:t>
            </w:r>
          </w:p>
        </w:tc>
      </w:tr>
    </w:tbl>
    <w:p/>
    <w:p>
      <w:r>
        <w:t>──────────────────────────────────────────────────</w:t>
      </w:r>
    </w:p>
    <w:p/>
    <w:p>
      <w:pPr>
        <w:pStyle w:val="Heading2"/>
      </w:pPr>
      <w:r>
        <w:rPr>
          <w:rFonts w:ascii="Meiryo UI" w:hAnsi="Meiryo UI"/>
          <w:color w:val="2E74B5"/>
        </w:rPr>
        <w:t>セクション 0：損益の「毒」と「薬」の仕分け &amp; QonQ変調分析</w:t>
      </w:r>
    </w:p>
    <w:p/>
    <w:p>
      <w:pPr>
        <w:pStyle w:val="Heading3"/>
      </w:pPr>
      <w:r>
        <w:rPr>
          <w:rFonts w:ascii="Meiryo UI" w:hAnsi="Meiryo UI"/>
          <w:color w:val="2E74B5"/>
        </w:rPr>
        <w:t>0-A. Good/Bad分析（毒と薬の仕分け）</w:t>
      </w:r>
    </w:p>
    <w:p/>
    <w:p>
      <w:r>
        <w:rPr>
          <w:rFonts w:ascii="Meiryo UI" w:hAnsi="Meiryo UI"/>
          <w:sz w:val="20"/>
        </w:rPr>
        <w:t>&gt; ⚠️ データ注記：ネットイヤーグループ（3622.T）は四半期開示が限定的（本決算・中間決算ベース）。以下は直近公開FY2025本決算（2025年3月期）および中間決算の公開情報ベース。金額は一部推計レンジ（★印）。</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デジタルマーケティング・CX支援案件の継続受注</w:t>
            </w:r>
          </w:p>
        </w:tc>
        <w:tc>
          <w:tcPr>
            <w:tcW w:type="dxa" w:w="1881"/>
          </w:tcPr>
          <w:p>
            <w:r>
              <w:rPr>
                <w:rFonts w:ascii="Meiryo UI" w:hAnsi="Meiryo UI"/>
                <w:sz w:val="18"/>
              </w:rPr>
              <w:t>売上高約¥35〜38億円（FY2025推計★）</w:t>
            </w:r>
          </w:p>
        </w:tc>
        <w:tc>
          <w:tcPr>
            <w:tcW w:type="dxa" w:w="1881"/>
          </w:tcPr>
          <w:p>
            <w:r>
              <w:rPr>
                <w:rFonts w:ascii="Meiryo UI" w:hAnsi="Meiryo UI"/>
                <w:sz w:val="18"/>
              </w:rPr>
              <w:t>構造的</w:t>
            </w:r>
          </w:p>
        </w:tc>
        <w:tc>
          <w:tcPr>
            <w:tcW w:type="dxa" w:w="1881"/>
          </w:tcPr>
          <w:p>
            <w:r>
              <w:rPr>
                <w:rFonts w:ascii="Meiryo UI" w:hAnsi="Meiryo UI"/>
                <w:sz w:val="18"/>
              </w:rPr>
              <w:t>主力顧客の継続契約が安定収益基盤。景気感応度は中程度</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アクティビスト介入によるガバナンス改善圧力</w:t>
            </w:r>
          </w:p>
        </w:tc>
        <w:tc>
          <w:tcPr>
            <w:tcW w:type="dxa" w:w="1881"/>
            <w:shd w:val="clear" w:color="auto" w:fill="DDEBF7"/>
          </w:tcPr>
          <w:p>
            <w:r>
              <w:rPr>
                <w:rFonts w:ascii="Meiryo UI" w:hAnsi="Meiryo UI"/>
                <w:sz w:val="18"/>
              </w:rPr>
              <w:t>保有比率・要求内容非公開</w:t>
            </w:r>
          </w:p>
        </w:tc>
        <w:tc>
          <w:tcPr>
            <w:tcW w:type="dxa" w:w="1881"/>
            <w:shd w:val="clear" w:color="auto" w:fill="DDEBF7"/>
          </w:tcPr>
          <w:p>
            <w:r>
              <w:rPr>
                <w:rFonts w:ascii="Meiryo UI" w:hAnsi="Meiryo UI"/>
                <w:sz w:val="18"/>
              </w:rPr>
              <w:t>一過性〜構造的</w:t>
            </w:r>
          </w:p>
        </w:tc>
        <w:tc>
          <w:tcPr>
            <w:tcW w:type="dxa" w:w="1881"/>
            <w:shd w:val="clear" w:color="auto" w:fill="DDEBF7"/>
          </w:tcPr>
          <w:p>
            <w:r>
              <w:rPr>
                <w:rFonts w:ascii="Meiryo UI" w:hAnsi="Meiryo UI"/>
                <w:sz w:val="18"/>
              </w:rPr>
              <w:t>「株主が会社を揺さぶっている」＝放置なら資本効率改善を迫られる。買い手側にとっての触媒</w:t>
            </w:r>
          </w:p>
        </w:tc>
      </w:tr>
      <w:tr>
        <w:tc>
          <w:tcPr>
            <w:tcW w:type="dxa" w:w="1881"/>
          </w:tcPr>
          <w:p>
            <w:r>
              <w:rPr>
                <w:rFonts w:ascii="Meiryo UI" w:hAnsi="Meiryo UI"/>
                <w:sz w:val="18"/>
              </w:rPr>
              <w:t>💊 薬（ポジティブ）</w:t>
            </w:r>
          </w:p>
        </w:tc>
        <w:tc>
          <w:tcPr>
            <w:tcW w:type="dxa" w:w="1881"/>
          </w:tcPr>
          <w:p>
            <w:r>
              <w:rPr>
                <w:rFonts w:ascii="Meiryo UI" w:hAnsi="Meiryo UI"/>
                <w:sz w:val="18"/>
              </w:rPr>
              <w:t>ネットキャッシュポジション（BS上の現預金）</w:t>
            </w:r>
          </w:p>
        </w:tc>
        <w:tc>
          <w:tcPr>
            <w:tcW w:type="dxa" w:w="1881"/>
          </w:tcPr>
          <w:p>
            <w:r>
              <w:rPr>
                <w:rFonts w:ascii="Meiryo UI" w:hAnsi="Meiryo UI"/>
                <w:sz w:val="18"/>
              </w:rPr>
              <w:t>BPS¥288×発行済株式数（推計約1,500〜1,600万株）＝純資産約¥43〜46億円★</w:t>
            </w:r>
          </w:p>
        </w:tc>
        <w:tc>
          <w:tcPr>
            <w:tcW w:type="dxa" w:w="1881"/>
          </w:tcPr>
          <w:p>
            <w:r>
              <w:rPr>
                <w:rFonts w:ascii="Meiryo UI" w:hAnsi="Meiryo UI"/>
                <w:sz w:val="18"/>
              </w:rPr>
              <w:t>構造的</w:t>
            </w:r>
          </w:p>
        </w:tc>
        <w:tc>
          <w:tcPr>
            <w:tcW w:type="dxa" w:w="1881"/>
          </w:tcPr>
          <w:p>
            <w:r>
              <w:rPr>
                <w:rFonts w:ascii="Meiryo UI" w:hAnsi="Meiryo UI"/>
                <w:sz w:val="18"/>
              </w:rPr>
              <w:t>解散価値に対してPBR1.88倍は割高だが、現金比率が高ければアクティビスト要求（還元・MBO）の余地あり</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プライム→スタンダード降格確定（4/7）</w:t>
            </w:r>
          </w:p>
        </w:tc>
        <w:tc>
          <w:tcPr>
            <w:tcW w:type="dxa" w:w="1881"/>
            <w:shd w:val="clear" w:color="auto" w:fill="DDEBF7"/>
          </w:tcPr>
          <w:p>
            <w:r>
              <w:rPr>
                <w:rFonts w:ascii="Meiryo UI" w:hAnsi="Meiryo UI"/>
                <w:sz w:val="18"/>
              </w:rPr>
              <w:t>インデックス除外による機関投資家の強制売り</w:t>
            </w:r>
          </w:p>
        </w:tc>
        <w:tc>
          <w:tcPr>
            <w:tcW w:type="dxa" w:w="1881"/>
            <w:shd w:val="clear" w:color="auto" w:fill="DDEBF7"/>
          </w:tcPr>
          <w:p>
            <w:r>
              <w:rPr>
                <w:rFonts w:ascii="Meiryo UI" w:hAnsi="Meiryo UI"/>
                <w:sz w:val="18"/>
              </w:rPr>
              <w:t>構造的（少なくとも数四半期）</w:t>
            </w:r>
          </w:p>
        </w:tc>
        <w:tc>
          <w:tcPr>
            <w:tcW w:type="dxa" w:w="1881"/>
            <w:shd w:val="clear" w:color="auto" w:fill="DDEBF7"/>
          </w:tcPr>
          <w:p>
            <w:r>
              <w:rPr>
                <w:rFonts w:ascii="Meiryo UI" w:hAnsi="Meiryo UI"/>
                <w:sz w:val="18"/>
              </w:rPr>
              <w:t>「一部上場から二部に落ちた」と同義。インデックスファンドが強制的に売る。需給的な重石</w:t>
            </w:r>
          </w:p>
        </w:tc>
      </w:tr>
      <w:tr>
        <w:tc>
          <w:tcPr>
            <w:tcW w:type="dxa" w:w="1881"/>
          </w:tcPr>
          <w:p>
            <w:r>
              <w:rPr>
                <w:rFonts w:ascii="Meiryo UI" w:hAnsi="Meiryo UI"/>
                <w:sz w:val="18"/>
              </w:rPr>
              <w:t>☠️ 毒（ネガティブ）</w:t>
            </w:r>
          </w:p>
        </w:tc>
        <w:tc>
          <w:tcPr>
            <w:tcW w:type="dxa" w:w="1881"/>
          </w:tcPr>
          <w:p>
            <w:r>
              <w:rPr>
                <w:rFonts w:ascii="Meiryo UI" w:hAnsi="Meiryo UI"/>
                <w:sz w:val="18"/>
              </w:rPr>
              <w:t>薄利ビジネス構造（低営業利益率）</w:t>
            </w:r>
          </w:p>
        </w:tc>
        <w:tc>
          <w:tcPr>
            <w:tcW w:type="dxa" w:w="1881"/>
          </w:tcPr>
          <w:p>
            <w:r>
              <w:rPr>
                <w:rFonts w:ascii="Meiryo UI" w:hAnsi="Meiryo UI"/>
                <w:sz w:val="18"/>
              </w:rPr>
              <w:t>営業利益率推計2〜5%★（EPS¥22×PER24.4倍より逆算）</w:t>
            </w:r>
          </w:p>
        </w:tc>
        <w:tc>
          <w:tcPr>
            <w:tcW w:type="dxa" w:w="1881"/>
          </w:tcPr>
          <w:p>
            <w:r>
              <w:rPr>
                <w:rFonts w:ascii="Meiryo UI" w:hAnsi="Meiryo UI"/>
                <w:sz w:val="18"/>
              </w:rPr>
              <w:t>構造的</w:t>
            </w:r>
          </w:p>
        </w:tc>
        <w:tc>
          <w:tcPr>
            <w:tcW w:type="dxa" w:w="1881"/>
          </w:tcPr>
          <w:p>
            <w:r>
              <w:rPr>
                <w:rFonts w:ascii="Meiryo UI" w:hAnsi="Meiryo UI"/>
                <w:sz w:val="18"/>
              </w:rPr>
              <w:t>売上の伸び悩みに対し固定費（人件費・IT投資）が重い。レバレッジが効かない</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時価総額の小ささ・流動性リスク</w:t>
            </w:r>
          </w:p>
        </w:tc>
        <w:tc>
          <w:tcPr>
            <w:tcW w:type="dxa" w:w="1881"/>
            <w:shd w:val="clear" w:color="auto" w:fill="DDEBF7"/>
          </w:tcPr>
          <w:p>
            <w:r>
              <w:rPr>
                <w:rFonts w:ascii="Meiryo UI" w:hAnsi="Meiryo UI"/>
                <w:sz w:val="18"/>
              </w:rPr>
              <w:t>時価総額≒¥80〜87億円（¥542×約1,500〜1,600万株）</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機関投資家が大口で動くと株価が大きく動く。ボラティリティ高</w:t>
            </w:r>
          </w:p>
        </w:tc>
      </w:tr>
      <w:tr>
        <w:tc>
          <w:tcPr>
            <w:tcW w:type="dxa" w:w="1881"/>
          </w:tcPr>
          <w:p>
            <w:r>
              <w:rPr>
                <w:rFonts w:ascii="Meiryo UI" w:hAnsi="Meiryo UI"/>
                <w:sz w:val="18"/>
              </w:rPr>
              <w:t>☠️ 毒（ネガティブ）</w:t>
            </w:r>
          </w:p>
        </w:tc>
        <w:tc>
          <w:tcPr>
            <w:tcW w:type="dxa" w:w="1881"/>
          </w:tcPr>
          <w:p>
            <w:r>
              <w:rPr>
                <w:rFonts w:ascii="Meiryo UI" w:hAnsi="Meiryo UI"/>
                <w:sz w:val="18"/>
              </w:rPr>
              <w:t>ROE10.4%はPBR1.88倍に見合うか疑問</w:t>
            </w:r>
          </w:p>
        </w:tc>
        <w:tc>
          <w:tcPr>
            <w:tcW w:type="dxa" w:w="1881"/>
          </w:tcPr>
          <w:p>
            <w:r>
              <w:rPr>
                <w:rFonts w:ascii="Meiryo UI" w:hAnsi="Meiryo UI"/>
                <w:sz w:val="18"/>
              </w:rPr>
              <w:t>ROE10.4% / Rf2.467% / ERP5%前後 → 株主資本コスト≒7〜8%</w:t>
            </w:r>
          </w:p>
        </w:tc>
        <w:tc>
          <w:tcPr>
            <w:tcW w:type="dxa" w:w="1881"/>
          </w:tcPr>
          <w:p>
            <w:r>
              <w:rPr>
                <w:rFonts w:ascii="Meiryo UI" w:hAnsi="Meiryo UI"/>
                <w:sz w:val="18"/>
              </w:rPr>
              <w:t>一過性〜構造的</w:t>
            </w:r>
          </w:p>
        </w:tc>
        <w:tc>
          <w:tcPr>
            <w:tcW w:type="dxa" w:w="1881"/>
          </w:tcPr>
          <w:p>
            <w:r>
              <w:rPr>
                <w:rFonts w:ascii="Meiryo UI" w:hAnsi="Meiryo UI"/>
                <w:sz w:val="18"/>
              </w:rPr>
              <w:t>ROEは株主資本コストを上回るが、成長プレミアムを正当化するほどではない。割高感が残る</w:t>
            </w:r>
          </w:p>
        </w:tc>
      </w:tr>
    </w:tbl>
    <w:p/>
    <w:p>
      <w:r>
        <w:rPr>
          <w:rFonts w:ascii="Meiryo UI" w:hAnsi="Meiryo UI"/>
          <w:sz w:val="20"/>
        </w:rPr>
        <w:t>実力ベース純利益・EPSの推計</w:t>
      </w:r>
    </w:p>
    <w:p>
      <w:pPr>
        <w:pStyle w:val="ListBullet"/>
      </w:pPr>
      <w:r>
        <w:rPr>
          <w:rFonts w:ascii="Meiryo UI" w:hAnsi="Meiryo UI"/>
          <w:sz w:val="20"/>
        </w:rPr>
        <w:t>公式EPS: ¥22（PER24.4倍×¥542より整合）</w:t>
      </w:r>
    </w:p>
    <w:p>
      <w:pPr>
        <w:pStyle w:val="ListBullet"/>
      </w:pPr>
      <w:r>
        <w:rPr>
          <w:rFonts w:ascii="Meiryo UI" w:hAnsi="Meiryo UI"/>
          <w:sz w:val="20"/>
        </w:rPr>
        <w:t>一過性要因（アクティビスト関連費用・降格対応コスト）除去後の実力EPS推計: ¥22〜¥25（構造的毒が恒常的であるためアップサイドは限定的）</w:t>
      </w:r>
    </w:p>
    <w:p>
      <w:pPr>
        <w:pStyle w:val="ListBullet"/>
      </w:pPr>
      <w:r>
        <w:rPr>
          <w:rFonts w:ascii="Meiryo UI" w:hAnsi="Meiryo UI"/>
          <w:sz w:val="20"/>
        </w:rPr>
        <w:t>公式値との差分: +¥0〜¥3（大きな一過性歪みは現時点で確認できず）</w:t>
      </w:r>
    </w:p>
    <w:p/>
    <w:p>
      <w:r>
        <w:t>──────────────────────────────────────────────────</w:t>
      </w:r>
    </w:p>
    <w:p/>
    <w:p>
      <w:pPr>
        <w:pStyle w:val="Heading3"/>
      </w:pPr>
      <w:r>
        <w:rPr>
          <w:rFonts w:ascii="Meiryo UI" w:hAnsi="Meiryo UI"/>
          <w:color w:val="2E74B5"/>
        </w:rPr>
        <w:t>0-B. 直近四半期（QonQ）変調分析</w:t>
      </w:r>
    </w:p>
    <w:p/>
    <w:p>
      <w:r>
        <w:rPr>
          <w:rFonts w:ascii="Meiryo UI" w:hAnsi="Meiryo UI"/>
          <w:sz w:val="20"/>
        </w:rPr>
        <w:t>&gt; ⚠️ データ注記：3622.T は四半期単独開示が限定的。H1（上期）/ H2（下期）比較で代替。FY2025（2025年3月期）本決算の半期別推計ベース。決算短信の詳細は4/28確認必須。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H1（上期）実績</w:t>
            </w:r>
          </w:p>
        </w:tc>
        <w:tc>
          <w:tcPr>
            <w:tcW w:type="dxa" w:w="1881"/>
            <w:shd w:val="clear" w:color="auto" w:fill="2E74B5"/>
          </w:tcPr>
          <w:p>
            <w:r>
              <w:rPr>
                <w:rFonts w:ascii="Meiryo UI" w:hAnsi="Meiryo UI"/>
                <w:b/>
                <w:color w:val="FFFFFF"/>
                <w:sz w:val="18"/>
              </w:rPr>
              <w:t>H2（下期）推計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推計¥16〜18億円★</w:t>
            </w:r>
          </w:p>
        </w:tc>
        <w:tc>
          <w:tcPr>
            <w:tcW w:type="dxa" w:w="1881"/>
          </w:tcPr>
          <w:p>
            <w:r>
              <w:rPr>
                <w:rFonts w:ascii="Meiryo UI" w:hAnsi="Meiryo UI"/>
                <w:sz w:val="18"/>
              </w:rPr>
              <w:t>推計¥18〜20億円★</w:t>
            </w:r>
          </w:p>
        </w:tc>
        <w:tc>
          <w:tcPr>
            <w:tcW w:type="dxa" w:w="1881"/>
          </w:tcPr>
          <w:p>
            <w:r>
              <w:rPr>
                <w:rFonts w:ascii="Meiryo UI" w:hAnsi="Meiryo UI"/>
                <w:sz w:val="18"/>
              </w:rPr>
              <w:t>+8〜12%</w:t>
            </w:r>
          </w:p>
        </w:tc>
        <w:tc>
          <w:tcPr>
            <w:tcW w:type="dxa" w:w="1881"/>
          </w:tcPr>
          <w:p>
            <w:r>
              <w:rPr>
                <w:rFonts w:ascii="Meiryo UI" w:hAnsi="Meiryo UI"/>
                <w:sz w:val="18"/>
              </w:rPr>
              <w:t>季節性（下期偏重型。年度末駆け込み案件が多い業種特性）</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推計2〜3%★</w:t>
            </w:r>
          </w:p>
        </w:tc>
        <w:tc>
          <w:tcPr>
            <w:tcW w:type="dxa" w:w="1881"/>
            <w:shd w:val="clear" w:color="auto" w:fill="DDEBF7"/>
          </w:tcPr>
          <w:p>
            <w:r>
              <w:rPr>
                <w:rFonts w:ascii="Meiryo UI" w:hAnsi="Meiryo UI"/>
                <w:sz w:val="18"/>
              </w:rPr>
              <w:t>推計3〜5%★</w:t>
            </w:r>
          </w:p>
        </w:tc>
        <w:tc>
          <w:tcPr>
            <w:tcW w:type="dxa" w:w="1881"/>
            <w:shd w:val="clear" w:color="auto" w:fill="DDEBF7"/>
          </w:tcPr>
          <w:p>
            <w:r>
              <w:rPr>
                <w:rFonts w:ascii="Meiryo UI" w:hAnsi="Meiryo UI"/>
                <w:sz w:val="18"/>
              </w:rPr>
              <w:t>+1〜2pt</w:t>
            </w:r>
          </w:p>
        </w:tc>
        <w:tc>
          <w:tcPr>
            <w:tcW w:type="dxa" w:w="1881"/>
            <w:shd w:val="clear" w:color="auto" w:fill="DDEBF7"/>
          </w:tcPr>
          <w:p>
            <w:r>
              <w:rPr>
                <w:rFonts w:ascii="Meiryo UI" w:hAnsi="Meiryo UI"/>
                <w:sz w:val="18"/>
              </w:rPr>
              <w:t>季節性。下期に大型案件が集中し利益率改善しやすい</w:t>
            </w:r>
          </w:p>
        </w:tc>
      </w:tr>
      <w:tr>
        <w:tc>
          <w:tcPr>
            <w:tcW w:type="dxa" w:w="1881"/>
          </w:tcPr>
          <w:p>
            <w:r>
              <w:rPr>
                <w:rFonts w:ascii="Meiryo UI" w:hAnsi="Meiryo UI"/>
                <w:sz w:val="18"/>
              </w:rPr>
              <w:t>主要顧客構成比 変化</w:t>
            </w:r>
          </w:p>
        </w:tc>
        <w:tc>
          <w:tcPr>
            <w:tcW w:type="dxa" w:w="1881"/>
          </w:tcPr>
          <w:p>
            <w:r>
              <w:rPr>
                <w:rFonts w:ascii="Meiryo UI" w:hAnsi="Meiryo UI"/>
                <w:sz w:val="18"/>
              </w:rPr>
              <w:t>金融・流通・製造系が中心（非開示）</w:t>
            </w:r>
          </w:p>
        </w:tc>
        <w:tc>
          <w:tcPr>
            <w:tcW w:type="dxa" w:w="1881"/>
          </w:tcPr>
          <w:p>
            <w:r>
              <w:rPr>
                <w:rFonts w:ascii="Meiryo UI" w:hAnsi="Meiryo UI"/>
                <w:sz w:val="18"/>
              </w:rPr>
              <w:t>同左（変化なしと推定）</w:t>
            </w:r>
          </w:p>
        </w:tc>
        <w:tc>
          <w:tcPr>
            <w:tcW w:type="dxa" w:w="1881"/>
          </w:tcPr>
          <w:p>
            <w:r>
              <w:rPr>
                <w:rFonts w:ascii="Meiryo UI" w:hAnsi="Meiryo UI"/>
                <w:sz w:val="18"/>
              </w:rPr>
              <w:t>不明</w:t>
            </w:r>
          </w:p>
        </w:tc>
        <w:tc>
          <w:tcPr>
            <w:tcW w:type="dxa" w:w="1881"/>
          </w:tcPr>
          <w:p>
            <w:r>
              <w:rPr>
                <w:rFonts w:ascii="Meiryo UI" w:hAnsi="Meiryo UI"/>
                <w:sz w:val="18"/>
              </w:rPr>
              <w:t>顧客集中リスク要確認。4/28決算で開示内容待ち</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非開示</w:t>
            </w:r>
          </w:p>
        </w:tc>
        <w:tc>
          <w:tcPr>
            <w:tcW w:type="dxa" w:w="1881"/>
            <w:shd w:val="clear" w:color="auto" w:fill="DDEBF7"/>
          </w:tcPr>
          <w:p>
            <w:r>
              <w:rPr>
                <w:rFonts w:ascii="Meiryo UI" w:hAnsi="Meiryo UI"/>
                <w:sz w:val="18"/>
              </w:rPr>
              <w:t>非開示</w:t>
            </w:r>
          </w:p>
        </w:tc>
        <w:tc>
          <w:tcPr>
            <w:tcW w:type="dxa" w:w="1881"/>
            <w:shd w:val="clear" w:color="auto" w:fill="DDEBF7"/>
          </w:tcPr>
          <w:p>
            <w:r>
              <w:rPr>
                <w:rFonts w:ascii="Meiryo UI" w:hAnsi="Meiryo UI"/>
                <w:sz w:val="18"/>
              </w:rPr>
              <w:t>不明</w:t>
            </w:r>
          </w:p>
        </w:tc>
        <w:tc>
          <w:tcPr>
            <w:tcW w:type="dxa" w:w="1881"/>
            <w:shd w:val="clear" w:color="auto" w:fill="DDEBF7"/>
          </w:tcPr>
          <w:p>
            <w:r>
              <w:rPr>
                <w:rFonts w:ascii="Meiryo UI" w:hAnsi="Meiryo UI"/>
                <w:sz w:val="18"/>
              </w:rPr>
              <w:t>バックログ情報は限定的。案件型ビジネスのため受注残の開示が鍵</w:t>
            </w:r>
          </w:p>
        </w:tc>
      </w:tr>
      <w:tr>
        <w:tc>
          <w:tcPr>
            <w:tcW w:type="dxa" w:w="1881"/>
          </w:tcPr>
          <w:p>
            <w:r>
              <w:rPr>
                <w:rFonts w:ascii="Meiryo UI" w:hAnsi="Meiryo UI"/>
                <w:sz w:val="18"/>
              </w:rPr>
              <w:t>特記事項</w:t>
            </w:r>
          </w:p>
        </w:tc>
        <w:tc>
          <w:tcPr>
            <w:tcW w:type="dxa" w:w="1881"/>
          </w:tcPr>
          <w:p>
            <w:r>
              <w:rPr>
                <w:rFonts w:ascii="Meiryo UI" w:hAnsi="Meiryo UI"/>
                <w:sz w:val="18"/>
              </w:rPr>
              <w:t>アクティビスト保有判明（時期不明）</w:t>
            </w:r>
          </w:p>
        </w:tc>
        <w:tc>
          <w:tcPr>
            <w:tcW w:type="dxa" w:w="1881"/>
          </w:tcPr>
          <w:p>
            <w:r>
              <w:rPr>
                <w:rFonts w:ascii="Meiryo UI" w:hAnsi="Meiryo UI"/>
                <w:sz w:val="18"/>
              </w:rPr>
              <w:t>プライム→スタンダード降格発表（4/7）</w:t>
            </w:r>
          </w:p>
        </w:tc>
        <w:tc>
          <w:tcPr>
            <w:tcW w:type="dxa" w:w="1881"/>
          </w:tcPr>
          <w:p>
            <w:r>
              <w:rPr>
                <w:rFonts w:ascii="Meiryo UI" w:hAnsi="Meiryo UI"/>
                <w:sz w:val="18"/>
              </w:rPr>
              <w:t>―</w:t>
            </w:r>
          </w:p>
        </w:tc>
        <w:tc>
          <w:tcPr>
            <w:tcW w:type="dxa" w:w="1881"/>
          </w:tcPr>
          <w:p>
            <w:r>
              <w:rPr>
                <w:rFonts w:ascii="Meiryo UI" w:hAnsi="Meiryo UI"/>
                <w:sz w:val="18"/>
              </w:rPr>
              <w:t>ガバナンスイベントが業績数値以上に株価を動かすフェーズ</w:t>
            </w:r>
          </w:p>
        </w:tc>
      </w:tr>
    </w:tbl>
    <w:p/>
    <w:p>
      <w:r>
        <w:rPr>
          <w:rFonts w:ascii="Meiryo UI" w:hAnsi="Meiryo UI"/>
          <w:sz w:val="20"/>
        </w:rPr>
        <w:t>変調分析サマリー: 業績面での急変は現時点で確認できないが、ガバナンス・需給面での変調が主役。降格による指数外しの需給圧力は今後数週間〜数ヶ月にわたり継続する可能性があり、業績の安定性だけでは相殺しきれないリスクがあ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企業概要</w:t>
      </w:r>
    </w:p>
    <w:p/>
    <w:p>
      <w:r>
        <w:rPr>
          <w:rFonts w:ascii="Meiryo UI" w:hAnsi="Meiryo UI"/>
          <w:sz w:val="20"/>
        </w:rPr>
        <w:t>ネットイヤーグループ（3622.T） は、デジタルマーケティング・CX（カスタマーエクスペリエンス）戦略支援を主軸とするBtoB特化型のデジタルエージェンシー。2000年代初頭のウェブコンサルティングから始まり、現在はUI/UX設計・データアナリティクス・デジタルトランスフォーメーション（DX）支援に注力。</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上場市場</w:t>
            </w:r>
          </w:p>
        </w:tc>
        <w:tc>
          <w:tcPr>
            <w:tcW w:type="dxa" w:w="4703"/>
          </w:tcPr>
          <w:p>
            <w:r>
              <w:rPr>
                <w:rFonts w:ascii="Meiryo UI" w:hAnsi="Meiryo UI"/>
                <w:sz w:val="18"/>
              </w:rPr>
              <w:t>東証プライム → 4/7付でスタンダード移行確定</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約¥82〜87億円（¥542 × 推計発行株数1,500〜1,600万株）</w:t>
            </w:r>
          </w:p>
        </w:tc>
      </w:tr>
      <w:tr>
        <w:tc>
          <w:tcPr>
            <w:tcW w:type="dxa" w:w="4703"/>
          </w:tcPr>
          <w:p>
            <w:r>
              <w:rPr>
                <w:rFonts w:ascii="Meiryo UI" w:hAnsi="Meiryo UI"/>
                <w:sz w:val="18"/>
              </w:rPr>
              <w:t>事業ドメイン</w:t>
            </w:r>
          </w:p>
        </w:tc>
        <w:tc>
          <w:tcPr>
            <w:tcW w:type="dxa" w:w="4703"/>
          </w:tcPr>
          <w:p>
            <w:r>
              <w:rPr>
                <w:rFonts w:ascii="Meiryo UI" w:hAnsi="Meiryo UI"/>
                <w:sz w:val="18"/>
              </w:rPr>
              <w:t>デジタルマーケティング戦略・UX設計・DX支援・データ分析</w:t>
            </w:r>
          </w:p>
        </w:tc>
      </w:tr>
      <w:tr>
        <w:tc>
          <w:tcPr>
            <w:tcW w:type="dxa" w:w="4703"/>
            <w:shd w:val="clear" w:color="auto" w:fill="DDEBF7"/>
          </w:tcPr>
          <w:p>
            <w:r>
              <w:rPr>
                <w:rFonts w:ascii="Meiryo UI" w:hAnsi="Meiryo UI"/>
                <w:sz w:val="18"/>
              </w:rPr>
              <w:t>主要クライアント</w:t>
            </w:r>
          </w:p>
        </w:tc>
        <w:tc>
          <w:tcPr>
            <w:tcW w:type="dxa" w:w="4703"/>
            <w:shd w:val="clear" w:color="auto" w:fill="DDEBF7"/>
          </w:tcPr>
          <w:p>
            <w:r>
              <w:rPr>
                <w:rFonts w:ascii="Meiryo UI" w:hAnsi="Meiryo UI"/>
                <w:sz w:val="18"/>
              </w:rPr>
              <w:t>大手金融機関・流通・製造（非開示）</w:t>
            </w:r>
          </w:p>
        </w:tc>
      </w:tr>
      <w:tr>
        <w:tc>
          <w:tcPr>
            <w:tcW w:type="dxa" w:w="4703"/>
          </w:tcPr>
          <w:p>
            <w:r>
              <w:rPr>
                <w:rFonts w:ascii="Meiryo UI" w:hAnsi="Meiryo UI"/>
                <w:sz w:val="18"/>
              </w:rPr>
              <w:t>従業員数</w:t>
            </w:r>
          </w:p>
        </w:tc>
        <w:tc>
          <w:tcPr>
            <w:tcW w:type="dxa" w:w="4703"/>
          </w:tcPr>
          <w:p>
            <w:r>
              <w:rPr>
                <w:rFonts w:ascii="Meiryo UI" w:hAnsi="Meiryo UI"/>
                <w:sz w:val="18"/>
              </w:rPr>
              <w:t>約300〜400名（推計）</w:t>
            </w:r>
          </w:p>
        </w:tc>
      </w:tr>
      <w:tr>
        <w:tc>
          <w:tcPr>
            <w:tcW w:type="dxa" w:w="4703"/>
            <w:shd w:val="clear" w:color="auto" w:fill="DDEBF7"/>
          </w:tcPr>
          <w:p>
            <w:r>
              <w:rPr>
                <w:rFonts w:ascii="Meiryo UI" w:hAnsi="Meiryo UI"/>
                <w:sz w:val="18"/>
              </w:rPr>
              <w:t>競合</w:t>
            </w:r>
          </w:p>
        </w:tc>
        <w:tc>
          <w:tcPr>
            <w:tcW w:type="dxa" w:w="4703"/>
            <w:shd w:val="clear" w:color="auto" w:fill="DDEBF7"/>
          </w:tcPr>
          <w:p>
            <w:r>
              <w:rPr>
                <w:rFonts w:ascii="Meiryo UI" w:hAnsi="Meiryo UI"/>
                <w:sz w:val="18"/>
              </w:rPr>
              <w:t>電通デジタル、博報堂DYデジタル、Isobar（デントスデジタル傘下）、シンプレクス等</w:t>
            </w:r>
          </w:p>
        </w:tc>
      </w:tr>
    </w:tbl>
    <w:p/>
    <w:p>
      <w:pPr>
        <w:pStyle w:val="Heading3"/>
      </w:pPr>
      <w:r>
        <w:rPr>
          <w:rFonts w:ascii="Meiryo UI" w:hAnsi="Meiryo UI"/>
          <w:color w:val="2E74B5"/>
        </w:rPr>
        <w:t>1-2. 事業セグメント・収益構造</w:t>
      </w:r>
    </w:p>
    <w:p/>
    <w:p>
      <w:r>
        <w:rPr>
          <w:rFonts w:ascii="Meiryo UI" w:hAnsi="Meiryo UI"/>
          <w:sz w:val="20"/>
        </w:rPr>
        <w:t>ネットイヤーグループは実質的に単一セグメント（デジタルコンサルティング・エグゼキューション）に近い収益構造。</w:t>
      </w:r>
    </w:p>
    <w:p/>
    <w:p>
      <w:pPr>
        <w:shd w:val="clear" w:color="auto" w:fill="F2F2F2"/>
      </w:pPr>
      <w:r>
        <w:rPr>
          <w:rFonts w:ascii="Courier New" w:hAnsi="Courier New"/>
          <w:sz w:val="16"/>
        </w:rPr>
        <w:t>売上構成（推計）</w:t>
        <w:br/>
        <w:t>├── プロジェクト型案件（UX設計・DXコンサル）: 約60〜70%</w:t>
        <w:br/>
        <w:t>├── ランニング型契約（サイト運用・データ分析保守）: 約25〜35%</w:t>
        <w:br/>
        <w:t>└── その他（研修・ツール販売）: 5%以下</w:t>
      </w:r>
    </w:p>
    <w:p/>
    <w:p>
      <w:r>
        <w:rPr>
          <w:rFonts w:ascii="Meiryo UI" w:hAnsi="Meiryo UI"/>
          <w:sz w:val="20"/>
        </w:rPr>
        <w:t>競合優位性:</w:t>
      </w:r>
    </w:p>
    <w:p>
      <w:pPr>
        <w:pStyle w:val="ListBullet"/>
      </w:pPr>
      <w:r>
        <w:rPr>
          <w:rFonts w:ascii="Meiryo UI" w:hAnsi="Meiryo UI"/>
          <w:sz w:val="20"/>
        </w:rPr>
        <w:t>📌 上流設計（戦略〜体験設計）に特化しており、実装フェーズは外注→高付加価値ポジションだが、競合大手（電通デジタル等）との差別化が課題</w:t>
      </w:r>
    </w:p>
    <w:p>
      <w:pPr>
        <w:pStyle w:val="ListBullet"/>
      </w:pPr>
      <w:r>
        <w:rPr>
          <w:rFonts w:ascii="Meiryo UI" w:hAnsi="Meiryo UI"/>
          <w:sz w:val="20"/>
        </w:rPr>
        <w:t>📌 大手クライアントとの長期関係（スイッチングコストは中程度）</w:t>
      </w:r>
    </w:p>
    <w:p>
      <w:pPr>
        <w:pStyle w:val="ListBullet"/>
      </w:pPr>
      <w:r>
        <w:rPr>
          <w:rFonts w:ascii="Meiryo UI" w:hAnsi="Meiryo UI"/>
          <w:sz w:val="20"/>
        </w:rPr>
        <w:t>📌 規模の小ささ（従業員300〜400名）が小回りの利く提案力を生む一方、大型案件では体力不足</w:t>
      </w:r>
    </w:p>
    <w:p/>
    <w:p>
      <w:r>
        <w:rPr>
          <w:rFonts w:ascii="Meiryo UI" w:hAnsi="Meiryo UI"/>
          <w:sz w:val="20"/>
        </w:rPr>
        <w:t>構造的弱点:</w:t>
      </w:r>
    </w:p>
    <w:p>
      <w:pPr>
        <w:pStyle w:val="ListBullet"/>
      </w:pPr>
      <w:r>
        <w:rPr>
          <w:rFonts w:ascii="Meiryo UI" w:hAnsi="Meiryo UI"/>
          <w:sz w:val="20"/>
        </w:rPr>
        <w:t>人月型ビジネスのためスケーラビリティが低い</w:t>
      </w:r>
    </w:p>
    <w:p>
      <w:pPr>
        <w:pStyle w:val="ListBullet"/>
      </w:pPr>
      <w:r>
        <w:rPr>
          <w:rFonts w:ascii="Meiryo UI" w:hAnsi="Meiryo UI"/>
          <w:sz w:val="20"/>
        </w:rPr>
        <w:t>ARR（年次反復収益）比率が限定的→景気減速時の下振れリスク</w:t>
      </w:r>
    </w:p>
    <w:p>
      <w:pPr>
        <w:pStyle w:val="ListBullet"/>
      </w:pPr>
      <w:r>
        <w:rPr>
          <w:rFonts w:ascii="Meiryo UI" w:hAnsi="Meiryo UI"/>
          <w:sz w:val="20"/>
        </w:rPr>
        <w:t>プライム降格により採用ブランド力低下のリスク（人材獲得競争で不利に）</w:t>
      </w:r>
    </w:p>
    <w:p/>
    <w:p>
      <w:pPr>
        <w:pStyle w:val="Heading3"/>
      </w:pPr>
      <w:r>
        <w:rPr>
          <w:rFonts w:ascii="Meiryo UI" w:hAnsi="Meiryo UI"/>
          <w:color w:val="2E74B5"/>
        </w:rPr>
        <w:t>1-3. 直近カタリスト一覧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影響方向</w:t>
            </w:r>
          </w:p>
        </w:tc>
        <w:tc>
          <w:tcPr>
            <w:tcW w:type="dxa" w:w="2351"/>
            <w:shd w:val="clear" w:color="auto" w:fill="2E74B5"/>
          </w:tcPr>
          <w:p>
            <w:r>
              <w:rPr>
                <w:rFonts w:ascii="Meiryo UI" w:hAnsi="Meiryo UI"/>
                <w:b/>
                <w:color w:val="FFFFFF"/>
                <w:sz w:val="18"/>
              </w:rPr>
              <w:t>確度</w:t>
            </w:r>
          </w:p>
        </w:tc>
      </w:tr>
      <w:tr>
        <w:tc>
          <w:tcPr>
            <w:tcW w:type="dxa" w:w="2351"/>
          </w:tcPr>
          <w:p>
            <w:r>
              <w:rPr>
                <w:rFonts w:ascii="Meiryo UI" w:hAnsi="Meiryo UI"/>
                <w:sz w:val="18"/>
              </w:rPr>
              <w:t>アクティビスト介入（保有・要求内容）</w:t>
            </w:r>
          </w:p>
        </w:tc>
        <w:tc>
          <w:tcPr>
            <w:tcW w:type="dxa" w:w="2351"/>
          </w:tcPr>
          <w:p>
            <w:r>
              <w:rPr>
                <w:rFonts w:ascii="Meiryo UI" w:hAnsi="Meiryo UI"/>
                <w:sz w:val="18"/>
              </w:rPr>
              <w:t>確認済（詳細非公開）</w:t>
            </w:r>
          </w:p>
        </w:tc>
        <w:tc>
          <w:tcPr>
            <w:tcW w:type="dxa" w:w="2351"/>
          </w:tcPr>
          <w:p>
            <w:r>
              <w:rPr>
                <w:rFonts w:ascii="Meiryo UI" w:hAnsi="Meiryo UI"/>
                <w:sz w:val="18"/>
              </w:rPr>
              <w:t>ポジティブ（資本効率改善圧力）</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プライム→スタンダード降格</w:t>
            </w:r>
          </w:p>
        </w:tc>
        <w:tc>
          <w:tcPr>
            <w:tcW w:type="dxa" w:w="2351"/>
            <w:shd w:val="clear" w:color="auto" w:fill="DDEBF7"/>
          </w:tcPr>
          <w:p>
            <w:r>
              <w:rPr>
                <w:rFonts w:ascii="Meiryo UI" w:hAnsi="Meiryo UI"/>
                <w:sz w:val="18"/>
              </w:rPr>
              <w:t>4/7確定</w:t>
            </w:r>
          </w:p>
        </w:tc>
        <w:tc>
          <w:tcPr>
            <w:tcW w:type="dxa" w:w="2351"/>
            <w:shd w:val="clear" w:color="auto" w:fill="DDEBF7"/>
          </w:tcPr>
          <w:p>
            <w:r>
              <w:rPr>
                <w:rFonts w:ascii="Meiryo UI" w:hAnsi="Meiryo UI"/>
                <w:sz w:val="18"/>
              </w:rPr>
              <w:t>ネガティブ（需給・ブランド）</w:t>
            </w:r>
          </w:p>
        </w:tc>
        <w:tc>
          <w:tcPr>
            <w:tcW w:type="dxa" w:w="2351"/>
            <w:shd w:val="clear" w:color="auto" w:fill="DDEBF7"/>
          </w:tcPr>
          <w:p>
            <w:r>
              <w:rPr>
                <w:rFonts w:ascii="Meiryo UI" w:hAnsi="Meiryo UI"/>
                <w:sz w:val="18"/>
              </w:rPr>
              <w:t>確定</w:t>
            </w:r>
          </w:p>
        </w:tc>
      </w:tr>
      <w:tr>
        <w:tc>
          <w:tcPr>
            <w:tcW w:type="dxa" w:w="2351"/>
          </w:tcPr>
          <w:p>
            <w:r>
              <w:rPr>
                <w:rFonts w:ascii="Meiryo UI" w:hAnsi="Meiryo UI"/>
                <w:sz w:val="18"/>
              </w:rPr>
              <w:t>FY2025本決算発表</w:t>
            </w:r>
          </w:p>
        </w:tc>
        <w:tc>
          <w:tcPr>
            <w:tcW w:type="dxa" w:w="2351"/>
          </w:tcPr>
          <w:p>
            <w:r>
              <w:rPr>
                <w:rFonts w:ascii="Meiryo UI" w:hAnsi="Meiryo UI"/>
                <w:sz w:val="18"/>
              </w:rPr>
              <w:t>4/28（最重要）</w:t>
            </w:r>
          </w:p>
        </w:tc>
        <w:tc>
          <w:tcPr>
            <w:tcW w:type="dxa" w:w="2351"/>
          </w:tcPr>
          <w:p>
            <w:r>
              <w:rPr>
                <w:rFonts w:ascii="Meiryo UI" w:hAnsi="Meiryo UI"/>
                <w:sz w:val="18"/>
              </w:rPr>
              <w:t>不確定（資本政策次第）</w:t>
            </w:r>
          </w:p>
        </w:tc>
        <w:tc>
          <w:tcPr>
            <w:tcW w:type="dxa" w:w="2351"/>
          </w:tcPr>
          <w:p>
            <w:r>
              <w:rPr>
                <w:rFonts w:ascii="Meiryo UI" w:hAnsi="Meiryo UI"/>
                <w:sz w:val="18"/>
              </w:rPr>
              <w:t>高確度でイベント発生</w:t>
            </w:r>
          </w:p>
        </w:tc>
      </w:tr>
      <w:tr>
        <w:tc>
          <w:tcPr>
            <w:tcW w:type="dxa" w:w="2351"/>
            <w:shd w:val="clear" w:color="auto" w:fill="DDEBF7"/>
          </w:tcPr>
          <w:p>
            <w:r>
              <w:rPr>
                <w:rFonts w:ascii="Meiryo UI" w:hAnsi="Meiryo UI"/>
                <w:sz w:val="18"/>
              </w:rPr>
              <w:t>アクティビスト要求の公開化・株主提案</w:t>
            </w:r>
          </w:p>
        </w:tc>
        <w:tc>
          <w:tcPr>
            <w:tcW w:type="dxa" w:w="2351"/>
            <w:shd w:val="clear" w:color="auto" w:fill="DDEBF7"/>
          </w:tcPr>
          <w:p>
            <w:r>
              <w:rPr>
                <w:rFonts w:ascii="Meiryo UI" w:hAnsi="Meiryo UI"/>
                <w:sz w:val="18"/>
              </w:rPr>
              <w:t>定時株主総会（6月想定）</w:t>
            </w:r>
          </w:p>
        </w:tc>
        <w:tc>
          <w:tcPr>
            <w:tcW w:type="dxa" w:w="2351"/>
            <w:shd w:val="clear" w:color="auto" w:fill="DDEBF7"/>
          </w:tcPr>
          <w:p>
            <w:r>
              <w:rPr>
                <w:rFonts w:ascii="Meiryo UI" w:hAnsi="Meiryo UI"/>
                <w:sz w:val="18"/>
              </w:rPr>
              <w:t>ポジティブ〜中立</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MBO・第三者割当・TOB観測</w:t>
            </w:r>
          </w:p>
        </w:tc>
        <w:tc>
          <w:tcPr>
            <w:tcW w:type="dxa" w:w="2351"/>
          </w:tcPr>
          <w:p>
            <w:r>
              <w:rPr>
                <w:rFonts w:ascii="Meiryo UI" w:hAnsi="Meiryo UI"/>
                <w:sz w:val="18"/>
              </w:rPr>
              <w:t>不明</w:t>
            </w:r>
          </w:p>
        </w:tc>
        <w:tc>
          <w:tcPr>
            <w:tcW w:type="dxa" w:w="2351"/>
          </w:tcPr>
          <w:p>
            <w:r>
              <w:rPr>
                <w:rFonts w:ascii="Meiryo UI" w:hAnsi="Meiryo UI"/>
                <w:sz w:val="18"/>
              </w:rPr>
              <w:t>強ポジティブ（プレミアム）</w:t>
            </w:r>
          </w:p>
        </w:tc>
        <w:tc>
          <w:tcPr>
            <w:tcW w:type="dxa" w:w="2351"/>
          </w:tcPr>
          <w:p>
            <w:r>
              <w:rPr>
                <w:rFonts w:ascii="Meiryo UI" w:hAnsi="Meiryo UI"/>
                <w:sz w:val="18"/>
              </w:rPr>
              <w:t>低〜中</w:t>
            </w:r>
          </w:p>
        </w:tc>
      </w:tr>
    </w:tbl>
    <w:p/>
    <w:p>
      <w:r>
        <w:t>──────────────────────────────────────────────────</w:t>
      </w:r>
    </w:p>
    <w:p/>
    <w:p>
      <w:pPr>
        <w:pStyle w:val="Heading2"/>
      </w:pPr>
      <w:r>
        <w:rPr>
          <w:rFonts w:ascii="Meiryo UI" w:hAnsi="Meiryo UI"/>
          <w:color w:val="2E74B5"/>
        </w:rPr>
        <w:t>2. 社長指示重点分析：「アクティビスト介入×プライム→スタンダード降格×4/28決算迫る。優先度1」</w:t>
      </w:r>
    </w:p>
    <w:p/>
    <w:p>
      <w:pPr>
        <w:pStyle w:val="Heading3"/>
      </w:pPr>
      <w:r>
        <w:rPr>
          <w:rFonts w:ascii="Meiryo UI" w:hAnsi="Meiryo UI"/>
          <w:color w:val="2E74B5"/>
        </w:rPr>
        <w:t>2-1. アクティビスト介入の構造分析</w:t>
      </w:r>
    </w:p>
    <w:p/>
    <w:p>
      <w:r>
        <w:rPr>
          <w:rFonts w:ascii="Meiryo UI" w:hAnsi="Meiryo UI"/>
          <w:sz w:val="20"/>
        </w:rPr>
        <w:t>時価総額¥80〜90億円の小型デジタルエージェンシーへのアクティビスト介入は、以下の「解散価値/隠れ資産」の観点から動機が説明できる。</w:t>
      </w:r>
    </w:p>
    <w:p/>
    <w:p>
      <w:pPr>
        <w:shd w:val="clear" w:color="auto" w:fill="F2F2F2"/>
      </w:pPr>
      <w:r>
        <w:rPr>
          <w:rFonts w:ascii="Courier New" w:hAnsi="Courier New"/>
          <w:sz w:val="16"/>
        </w:rPr>
        <w:t>アクティビスト介入の経済学（ネットイヤーの場合）</w:t>
        <w:br/>
        <w:t>─────────────────────────────────────────</w:t>
        <w:br/>
        <w:t>純資産（BPS¥288 × 推計株数1,500〜1,600万株）= 約¥43〜46億円</w:t>
        <w:br/>
        <w:t>現在時価総額: 約¥82〜87億円</w:t>
        <w:br/>
        <w:t>PBR: 1.88倍</w:t>
        <w:br/>
        <w:br/>
        <w:t>アクティビスト視点での「解散価値ギャップ」:</w:t>
        <w:br/>
        <w:t>→ 現預金・有形資産が純資産の大部分を占めるなら、</w:t>
        <w:br/>
        <w:t xml:space="preserve">  「稼ぐ力が弱い＝事業を清算してキャッシュを株主に返せ」論が成立</w:t>
        <w:br/>
        <w:t>→ ただしPBR1.88倍は解散価値に対して割高であり、</w:t>
        <w:br/>
        <w:t xml:space="preserve">  アクティビストが要求するのは「株主還元強化 or 経営効率化 or 売却」</w:t>
        <w:br/>
        <w:t>─────────────────────────────────────────</w:t>
      </w:r>
    </w:p>
    <w:p/>
    <w:p>
      <w:r>
        <w:rPr>
          <w:rFonts w:ascii="Meiryo UI" w:hAnsi="Meiryo UI"/>
          <w:sz w:val="20"/>
        </w:rPr>
        <w:t>考えられるアクティビスト要求内容（典型パターン）:</w:t>
      </w:r>
    </w:p>
    <w:p>
      <w:pPr>
        <w:pStyle w:val="ListNumber"/>
      </w:pPr>
      <w:r>
        <w:rPr>
          <w:rFonts w:ascii="Meiryo UI" w:hAnsi="Meiryo UI"/>
          <w:sz w:val="20"/>
        </w:rPr>
        <w:t>大規模自社株買い・特別配当（最もシンプル）</w:t>
      </w:r>
    </w:p>
    <w:p>
      <w:pPr>
        <w:pStyle w:val="ListNumber"/>
      </w:pPr>
      <w:r>
        <w:rPr>
          <w:rFonts w:ascii="Meiryo UI" w:hAnsi="Meiryo UI"/>
          <w:sz w:val="20"/>
        </w:rPr>
        <w:t>外部資本との統合・M&amp;A賛成票（戦略的売却）</w:t>
      </w:r>
    </w:p>
    <w:p>
      <w:pPr>
        <w:pStyle w:val="ListNumber"/>
      </w:pPr>
      <w:r>
        <w:rPr>
          <w:rFonts w:ascii="Meiryo UI" w:hAnsi="Meiryo UI"/>
          <w:sz w:val="20"/>
        </w:rPr>
        <w:t>経営陣刷新・社外取締役増員（ガバナンス要求）</w:t>
      </w:r>
    </w:p>
    <w:p>
      <w:pPr>
        <w:pStyle w:val="ListNumber"/>
      </w:pPr>
      <w:r>
        <w:rPr>
          <w:rFonts w:ascii="Meiryo UI" w:hAnsi="Meiryo UI"/>
          <w:sz w:val="20"/>
        </w:rPr>
        <w:t>MBO支援（非公開化による効率経営）</w:t>
      </w:r>
    </w:p>
    <w:p/>
    <w:p>
      <w:pPr>
        <w:pStyle w:val="Heading3"/>
      </w:pPr>
      <w:r>
        <w:rPr>
          <w:rFonts w:ascii="Meiryo UI" w:hAnsi="Meiryo UI"/>
          <w:color w:val="2E74B5"/>
        </w:rPr>
        <w:t>2-2. プライム→スタンダード降格の需給インパクト</w:t>
      </w:r>
    </w:p>
    <w:p/>
    <w:p>
      <w:r>
        <w:rPr>
          <w:rFonts w:ascii="Meiryo UI" w:hAnsi="Meiryo UI"/>
          <w:sz w:val="20"/>
        </w:rPr>
        <w:t>降格の機械的インパクト:</w:t>
      </w:r>
    </w:p>
    <w:p>
      <w:pPr>
        <w:pStyle w:val="ListBullet"/>
      </w:pPr>
      <w:r>
        <w:rPr>
          <w:rFonts w:ascii="Meiryo UI" w:hAnsi="Meiryo UI"/>
          <w:sz w:val="20"/>
        </w:rPr>
        <w:t>TOPIXから除外される可能性（プライム残存条件を満たさない場合）→ TOPIXインデックスファンドの強制売り</w:t>
      </w:r>
    </w:p>
    <w:p>
      <w:pPr>
        <w:pStyle w:val="ListBullet"/>
      </w:pPr>
      <w:r>
        <w:rPr>
          <w:rFonts w:ascii="Meiryo UI" w:hAnsi="Meiryo UI"/>
          <w:sz w:val="20"/>
        </w:rPr>
        <w:t>プライム市場上場基準（時価総額100億円・流通株式数・利益要件）を維持できなかった事実が、機関投資家のユニバース除外につながる</w:t>
      </w:r>
    </w:p>
    <w:p/>
    <w:p>
      <w:r>
        <w:rPr>
          <w:rFonts w:ascii="Meiryo UI" w:hAnsi="Meiryo UI"/>
          <w:sz w:val="20"/>
        </w:rPr>
        <w:t>&gt; 深井の見立て: 降格確定後の株価（¥542）はすでに一定程度の需給悪化を織り込んでいる可能性があるが、実際のインデックスリバランスは数週間〜数ヶ月かけて実行される。4/28決算前後にかけて売り圧力が残存すると見るのが妥当。</w:t>
      </w:r>
    </w:p>
    <w:p/>
    <w:p>
      <w:pPr>
        <w:pStyle w:val="Heading3"/>
      </w:pPr>
      <w:r>
        <w:rPr>
          <w:rFonts w:ascii="Meiryo UI" w:hAnsi="Meiryo UI"/>
          <w:color w:val="2E74B5"/>
        </w:rPr>
        <w:t>2-3. 4/28決算の「見るべきポイント」ランキング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優先度</w:t>
            </w:r>
          </w:p>
        </w:tc>
        <w:tc>
          <w:tcPr>
            <w:tcW w:type="dxa" w:w="3135"/>
            <w:shd w:val="clear" w:color="auto" w:fill="2E74B5"/>
          </w:tcPr>
          <w:p>
            <w:r>
              <w:rPr>
                <w:rFonts w:ascii="Meiryo UI" w:hAnsi="Meiryo UI"/>
                <w:b/>
                <w:color w:val="FFFFFF"/>
                <w:sz w:val="18"/>
              </w:rPr>
              <w:t>チェックポイント</w:t>
            </w:r>
          </w:p>
        </w:tc>
        <w:tc>
          <w:tcPr>
            <w:tcW w:type="dxa" w:w="3135"/>
            <w:shd w:val="clear" w:color="auto" w:fill="2E74B5"/>
          </w:tcPr>
          <w:p>
            <w:r>
              <w:rPr>
                <w:rFonts w:ascii="Meiryo UI" w:hAnsi="Meiryo UI"/>
                <w:b/>
                <w:color w:val="FFFFFF"/>
                <w:sz w:val="18"/>
              </w:rPr>
              <w:t>判断基準（強気/弱気のライン）</w:t>
            </w:r>
          </w:p>
        </w:tc>
      </w:tr>
      <w:tr>
        <w:tc>
          <w:tcPr>
            <w:tcW w:type="dxa" w:w="3135"/>
          </w:tcPr>
          <w:p>
            <w:r>
              <w:rPr>
                <w:rFonts w:ascii="Meiryo UI" w:hAnsi="Meiryo UI"/>
                <w:sz w:val="18"/>
              </w:rPr>
              <w:t>★★★</w:t>
            </w:r>
          </w:p>
        </w:tc>
        <w:tc>
          <w:tcPr>
            <w:tcW w:type="dxa" w:w="3135"/>
          </w:tcPr>
          <w:p>
            <w:r>
              <w:rPr>
                <w:rFonts w:ascii="Meiryo UI" w:hAnsi="Meiryo UI"/>
                <w:sz w:val="18"/>
              </w:rPr>
              <w:t>資本政策の変更発表（自社株買い・配当増額）</w:t>
            </w:r>
          </w:p>
        </w:tc>
        <w:tc>
          <w:tcPr>
            <w:tcW w:type="dxa" w:w="3135"/>
          </w:tcPr>
          <w:p>
            <w:r>
              <w:rPr>
                <w:rFonts w:ascii="Meiryo UI" w:hAnsi="Meiryo UI"/>
                <w:sz w:val="18"/>
              </w:rPr>
              <w:t>発表あり→+10〜20%跳ね。なし→現在値維持〜▲10%</w:t>
            </w:r>
          </w:p>
        </w:tc>
      </w:tr>
      <w:tr>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アクティビスト対応の開示（対話・要求内容）</w:t>
            </w:r>
          </w:p>
        </w:tc>
        <w:tc>
          <w:tcPr>
            <w:tcW w:type="dxa" w:w="3135"/>
            <w:shd w:val="clear" w:color="auto" w:fill="DDEBF7"/>
          </w:tcPr>
          <w:p>
            <w:r>
              <w:rPr>
                <w:rFonts w:ascii="Meiryo UI" w:hAnsi="Meiryo UI"/>
                <w:sz w:val="18"/>
              </w:rPr>
              <w:t>建設的対話明示→ポジティブ。無視・訴訟→ネガティブ</w:t>
            </w:r>
          </w:p>
        </w:tc>
      </w:tr>
      <w:tr>
        <w:tc>
          <w:tcPr>
            <w:tcW w:type="dxa" w:w="3135"/>
          </w:tcPr>
          <w:p>
            <w:r>
              <w:rPr>
                <w:rFonts w:ascii="Meiryo UI" w:hAnsi="Meiryo UI"/>
                <w:sz w:val="18"/>
              </w:rPr>
              <w:t>★★</w:t>
            </w:r>
          </w:p>
        </w:tc>
        <w:tc>
          <w:tcPr>
            <w:tcW w:type="dxa" w:w="3135"/>
          </w:tcPr>
          <w:p>
            <w:r>
              <w:rPr>
                <w:rFonts w:ascii="Meiryo UI" w:hAnsi="Meiryo UI"/>
                <w:sz w:val="18"/>
              </w:rPr>
              <w:t>FY2026ガイダンス（売上・営業利益）</w:t>
            </w:r>
          </w:p>
        </w:tc>
        <w:tc>
          <w:tcPr>
            <w:tcW w:type="dxa" w:w="3135"/>
          </w:tcPr>
          <w:p>
            <w:r>
              <w:rPr>
                <w:rFonts w:ascii="Meiryo UI" w:hAnsi="Meiryo UI"/>
                <w:sz w:val="18"/>
              </w:rPr>
              <w:t>前期比+10%以上→ポジティブ。現状維持〜下方→ネガティブ</w:t>
            </w:r>
          </w:p>
        </w:tc>
      </w:tr>
      <w:tr>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EPS実績とコンセンサス対比</w:t>
            </w:r>
          </w:p>
        </w:tc>
        <w:tc>
          <w:tcPr>
            <w:tcW w:type="dxa" w:w="3135"/>
            <w:shd w:val="clear" w:color="auto" w:fill="DDEBF7"/>
          </w:tcPr>
          <w:p>
            <w:r>
              <w:rPr>
                <w:rFonts w:ascii="Meiryo UI" w:hAnsi="Meiryo UI"/>
                <w:sz w:val="18"/>
              </w:rPr>
              <w:t>EPS¥22超→中立〜ポジティブ。¥18割れ→強ネガティブ</w:t>
            </w:r>
          </w:p>
        </w:tc>
      </w:tr>
      <w:tr>
        <w:tc>
          <w:tcPr>
            <w:tcW w:type="dxa" w:w="3135"/>
          </w:tcPr>
          <w:p>
            <w:r>
              <w:rPr>
                <w:rFonts w:ascii="Meiryo UI" w:hAnsi="Meiryo UI"/>
                <w:sz w:val="18"/>
              </w:rPr>
              <w:t>★</w:t>
            </w:r>
          </w:p>
        </w:tc>
        <w:tc>
          <w:tcPr>
            <w:tcW w:type="dxa" w:w="3135"/>
          </w:tcPr>
          <w:p>
            <w:r>
              <w:rPr>
                <w:rFonts w:ascii="Meiryo UI" w:hAnsi="Meiryo UI"/>
                <w:sz w:val="18"/>
              </w:rPr>
              <w:t>配当方針（増配・特別配当）</w:t>
            </w:r>
          </w:p>
        </w:tc>
        <w:tc>
          <w:tcPr>
            <w:tcW w:type="dxa" w:w="3135"/>
          </w:tcPr>
          <w:p>
            <w:r>
              <w:rPr>
                <w:rFonts w:ascii="Meiryo UI" w:hAnsi="Meiryo UI"/>
                <w:sz w:val="18"/>
              </w:rPr>
              <w:t>増配→+5〜10%。維持→中立</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リアルタイム財務指標（絶対使用値）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¥542</w:t>
            </w:r>
          </w:p>
        </w:tc>
        <w:tc>
          <w:tcPr>
            <w:tcW w:type="dxa" w:w="3135"/>
          </w:tcPr>
          <w:p>
            <w:r>
              <w:rPr>
                <w:rFonts w:ascii="Meiryo UI" w:hAnsi="Meiryo UI"/>
                <w:sz w:val="18"/>
              </w:rPr>
              <w:t>Yahoo Finance 2026-04-14 12:18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1.88倍</w:t>
            </w:r>
          </w:p>
        </w:tc>
        <w:tc>
          <w:tcPr>
            <w:tcW w:type="dxa" w:w="3135"/>
            <w:shd w:val="clear" w:color="auto" w:fill="DDEBF7"/>
          </w:tcPr>
          <w:p>
            <w:r>
              <w:rPr>
                <w:rFonts w:ascii="Meiryo UI" w:hAnsi="Meiryo UI"/>
                <w:sz w:val="18"/>
              </w:rPr>
              <w:t>Yahoo Finance（唯一の正解値）</w:t>
            </w:r>
          </w:p>
        </w:tc>
      </w:tr>
      <w:tr>
        <w:tc>
          <w:tcPr>
            <w:tcW w:type="dxa" w:w="3135"/>
          </w:tcPr>
          <w:p>
            <w:r>
              <w:rPr>
                <w:rFonts w:ascii="Meiryo UI" w:hAnsi="Meiryo UI"/>
                <w:sz w:val="18"/>
              </w:rPr>
              <w:t>BPS</w:t>
            </w:r>
          </w:p>
        </w:tc>
        <w:tc>
          <w:tcPr>
            <w:tcW w:type="dxa" w:w="3135"/>
          </w:tcPr>
          <w:p>
            <w:r>
              <w:rPr>
                <w:rFonts w:ascii="Meiryo UI" w:hAnsi="Meiryo UI"/>
                <w:sz w:val="18"/>
              </w:rPr>
              <w:t>¥288</w:t>
            </w:r>
          </w:p>
        </w:tc>
        <w:tc>
          <w:tcPr>
            <w:tcW w:type="dxa" w:w="3135"/>
          </w:tcPr>
          <w:p>
            <w:r>
              <w:rPr>
                <w:rFonts w:ascii="Meiryo UI" w:hAnsi="Meiryo UI"/>
                <w:sz w:val="18"/>
              </w:rPr>
              <w:t>Yahoo Finance（唯一の正解値）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10.4%</w:t>
            </w:r>
          </w:p>
        </w:tc>
        <w:tc>
          <w:tcPr>
            <w:tcW w:type="dxa" w:w="3135"/>
            <w:shd w:val="clear" w:color="auto" w:fill="DDEBF7"/>
          </w:tcPr>
          <w:p>
            <w:r>
              <w:rPr>
                <w:rFonts w:ascii="Meiryo UI" w:hAnsi="Meiryo UI"/>
                <w:sz w:val="18"/>
              </w:rPr>
              <w:t>Yahoo Finance（唯一の正解値）</w:t>
            </w:r>
          </w:p>
        </w:tc>
      </w:tr>
      <w:tr>
        <w:tc>
          <w:tcPr>
            <w:tcW w:type="dxa" w:w="3135"/>
          </w:tcPr>
          <w:p>
            <w:r>
              <w:rPr>
                <w:rFonts w:ascii="Meiryo UI" w:hAnsi="Meiryo UI"/>
                <w:sz w:val="18"/>
              </w:rPr>
              <w:t>PER</w:t>
            </w:r>
          </w:p>
        </w:tc>
        <w:tc>
          <w:tcPr>
            <w:tcW w:type="dxa" w:w="3135"/>
          </w:tcPr>
          <w:p>
            <w:r>
              <w:rPr>
                <w:rFonts w:ascii="Meiryo UI" w:hAnsi="Meiryo UI"/>
                <w:sz w:val="18"/>
              </w:rPr>
              <w:t>24.4倍</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¥22</w:t>
            </w:r>
          </w:p>
        </w:tc>
        <w:tc>
          <w:tcPr>
            <w:tcW w:type="dxa" w:w="3135"/>
            <w:shd w:val="clear" w:color="auto" w:fill="DDEBF7"/>
          </w:tcPr>
          <w:p>
            <w:r>
              <w:rPr>
                <w:rFonts w:ascii="Meiryo UI" w:hAnsi="Meiryo UI"/>
                <w:sz w:val="18"/>
              </w:rPr>
              <w:t>Yahoo Finance</w:t>
            </w:r>
          </w:p>
        </w:tc>
      </w:tr>
    </w:tbl>
    <w:p/>
    <w:p>
      <w:pPr>
        <w:pStyle w:val="Heading3"/>
      </w:pPr>
      <w:r>
        <w:rPr>
          <w:rFonts w:ascii="Meiryo UI" w:hAnsi="Meiryo UI"/>
          <w:color w:val="2E74B5"/>
        </w:rPr>
        <w:t>3-2. 財務構造の整合性確認</w:t>
      </w:r>
    </w:p>
    <w:p/>
    <w:p>
      <w:pPr>
        <w:shd w:val="clear" w:color="auto" w:fill="F2F2F2"/>
      </w:pPr>
      <w:r>
        <w:rPr>
          <w:rFonts w:ascii="Courier New" w:hAnsi="Courier New"/>
          <w:sz w:val="16"/>
        </w:rPr>
        <w:t>株価との整合性チェック:</w:t>
        <w:br/>
        <w:t>PBR = 株価 / BPS → 1.88 = ¥542 / ¥288 ✅ 整合</w:t>
        <w:br/>
        <w:t>PER = 株価 / EPS → 24.6 ≈ ¥542 / ¥22 ≅ 24.4 ✅ 整合（端数差異のみ）</w:t>
        <w:br/>
        <w:br/>
        <w:t>ROEとPBRの関係（デュポン的確認）:</w:t>
        <w:br/>
        <w:t>ROE = EPS / BPS = ¥22 / ¥288 = 7.6% ← ※Yahoo Finance表示ROE10.4%との差異あり</w:t>
        <w:br/>
        <w:t>→ 差異の原因: 期末BPS vs 期首BPS or 期中平均BPSの違い（ROEの分母が期首純資産の場合に整合）</w:t>
        <w:br/>
        <w:t>→ Yahoo Finance ROE 10.4%を正規値として使用。BPS¥288は純資産÷株数の時点値</w:t>
      </w:r>
    </w:p>
    <w:p/>
    <w:p>
      <w:pPr>
        <w:pStyle w:val="Heading3"/>
      </w:pPr>
      <w:r>
        <w:rPr>
          <w:rFonts w:ascii="Meiryo UI" w:hAnsi="Meiryo UI"/>
          <w:color w:val="2E74B5"/>
        </w:rPr>
        <w:t>3-3. 業績推計（公開情報ベース）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FY2025（推計）</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w:t>
            </w:r>
          </w:p>
        </w:tc>
        <w:tc>
          <w:tcPr>
            <w:tcW w:type="dxa" w:w="3135"/>
          </w:tcPr>
          <w:p>
            <w:r>
              <w:rPr>
                <w:rFonts w:ascii="Meiryo UI" w:hAnsi="Meiryo UI"/>
                <w:sz w:val="18"/>
              </w:rPr>
              <w:t>¥35〜38億円★</w:t>
            </w:r>
          </w:p>
        </w:tc>
        <w:tc>
          <w:tcPr>
            <w:tcW w:type="dxa" w:w="3135"/>
          </w:tcPr>
          <w:p>
            <w:r>
              <w:rPr>
                <w:rFonts w:ascii="Meiryo UI" w:hAnsi="Meiryo UI"/>
                <w:sz w:val="18"/>
              </w:rPr>
              <w:t>EPS¥22・純利益率2〜4%より逆算</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¥1.5〜3億円★</w:t>
            </w:r>
          </w:p>
        </w:tc>
        <w:tc>
          <w:tcPr>
            <w:tcW w:type="dxa" w:w="3135"/>
            <w:shd w:val="clear" w:color="auto" w:fill="DDEBF7"/>
          </w:tcPr>
          <w:p>
            <w:r>
              <w:rPr>
                <w:rFonts w:ascii="Meiryo UI" w:hAnsi="Meiryo UI"/>
                <w:sz w:val="18"/>
              </w:rPr>
              <w:t>営業利益率4〜8%と推定</w:t>
            </w:r>
          </w:p>
        </w:tc>
      </w:tr>
      <w:tr>
        <w:tc>
          <w:tcPr>
            <w:tcW w:type="dxa" w:w="3135"/>
          </w:tcPr>
          <w:p>
            <w:r>
              <w:rPr>
                <w:rFonts w:ascii="Meiryo UI" w:hAnsi="Meiryo UI"/>
                <w:sz w:val="18"/>
              </w:rPr>
              <w:t>純利益</w:t>
            </w:r>
          </w:p>
        </w:tc>
        <w:tc>
          <w:tcPr>
            <w:tcW w:type="dxa" w:w="3135"/>
          </w:tcPr>
          <w:p>
            <w:r>
              <w:rPr>
                <w:rFonts w:ascii="Meiryo UI" w:hAnsi="Meiryo UI"/>
                <w:sz w:val="18"/>
              </w:rPr>
              <w:t>¥3.2〜3.5億円★</w:t>
            </w:r>
          </w:p>
        </w:tc>
        <w:tc>
          <w:tcPr>
            <w:tcW w:type="dxa" w:w="3135"/>
          </w:tcPr>
          <w:p>
            <w:r>
              <w:rPr>
                <w:rFonts w:ascii="Meiryo UI" w:hAnsi="Meiryo UI"/>
                <w:sz w:val="18"/>
              </w:rPr>
              <w:t>EPS¥22×推計株数1,450〜1,600万株</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3〜6%★</w:t>
            </w:r>
          </w:p>
        </w:tc>
        <w:tc>
          <w:tcPr>
            <w:tcW w:type="dxa" w:w="3135"/>
            <w:shd w:val="clear" w:color="auto" w:fill="DDEBF7"/>
          </w:tcPr>
          <w:p>
            <w:r>
              <w:rPr>
                <w:rFonts w:ascii="Meiryo UI" w:hAnsi="Meiryo UI"/>
                <w:sz w:val="18"/>
              </w:rPr>
              <w:t>設備投資少ない人月型ビジネスのためキャッシュ転換率は相対的に高い</w:t>
            </w:r>
          </w:p>
        </w:tc>
      </w:tr>
      <w:tr>
        <w:tc>
          <w:tcPr>
            <w:tcW w:type="dxa" w:w="3135"/>
          </w:tcPr>
          <w:p>
            <w:r>
              <w:rPr>
                <w:rFonts w:ascii="Meiryo UI" w:hAnsi="Meiryo UI"/>
                <w:sz w:val="18"/>
              </w:rPr>
              <w:t>自己資本</w:t>
            </w:r>
          </w:p>
        </w:tc>
        <w:tc>
          <w:tcPr>
            <w:tcW w:type="dxa" w:w="3135"/>
          </w:tcPr>
          <w:p>
            <w:r>
              <w:rPr>
                <w:rFonts w:ascii="Meiryo UI" w:hAnsi="Meiryo UI"/>
                <w:sz w:val="18"/>
              </w:rPr>
              <w:t>¥43〜46億円★</w:t>
            </w:r>
          </w:p>
        </w:tc>
        <w:tc>
          <w:tcPr>
            <w:tcW w:type="dxa" w:w="3135"/>
          </w:tcPr>
          <w:p>
            <w:r>
              <w:rPr>
                <w:rFonts w:ascii="Meiryo UI" w:hAnsi="Meiryo UI"/>
                <w:sz w:val="18"/>
              </w:rPr>
              <w:t>BPS¥288×推計株数</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10.4%（公式）</w:t>
            </w:r>
          </w:p>
        </w:tc>
        <w:tc>
          <w:tcPr>
            <w:tcW w:type="dxa" w:w="3135"/>
            <w:shd w:val="clear" w:color="auto" w:fill="DDEBF7"/>
          </w:tcPr>
          <w:p>
            <w:r>
              <w:rPr>
                <w:rFonts w:ascii="Meiryo UI" w:hAnsi="Meiryo UI"/>
                <w:sz w:val="18"/>
              </w:rPr>
              <w:t>株主資本コスト（後述8〜9%）を辛うじて上回る</w:t>
            </w:r>
          </w:p>
        </w:tc>
      </w:tr>
      <w:tr>
        <w:tc>
          <w:tcPr>
            <w:tcW w:type="dxa" w:w="3135"/>
          </w:tcPr>
          <w:p>
            <w:r>
              <w:rPr>
                <w:rFonts w:ascii="Meiryo UI" w:hAnsi="Meiryo UI"/>
                <w:sz w:val="18"/>
              </w:rPr>
              <w:t>NRR</w:t>
            </w:r>
          </w:p>
        </w:tc>
        <w:tc>
          <w:tcPr>
            <w:tcW w:type="dxa" w:w="3135"/>
          </w:tcPr>
          <w:p>
            <w:r>
              <w:rPr>
                <w:rFonts w:ascii="Meiryo UI" w:hAnsi="Meiryo UI"/>
                <w:sz w:val="18"/>
              </w:rPr>
              <w:t>非開示</w:t>
            </w:r>
          </w:p>
        </w:tc>
        <w:tc>
          <w:tcPr>
            <w:tcW w:type="dxa" w:w="3135"/>
          </w:tcPr>
          <w:p>
            <w:r>
              <w:rPr>
                <w:rFonts w:ascii="Meiryo UI" w:hAnsi="Meiryo UI"/>
                <w:sz w:val="18"/>
              </w:rPr>
              <w:t>継続案件比率から85〜95%と推計★</w:t>
            </w:r>
          </w:p>
        </w:tc>
      </w:tr>
    </w:tbl>
    <w:p/>
    <w:p>
      <w:r>
        <w:rPr>
          <w:rFonts w:ascii="Meiryo UI" w:hAnsi="Meiryo UI"/>
          <w:sz w:val="20"/>
        </w:rPr>
        <w:t>&gt; ★印は深井推計値。4/28決算開示で必ず確認すること。</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p>
      <w:pPr>
        <w:shd w:val="clear" w:color="auto" w:fill="F2F2F2"/>
      </w:pPr>
      <w:r>
        <w:rPr>
          <w:rFonts w:ascii="Courier New" w:hAnsi="Courier New"/>
          <w:sz w:val="16"/>
        </w:rPr>
        <w:t>【前提パラメータ】</w:t>
        <w:br/>
        <w:t>────────────────────────────────────────</w:t>
        <w:br/>
        <w:t>リスクフリーレート（Rf）: 2.467%（JGB10Y 2026-04-14）</w:t>
        <w:br/>
        <w:t>株式リスクプレミアム（ERP）: 5.5%（Damodaran日本ERP概算）</w:t>
        <w:br/>
        <w:t>ベータ（β）: 0.85（小型デジタルサービス株。低流動性でβは市場β0.75〜0.95を採用）</w:t>
        <w:br/>
        <w:t>────────────────────────────────────────</w:t>
        <w:br/>
        <w:t>株主資本コスト（Re）:</w:t>
        <w:br/>
        <w:t xml:space="preserve">  Re = Rf + β × ERP</w:t>
        <w:br/>
        <w:t xml:space="preserve">  Re = 2.467% + 0.85 × 5.5%</w:t>
        <w:br/>
        <w:t xml:space="preserve">  Re = 2.467% + 4.675%</w:t>
        <w:br/>
        <w:t xml:space="preserve">  Re = 7.14%</w:t>
        <w:br/>
        <w:t>────────────────────────────────────────</w:t>
        <w:br/>
        <w:t>資本構成（無借金 or 低借金企業と仮定）:</w:t>
        <w:br/>
        <w:t xml:space="preserve">  ネットイヤーはIT軽資産型。有利子負債は限定的と推定</w:t>
        <w:br/>
        <w:t xml:space="preserve">  E/(D+E) = 95% / D/(D+E) = 5%（推計）</w:t>
        <w:br/>
        <w:t xml:space="preserve">  Rd（負債コスト）= 1.5%（短期借入金金利推計）</w:t>
        <w:br/>
        <w:t xml:space="preserve">  実効税率（Tc）= 30%</w:t>
        <w:br/>
        <w:t>────────────────────────────────────────</w:t>
        <w:br/>
        <w:t>WACC:</w:t>
        <w:br/>
        <w:t xml:space="preserve">  WACC = 0.95 × 7.14% + 0.05 × 1.5% × (1-0.30)</w:t>
        <w:br/>
        <w:t xml:space="preserve">  WACC = 6.783% + 0.0525%</w:t>
        <w:br/>
        <w:t xml:space="preserve">  WACC = 6.84%（≒6.8%として使用）</w:t>
        <w:br/>
        <w:t>────────────────────────────────────────</w:t>
        <w:br/>
        <w:t>ターミナル成長率（g）:</w:t>
        <w:br/>
        <w:t xml:space="preserve">  基本シナリオ: 1.5%（日本名目GDP成長率≒インフレ1〜2%）</w:t>
        <w:br/>
        <w:t xml:space="preserve">  強気シナリオ: 2.5%</w:t>
        <w:br/>
        <w:t xml:space="preserve">  弱気シナリオ: 0.5%</w:t>
        <w:br/>
        <w:t>────────────────────────────────────────</w:t>
        <w:br/>
        <w:t>DCF対象: 株主に帰属するFCF（FCFE）</w:t>
        <w:br/>
        <w:t xml:space="preserve">  FCFEベース: EPS¥22 × 株数 → 純利益ベースで近似</w:t>
        <w:br/>
        <w:t xml:space="preserve">  FCFマージン適用純利益（FY2025ベース）: ¥3.2〜3.5億円</w:t>
        <w:br/>
        <w:t xml:space="preserve">  1株FCFE（FY2025）: ¥22（EPS一致と仮定）</w:t>
        <w:br/>
        <w:t xml:space="preserve">  5年間成長率（予測期間）: 基本シナリオ年率5%</w:t>
      </w:r>
    </w:p>
    <w:p/>
    <w:p>
      <w:pPr>
        <w:pStyle w:val="Heading3"/>
      </w:pPr>
      <w:r>
        <w:rPr>
          <w:rFonts w:ascii="Meiryo UI" w:hAnsi="Meiryo UI"/>
          <w:color w:val="2E74B5"/>
        </w:rPr>
        <w:t>4-2. DCF計算（基本シナリオ）</w:t>
      </w:r>
    </w:p>
    <w:p/>
    <w:p>
      <w:pPr>
        <w:shd w:val="clear" w:color="auto" w:fill="F2F2F2"/>
      </w:pPr>
      <w:r>
        <w:rPr>
          <w:rFonts w:ascii="Courier New" w:hAnsi="Courier New"/>
          <w:sz w:val="16"/>
        </w:rPr>
        <w:t>【基本シナリオ DCF（1株ベース）】</w:t>
        <w:br/>
        <w:t>Re = 7.14%（≒株主資本コスト：純資本構造のためWACCに近接）</w:t>
        <w:br/>
        <w:t>g（ターミナル）= 1.5%</w:t>
        <w:br/>
        <w:br/>
        <w:t>Year 1: ¥22.0 × 1.05 = ¥23.1   PV = ¥23.1 / 1.0714 = ¥21.6</w:t>
        <w:br/>
        <w:t>Year 2: ¥23.1 × 1.05 = ¥24.3   PV = ¥24.3 / 1.0714² = ¥21.1</w:t>
        <w:br/>
        <w:t>Year 3: ¥24.3 × 1.05 = ¥25.5   PV = ¥25.5 / 1.0714³ = ¥20.7</w:t>
        <w:br/>
        <w:t>Year 4: ¥25.5 × 1.05 = ¥26.8   PV = ¥26.8 / 1.0714⁴ = ¥20.3</w:t>
        <w:br/>
        <w:t>Year 5: ¥26.8 × 1.05 = ¥28.1   PV = ¥28.1 / 1.0714⁵ = ¥19.9</w:t>
        <w:br/>
        <w:br/>
        <w:t>5年PV合計: ¥103.6</w:t>
        <w:br/>
        <w:br/>
        <w:t>ターミナルバリュー（Year5末）:</w:t>
        <w:br/>
        <w:t>TV = ¥28.1 × (1 + 1.5%) / (7.14% - 1.5%)</w:t>
        <w:br/>
        <w:t>TV = ¥28.5 / 5.64%</w:t>
        <w:br/>
        <w:t>TV = ¥505.7</w:t>
        <w:br/>
        <w:br/>
        <w:t>ターミナルバリューPV:</w:t>
        <w:br/>
        <w:t>PV(TV) = ¥505.7 / 1.0714⁵ = ¥358.4</w:t>
        <w:br/>
        <w:br/>
        <w:t>【基本シナリオ 理論株価】:</w:t>
        <w:br/>
        <w:t>FV = ¥103.6 + ¥358.4 = ¥462 ← 基本シナリオ</w:t>
      </w:r>
    </w:p>
    <w:p/>
    <w:p>
      <w:pPr>
        <w:pStyle w:val="Heading3"/>
      </w:pPr>
      <w:r>
        <w:rPr>
          <w:rFonts w:ascii="Meiryo UI" w:hAnsi="Meiryo UI"/>
          <w:color w:val="2E74B5"/>
        </w:rPr>
        <w:t>4-3. 3シナリオ比較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成長率（5yr）</w:t>
            </w:r>
          </w:p>
        </w:tc>
        <w:tc>
          <w:tcPr>
            <w:tcW w:type="dxa" w:w="1568"/>
            <w:shd w:val="clear" w:color="auto" w:fill="2E74B5"/>
          </w:tcPr>
          <w:p>
            <w:r>
              <w:rPr>
                <w:rFonts w:ascii="Meiryo UI" w:hAnsi="Meiryo UI"/>
                <w:b/>
                <w:color w:val="FFFFFF"/>
                <w:sz w:val="18"/>
              </w:rPr>
              <w:t>g（terminal）</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現在値比乖離</w:t>
            </w:r>
          </w:p>
        </w:tc>
      </w:tr>
      <w:tr>
        <w:tc>
          <w:tcPr>
            <w:tcW w:type="dxa" w:w="1568"/>
          </w:tcPr>
          <w:p>
            <w:r>
              <w:rPr>
                <w:rFonts w:ascii="Meiryo UI" w:hAnsi="Meiryo UI"/>
                <w:sz w:val="18"/>
              </w:rPr>
              <w:t>🟢 強気</w:t>
            </w:r>
          </w:p>
        </w:tc>
        <w:tc>
          <w:tcPr>
            <w:tcW w:type="dxa" w:w="1568"/>
          </w:tcPr>
          <w:p>
            <w:r>
              <w:rPr>
                <w:rFonts w:ascii="Meiryo UI" w:hAnsi="Meiryo UI"/>
                <w:sz w:val="18"/>
              </w:rPr>
              <w:t>年率10%</w:t>
            </w:r>
          </w:p>
        </w:tc>
        <w:tc>
          <w:tcPr>
            <w:tcW w:type="dxa" w:w="1568"/>
          </w:tcPr>
          <w:p>
            <w:r>
              <w:rPr>
                <w:rFonts w:ascii="Meiryo UI" w:hAnsi="Meiryo UI"/>
                <w:sz w:val="18"/>
              </w:rPr>
              <w:t>2.5%</w:t>
            </w:r>
          </w:p>
        </w:tc>
        <w:tc>
          <w:tcPr>
            <w:tcW w:type="dxa" w:w="1568"/>
          </w:tcPr>
          <w:p>
            <w:r>
              <w:rPr>
                <w:rFonts w:ascii="Meiryo UI" w:hAnsi="Meiryo UI"/>
                <w:sz w:val="18"/>
              </w:rPr>
              <w:t>7.14%</w:t>
            </w:r>
          </w:p>
        </w:tc>
        <w:tc>
          <w:tcPr>
            <w:tcW w:type="dxa" w:w="1568"/>
          </w:tcPr>
          <w:p>
            <w:r>
              <w:rPr>
                <w:rFonts w:ascii="Meiryo UI" w:hAnsi="Meiryo UI"/>
                <w:sz w:val="18"/>
              </w:rPr>
              <w:t>¥615</w:t>
            </w:r>
          </w:p>
        </w:tc>
        <w:tc>
          <w:tcPr>
            <w:tcW w:type="dxa" w:w="1568"/>
          </w:tcPr>
          <w:p>
            <w:r>
              <w:rPr>
                <w:rFonts w:ascii="Meiryo UI" w:hAnsi="Meiryo UI"/>
                <w:sz w:val="18"/>
              </w:rPr>
              <w:t>+13.5%</w:t>
            </w:r>
          </w:p>
        </w:tc>
      </w:tr>
      <w:tr>
        <w:tc>
          <w:tcPr>
            <w:tcW w:type="dxa" w:w="1568"/>
            <w:shd w:val="clear" w:color="auto" w:fill="DDEBF7"/>
          </w:tcPr>
          <w:p>
            <w:r>
              <w:rPr>
                <w:rFonts w:ascii="Meiryo UI" w:hAnsi="Meiryo UI"/>
                <w:sz w:val="18"/>
              </w:rPr>
              <w:t>⚪ 基本</w:t>
            </w:r>
          </w:p>
        </w:tc>
        <w:tc>
          <w:tcPr>
            <w:tcW w:type="dxa" w:w="1568"/>
            <w:shd w:val="clear" w:color="auto" w:fill="DDEBF7"/>
          </w:tcPr>
          <w:p>
            <w:r>
              <w:rPr>
                <w:rFonts w:ascii="Meiryo UI" w:hAnsi="Meiryo UI"/>
                <w:sz w:val="18"/>
              </w:rPr>
              <w:t>年率5%</w:t>
            </w:r>
          </w:p>
        </w:tc>
        <w:tc>
          <w:tcPr>
            <w:tcW w:type="dxa" w:w="1568"/>
            <w:shd w:val="clear" w:color="auto" w:fill="DDEBF7"/>
          </w:tcPr>
          <w:p>
            <w:r>
              <w:rPr>
                <w:rFonts w:ascii="Meiryo UI" w:hAnsi="Meiryo UI"/>
                <w:sz w:val="18"/>
              </w:rPr>
              <w:t>1.5%</w:t>
            </w:r>
          </w:p>
        </w:tc>
        <w:tc>
          <w:tcPr>
            <w:tcW w:type="dxa" w:w="1568"/>
            <w:shd w:val="clear" w:color="auto" w:fill="DDEBF7"/>
          </w:tcPr>
          <w:p>
            <w:r>
              <w:rPr>
                <w:rFonts w:ascii="Meiryo UI" w:hAnsi="Meiryo UI"/>
                <w:sz w:val="18"/>
              </w:rPr>
              <w:t>7.14%</w:t>
            </w:r>
          </w:p>
        </w:tc>
        <w:tc>
          <w:tcPr>
            <w:tcW w:type="dxa" w:w="1568"/>
            <w:shd w:val="clear" w:color="auto" w:fill="DDEBF7"/>
          </w:tcPr>
          <w:p>
            <w:r>
              <w:rPr>
                <w:rFonts w:ascii="Meiryo UI" w:hAnsi="Meiryo UI"/>
                <w:sz w:val="18"/>
              </w:rPr>
              <w:t>¥462</w:t>
            </w:r>
          </w:p>
        </w:tc>
        <w:tc>
          <w:tcPr>
            <w:tcW w:type="dxa" w:w="1568"/>
            <w:shd w:val="clear" w:color="auto" w:fill="DDEBF7"/>
          </w:tcPr>
          <w:p>
            <w:r>
              <w:rPr>
                <w:rFonts w:ascii="Meiryo UI" w:hAnsi="Meiryo UI"/>
                <w:sz w:val="18"/>
              </w:rPr>
              <w:t>▲14.8%</w:t>
            </w:r>
          </w:p>
        </w:tc>
      </w:tr>
      <w:tr>
        <w:tc>
          <w:tcPr>
            <w:tcW w:type="dxa" w:w="1568"/>
          </w:tcPr>
          <w:p>
            <w:r>
              <w:rPr>
                <w:rFonts w:ascii="Meiryo UI" w:hAnsi="Meiryo UI"/>
                <w:sz w:val="18"/>
              </w:rPr>
              <w:t>🔴 弱気</w:t>
            </w:r>
          </w:p>
        </w:tc>
        <w:tc>
          <w:tcPr>
            <w:tcW w:type="dxa" w:w="1568"/>
          </w:tcPr>
          <w:p>
            <w:r>
              <w:rPr>
                <w:rFonts w:ascii="Meiryo UI" w:hAnsi="Meiryo UI"/>
                <w:sz w:val="18"/>
              </w:rPr>
              <w:t>年率0%</w:t>
            </w:r>
          </w:p>
        </w:tc>
        <w:tc>
          <w:tcPr>
            <w:tcW w:type="dxa" w:w="1568"/>
          </w:tcPr>
          <w:p>
            <w:r>
              <w:rPr>
                <w:rFonts w:ascii="Meiryo UI" w:hAnsi="Meiryo UI"/>
                <w:sz w:val="18"/>
              </w:rPr>
              <w:t>0.5%</w:t>
            </w:r>
          </w:p>
        </w:tc>
        <w:tc>
          <w:tcPr>
            <w:tcW w:type="dxa" w:w="1568"/>
          </w:tcPr>
          <w:p>
            <w:r>
              <w:rPr>
                <w:rFonts w:ascii="Meiryo UI" w:hAnsi="Meiryo UI"/>
                <w:sz w:val="18"/>
              </w:rPr>
              <w:t>7.14%</w:t>
            </w:r>
          </w:p>
        </w:tc>
        <w:tc>
          <w:tcPr>
            <w:tcW w:type="dxa" w:w="1568"/>
          </w:tcPr>
          <w:p>
            <w:r>
              <w:rPr>
                <w:rFonts w:ascii="Meiryo UI" w:hAnsi="Meiryo UI"/>
                <w:sz w:val="18"/>
              </w:rPr>
              <w:t>¥325</w:t>
            </w:r>
          </w:p>
        </w:tc>
        <w:tc>
          <w:tcPr>
            <w:tcW w:type="dxa" w:w="1568"/>
          </w:tcPr>
          <w:p>
            <w:r>
              <w:rPr>
                <w:rFonts w:ascii="Meiryo UI" w:hAnsi="Meiryo UI"/>
                <w:sz w:val="18"/>
              </w:rPr>
              <w:t>▲40.0%</w:t>
            </w:r>
          </w:p>
        </w:tc>
      </w:tr>
    </w:tbl>
    <w:p/>
    <w:p>
      <w:r>
        <w:rPr>
          <w:rFonts w:ascii="Meiryo UI" w:hAnsi="Meiryo UI"/>
          <w:sz w:val="20"/>
        </w:rPr>
        <w:t>&gt; 深井の判断: 現在値¥542は基本シナリオ（¥462）を17%上回っており、アクティビスト介入プレミアムが相当程度織り込まれている。強気シナリオ（年率10%成長）を達成して初めて理論的に割安となる水準。</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フェアバリューレンジ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理論株価レンジ</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DCF（基本）</w:t>
            </w:r>
          </w:p>
        </w:tc>
        <w:tc>
          <w:tcPr>
            <w:tcW w:type="dxa" w:w="3135"/>
          </w:tcPr>
          <w:p>
            <w:r>
              <w:rPr>
                <w:rFonts w:ascii="Meiryo UI" w:hAnsi="Meiryo UI"/>
                <w:sz w:val="18"/>
              </w:rPr>
              <w:t>¥420〜¥500</w:t>
            </w:r>
          </w:p>
        </w:tc>
        <w:tc>
          <w:tcPr>
            <w:tcW w:type="dxa" w:w="3135"/>
          </w:tcPr>
          <w:p>
            <w:r>
              <w:rPr>
                <w:rFonts w:ascii="Meiryo UI" w:hAnsi="Meiryo UI"/>
                <w:sz w:val="18"/>
              </w:rPr>
              <w:t>50%</w:t>
            </w:r>
          </w:p>
        </w:tc>
      </w:tr>
      <w:tr>
        <w:tc>
          <w:tcPr>
            <w:tcW w:type="dxa" w:w="3135"/>
            <w:shd w:val="clear" w:color="auto" w:fill="DDEBF7"/>
          </w:tcPr>
          <w:p>
            <w:r>
              <w:rPr>
                <w:rFonts w:ascii="Meiryo UI" w:hAnsi="Meiryo UI"/>
                <w:sz w:val="18"/>
              </w:rPr>
              <w:t>PER比較（同業15〜20倍×EPS¥22）</w:t>
            </w:r>
          </w:p>
        </w:tc>
        <w:tc>
          <w:tcPr>
            <w:tcW w:type="dxa" w:w="3135"/>
            <w:shd w:val="clear" w:color="auto" w:fill="DDEBF7"/>
          </w:tcPr>
          <w:p>
            <w:r>
              <w:rPr>
                <w:rFonts w:ascii="Meiryo UI" w:hAnsi="Meiryo UI"/>
                <w:sz w:val="18"/>
              </w:rPr>
              <w:t>¥330〜¥440</w:t>
            </w:r>
          </w:p>
        </w:tc>
        <w:tc>
          <w:tcPr>
            <w:tcW w:type="dxa" w:w="3135"/>
            <w:shd w:val="clear" w:color="auto" w:fill="DDEBF7"/>
          </w:tcPr>
          <w:p>
            <w:r>
              <w:rPr>
                <w:rFonts w:ascii="Meiryo UI" w:hAnsi="Meiryo UI"/>
                <w:sz w:val="18"/>
              </w:rPr>
              <w:t>25%</w:t>
            </w:r>
          </w:p>
        </w:tc>
      </w:tr>
      <w:tr>
        <w:tc>
          <w:tcPr>
            <w:tcW w:type="dxa" w:w="3135"/>
          </w:tcPr>
          <w:p>
            <w:r>
              <w:rPr>
                <w:rFonts w:ascii="Meiryo UI" w:hAnsi="Meiryo UI"/>
                <w:sz w:val="18"/>
              </w:rPr>
              <w:t>PBR比較（同業1.0〜1.5倍×BPS¥288）</w:t>
            </w:r>
          </w:p>
        </w:tc>
        <w:tc>
          <w:tcPr>
            <w:tcW w:type="dxa" w:w="3135"/>
          </w:tcPr>
          <w:p>
            <w:r>
              <w:rPr>
                <w:rFonts w:ascii="Meiryo UI" w:hAnsi="Meiryo UI"/>
                <w:sz w:val="18"/>
              </w:rPr>
              <w:t>¥288〜¥432</w:t>
            </w:r>
          </w:p>
        </w:tc>
        <w:tc>
          <w:tcPr>
            <w:tcW w:type="dxa" w:w="3135"/>
          </w:tcPr>
          <w:p>
            <w:r>
              <w:rPr>
                <w:rFonts w:ascii="Meiryo UI" w:hAnsi="Meiryo UI"/>
                <w:sz w:val="18"/>
              </w:rPr>
              <w:t>15%</w:t>
            </w:r>
          </w:p>
        </w:tc>
      </w:tr>
      <w:tr>
        <w:tc>
          <w:tcPr>
            <w:tcW w:type="dxa" w:w="3135"/>
            <w:shd w:val="clear" w:color="auto" w:fill="DDEBF7"/>
          </w:tcPr>
          <w:p>
            <w:r>
              <w:rPr>
                <w:rFonts w:ascii="Meiryo UI" w:hAnsi="Meiryo UI"/>
                <w:sz w:val="18"/>
              </w:rPr>
              <w:t>アクティビスト介入プレミアム（純資産比較）</w:t>
            </w:r>
          </w:p>
        </w:tc>
        <w:tc>
          <w:tcPr>
            <w:tcW w:type="dxa" w:w="3135"/>
            <w:shd w:val="clear" w:color="auto" w:fill="DDEBF7"/>
          </w:tcPr>
          <w:p>
            <w:r>
              <w:rPr>
                <w:rFonts w:ascii="Meiryo UI" w:hAnsi="Meiryo UI"/>
                <w:sz w:val="18"/>
              </w:rPr>
              <w:t>¥+50〜¥+100</w:t>
            </w:r>
          </w:p>
        </w:tc>
        <w:tc>
          <w:tcPr>
            <w:tcW w:type="dxa" w:w="3135"/>
            <w:shd w:val="clear" w:color="auto" w:fill="DDEBF7"/>
          </w:tcPr>
          <w:p>
            <w:r>
              <w:rPr>
                <w:rFonts w:ascii="Meiryo UI" w:hAnsi="Meiryo UI"/>
                <w:sz w:val="18"/>
              </w:rPr>
              <w:t>10%</w:t>
            </w:r>
          </w:p>
        </w:tc>
      </w:tr>
    </w:tbl>
    <w:p/>
    <w:p>
      <w:r>
        <w:rPr>
          <w:rFonts w:ascii="Meiryo UI" w:hAnsi="Meiryo UI"/>
          <w:sz w:val="20"/>
        </w:rPr>
        <w:t>加重平均フェアバリュー（FV）: 約¥420〜¥510（中央値¥465）</w:t>
      </w:r>
    </w:p>
    <w:p/>
    <w:p>
      <w:pPr>
        <w:pStyle w:val="Heading3"/>
      </w:pPr>
      <w:r>
        <w:rPr>
          <w:rFonts w:ascii="Meiryo UI" w:hAnsi="Meiryo UI"/>
          <w:color w:val="2E74B5"/>
        </w:rPr>
        <w:t>5-2. 安全域（Margin of Safety）</w:t>
      </w:r>
    </w:p>
    <w:p/>
    <w:p>
      <w:pPr>
        <w:shd w:val="clear" w:color="auto" w:fill="F2F2F2"/>
      </w:pPr>
      <w:r>
        <w:rPr>
          <w:rFonts w:ascii="Courier New" w:hAnsi="Courier New"/>
          <w:sz w:val="16"/>
        </w:rPr>
        <w:t>現在値: ¥542</w:t>
        <w:br/>
        <w:t>FV中央値: ¥465</w:t>
        <w:br/>
        <w:t>乖離: ▲14.2%（現在値はFVより14%割高）</w:t>
        <w:br/>
        <w:br/>
        <w:t>保守的バッファ（30%安全域）適用時の買いエントリーライン:</w:t>
        <w:br/>
        <w:t xml:space="preserve">  ¥465 × 0.70 = ¥326 → 現在値から▲40%乖離</w:t>
        <w:br/>
        <w:t xml:space="preserve">  ※ 30%MoS適用では到底買い推奨できない水準</w:t>
        <w:br/>
        <w:br/>
        <w:t>10%安全域（アクティビスト介入考慮）:</w:t>
        <w:br/>
        <w:t xml:space="preserve">  ¥465 × 0.90 = ¥419 → 現在値から▲23%乖離</w:t>
        <w:br/>
        <w:t xml:space="preserve">  ※ 降格売り+失望売りがあれば到達可能なゾーン</w:t>
      </w:r>
    </w:p>
    <w:p/>
    <w:p>
      <w:pPr>
        <w:pStyle w:val="Heading3"/>
      </w:pPr>
      <w:r>
        <w:rPr>
          <w:rFonts w:ascii="Meiryo UI" w:hAnsi="Meiryo UI"/>
          <w:color w:val="2E74B5"/>
        </w:rPr>
        <w:t>5-3. 投資判断: 【中立（NEUTRAL）】</w:t>
      </w:r>
    </w:p>
    <w:p/>
    <w:p>
      <w:r>
        <w:rPr>
          <w:rFonts w:ascii="Meiryo UI" w:hAnsi="Meiryo UI"/>
          <w:sz w:val="20"/>
        </w:rPr>
        <w:t>格付け根拠:</w:t>
      </w:r>
    </w:p>
    <w:p>
      <w:pPr>
        <w:pStyle w:val="ListBullet"/>
      </w:pPr>
      <w:r>
        <w:rPr>
          <w:rFonts w:ascii="Meiryo UI" w:hAnsi="Meiryo UI"/>
          <w:sz w:val="20"/>
        </w:rPr>
        <w:t>基本DCFが現在値を14%下回る → 本源的価値に対して割高</w:t>
      </w:r>
    </w:p>
    <w:p>
      <w:pPr>
        <w:pStyle w:val="ListBullet"/>
      </w:pPr>
      <w:r>
        <w:rPr>
          <w:rFonts w:ascii="Meiryo UI" w:hAnsi="Meiryo UI"/>
          <w:sz w:val="20"/>
        </w:rPr>
        <w:t>アクティビスト介入プレミアムは実現するか不確実</w:t>
      </w:r>
    </w:p>
    <w:p>
      <w:pPr>
        <w:pStyle w:val="ListBullet"/>
      </w:pPr>
      <w:r>
        <w:rPr>
          <w:rFonts w:ascii="Meiryo UI" w:hAnsi="Meiryo UI"/>
          <w:sz w:val="20"/>
        </w:rPr>
        <w:t>4/28決算での資本政策変更が唯一の正当化トリガー</w:t>
      </w:r>
    </w:p>
    <w:p>
      <w:pPr>
        <w:pStyle w:val="ListBullet"/>
      </w:pPr>
      <w:r>
        <w:rPr>
          <w:rFonts w:ascii="Meiryo UI" w:hAnsi="Meiryo UI"/>
          <w:sz w:val="20"/>
        </w:rPr>
        <w:t>強気シナリオでのみ上値余地（¥615＝+13%）だが、達成確度は低い</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 強気シナリオ（確率20%）</w:t>
      </w:r>
    </w:p>
    <w:p/>
    <w:p>
      <w:r>
        <w:rPr>
          <w:rFonts w:ascii="Meiryo UI" w:hAnsi="Meiryo UI"/>
          <w:sz w:val="20"/>
        </w:rPr>
        <w:t>前提: アクティビスト要求が受け入れられ、4/28決算で自社株買い（¥10億円超）＋増配を発表。MBO観測が加わり機関投資家の注目が集まる。FY2026ガイダンスが前期比+15%成長。</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強気値</w:t>
            </w:r>
          </w:p>
        </w:tc>
      </w:tr>
      <w:tr>
        <w:tc>
          <w:tcPr>
            <w:tcW w:type="dxa" w:w="4703"/>
          </w:tcPr>
          <w:p>
            <w:r>
              <w:rPr>
                <w:rFonts w:ascii="Meiryo UI" w:hAnsi="Meiryo UI"/>
                <w:sz w:val="18"/>
              </w:rPr>
              <w:t>理論株価</w:t>
            </w:r>
          </w:p>
        </w:tc>
        <w:tc>
          <w:tcPr>
            <w:tcW w:type="dxa" w:w="4703"/>
          </w:tcPr>
          <w:p>
            <w:r>
              <w:rPr>
                <w:rFonts w:ascii="Meiryo UI" w:hAnsi="Meiryo UI"/>
                <w:sz w:val="18"/>
              </w:rPr>
              <w:t>¥615〜¥680</w:t>
            </w:r>
          </w:p>
        </w:tc>
      </w:tr>
      <w:tr>
        <w:tc>
          <w:tcPr>
            <w:tcW w:type="dxa" w:w="4703"/>
            <w:shd w:val="clear" w:color="auto" w:fill="DDEBF7"/>
          </w:tcPr>
          <w:p>
            <w:r>
              <w:rPr>
                <w:rFonts w:ascii="Meiryo UI" w:hAnsi="Meiryo UI"/>
                <w:sz w:val="18"/>
              </w:rPr>
              <w:t>上値余地</w:t>
            </w:r>
          </w:p>
        </w:tc>
        <w:tc>
          <w:tcPr>
            <w:tcW w:type="dxa" w:w="4703"/>
            <w:shd w:val="clear" w:color="auto" w:fill="DDEBF7"/>
          </w:tcPr>
          <w:p>
            <w:r>
              <w:rPr>
                <w:rFonts w:ascii="Meiryo UI" w:hAnsi="Meiryo UI"/>
                <w:sz w:val="18"/>
              </w:rPr>
              <w:t>+13〜+25%</w:t>
            </w:r>
          </w:p>
        </w:tc>
      </w:tr>
      <w:tr>
        <w:tc>
          <w:tcPr>
            <w:tcW w:type="dxa" w:w="4703"/>
          </w:tcPr>
          <w:p>
            <w:r>
              <w:rPr>
                <w:rFonts w:ascii="Meiryo UI" w:hAnsi="Meiryo UI"/>
                <w:sz w:val="18"/>
              </w:rPr>
              <w:t>時間軸</w:t>
            </w:r>
          </w:p>
        </w:tc>
        <w:tc>
          <w:tcPr>
            <w:tcW w:type="dxa" w:w="4703"/>
          </w:tcPr>
          <w:p>
            <w:r>
              <w:rPr>
                <w:rFonts w:ascii="Meiryo UI" w:hAnsi="Meiryo UI"/>
                <w:sz w:val="18"/>
              </w:rPr>
              <w:t>4/28〜6月株主総会</w:t>
            </w:r>
          </w:p>
        </w:tc>
      </w:tr>
      <w:tr>
        <w:tc>
          <w:tcPr>
            <w:tcW w:type="dxa" w:w="4703"/>
            <w:shd w:val="clear" w:color="auto" w:fill="DDEBF7"/>
          </w:tcPr>
          <w:p>
            <w:r>
              <w:rPr>
                <w:rFonts w:ascii="Meiryo UI" w:hAnsi="Meiryo UI"/>
                <w:sz w:val="18"/>
              </w:rPr>
              <w:t>キーイベント</w:t>
            </w:r>
          </w:p>
        </w:tc>
        <w:tc>
          <w:tcPr>
            <w:tcW w:type="dxa" w:w="4703"/>
            <w:shd w:val="clear" w:color="auto" w:fill="DDEBF7"/>
          </w:tcPr>
          <w:p>
            <w:r>
              <w:rPr>
                <w:rFonts w:ascii="Meiryo UI" w:hAnsi="Meiryo UI"/>
                <w:sz w:val="18"/>
              </w:rPr>
              <w:t>自社株買い発表・アクティビスト株主提案受諾</w:t>
            </w:r>
          </w:p>
        </w:tc>
      </w:tr>
    </w:tbl>
    <w:p/>
    <w:p>
      <w:pPr>
        <w:pStyle w:val="Heading3"/>
      </w:pPr>
      <w:r>
        <w:rPr>
          <w:rFonts w:ascii="Meiryo UI" w:hAnsi="Meiryo UI"/>
          <w:color w:val="2E74B5"/>
        </w:rPr>
        <w:t>⚪ 基本シナリオ（確率50%）</w:t>
      </w:r>
    </w:p>
    <w:p/>
    <w:p>
      <w:r>
        <w:rPr>
          <w:rFonts w:ascii="Meiryo UI" w:hAnsi="Meiryo UI"/>
          <w:sz w:val="20"/>
        </w:rPr>
        <w:t>前提: 4/28決算は概ね予想通り。アクティビスト対話継続するも具体的資本政策変更なし。降格売り圧力が数ヶ月継続。業績は緩慢な改善。</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基本値</w:t>
            </w:r>
          </w:p>
        </w:tc>
      </w:tr>
      <w:tr>
        <w:tc>
          <w:tcPr>
            <w:tcW w:type="dxa" w:w="4703"/>
          </w:tcPr>
          <w:p>
            <w:r>
              <w:rPr>
                <w:rFonts w:ascii="Meiryo UI" w:hAnsi="Meiryo UI"/>
                <w:sz w:val="18"/>
              </w:rPr>
              <w:t>理論株価</w:t>
            </w:r>
          </w:p>
        </w:tc>
        <w:tc>
          <w:tcPr>
            <w:tcW w:type="dxa" w:w="4703"/>
          </w:tcPr>
          <w:p>
            <w:r>
              <w:rPr>
                <w:rFonts w:ascii="Meiryo UI" w:hAnsi="Meiryo UI"/>
                <w:sz w:val="18"/>
              </w:rPr>
              <w:t>¥420〜¥510</w:t>
            </w:r>
          </w:p>
        </w:tc>
      </w:tr>
      <w:tr>
        <w:tc>
          <w:tcPr>
            <w:tcW w:type="dxa" w:w="4703"/>
            <w:shd w:val="clear" w:color="auto" w:fill="DDEBF7"/>
          </w:tcPr>
          <w:p>
            <w:r>
              <w:rPr>
                <w:rFonts w:ascii="Meiryo UI" w:hAnsi="Meiryo UI"/>
                <w:sz w:val="18"/>
              </w:rPr>
              <w:t>下値余地</w:t>
            </w:r>
          </w:p>
        </w:tc>
        <w:tc>
          <w:tcPr>
            <w:tcW w:type="dxa" w:w="4703"/>
            <w:shd w:val="clear" w:color="auto" w:fill="DDEBF7"/>
          </w:tcPr>
          <w:p>
            <w:r>
              <w:rPr>
                <w:rFonts w:ascii="Meiryo UI" w:hAnsi="Meiryo UI"/>
                <w:sz w:val="18"/>
              </w:rPr>
              <w:t>▲6〜▲22%</w:t>
            </w:r>
          </w:p>
        </w:tc>
      </w:tr>
      <w:tr>
        <w:tc>
          <w:tcPr>
            <w:tcW w:type="dxa" w:w="4703"/>
          </w:tcPr>
          <w:p>
            <w:r>
              <w:rPr>
                <w:rFonts w:ascii="Meiryo UI" w:hAnsi="Meiryo UI"/>
                <w:sz w:val="18"/>
              </w:rPr>
              <w:t>時間軸</w:t>
            </w:r>
          </w:p>
        </w:tc>
        <w:tc>
          <w:tcPr>
            <w:tcW w:type="dxa" w:w="4703"/>
          </w:tcPr>
          <w:p>
            <w:r>
              <w:rPr>
                <w:rFonts w:ascii="Meiryo UI" w:hAnsi="Meiryo UI"/>
                <w:sz w:val="18"/>
              </w:rPr>
              <w:t>3〜6ヶ月</w:t>
            </w:r>
          </w:p>
        </w:tc>
      </w:tr>
      <w:tr>
        <w:tc>
          <w:tcPr>
            <w:tcW w:type="dxa" w:w="4703"/>
            <w:shd w:val="clear" w:color="auto" w:fill="DDEBF7"/>
          </w:tcPr>
          <w:p>
            <w:r>
              <w:rPr>
                <w:rFonts w:ascii="Meiryo UI" w:hAnsi="Meiryo UI"/>
                <w:sz w:val="18"/>
              </w:rPr>
              <w:t>キーイベント</w:t>
            </w:r>
          </w:p>
        </w:tc>
        <w:tc>
          <w:tcPr>
            <w:tcW w:type="dxa" w:w="4703"/>
            <w:shd w:val="clear" w:color="auto" w:fill="DDEBF7"/>
          </w:tcPr>
          <w:p>
            <w:r>
              <w:rPr>
                <w:rFonts w:ascii="Meiryo UI" w:hAnsi="Meiryo UI"/>
                <w:sz w:val="18"/>
              </w:rPr>
              <w:t>定時株主総会での株主提案・次期ガイダンス確認</w:t>
            </w:r>
          </w:p>
        </w:tc>
      </w:tr>
    </w:tbl>
    <w:p/>
    <w:p>
      <w:pPr>
        <w:pStyle w:val="Heading3"/>
      </w:pPr>
      <w:r>
        <w:rPr>
          <w:rFonts w:ascii="Meiryo UI" w:hAnsi="Meiryo UI"/>
          <w:color w:val="2E74B5"/>
        </w:rPr>
        <w:t>🔴 弱気シナリオ（確率30%）</w:t>
      </w:r>
    </w:p>
    <w:p/>
    <w:p>
      <w:r>
        <w:rPr>
          <w:rFonts w:ascii="Meiryo UI" w:hAnsi="Meiryo UI"/>
          <w:sz w:val="20"/>
        </w:rPr>
        <w:t>前提: 4/28決算で業績下方修正。アクティビスト要求が経営陣に拒否され、対立が表面化。機関投資家の売りが加速し、流動性が枯渇。</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弱気値</w:t>
            </w:r>
          </w:p>
        </w:tc>
      </w:tr>
      <w:tr>
        <w:tc>
          <w:tcPr>
            <w:tcW w:type="dxa" w:w="4703"/>
          </w:tcPr>
          <w:p>
            <w:r>
              <w:rPr>
                <w:rFonts w:ascii="Meiryo UI" w:hAnsi="Meiryo UI"/>
                <w:sz w:val="18"/>
              </w:rPr>
              <w:t>理論株価</w:t>
            </w:r>
          </w:p>
        </w:tc>
        <w:tc>
          <w:tcPr>
            <w:tcW w:type="dxa" w:w="4703"/>
          </w:tcPr>
          <w:p>
            <w:r>
              <w:rPr>
                <w:rFonts w:ascii="Meiryo UI" w:hAnsi="Meiryo UI"/>
                <w:sz w:val="18"/>
              </w:rPr>
              <w:t>¥290〜¥380</w:t>
            </w:r>
          </w:p>
        </w:tc>
      </w:tr>
      <w:tr>
        <w:tc>
          <w:tcPr>
            <w:tcW w:type="dxa" w:w="4703"/>
            <w:shd w:val="clear" w:color="auto" w:fill="DDEBF7"/>
          </w:tcPr>
          <w:p>
            <w:r>
              <w:rPr>
                <w:rFonts w:ascii="Meiryo UI" w:hAnsi="Meiryo UI"/>
                <w:sz w:val="18"/>
              </w:rPr>
              <w:t>下値余地</w:t>
            </w:r>
          </w:p>
        </w:tc>
        <w:tc>
          <w:tcPr>
            <w:tcW w:type="dxa" w:w="4703"/>
            <w:shd w:val="clear" w:color="auto" w:fill="DDEBF7"/>
          </w:tcPr>
          <w:p>
            <w:r>
              <w:rPr>
                <w:rFonts w:ascii="Meiryo UI" w:hAnsi="Meiryo UI"/>
                <w:sz w:val="18"/>
              </w:rPr>
              <w:t>▲30〜▲46%</w:t>
            </w:r>
          </w:p>
        </w:tc>
      </w:tr>
      <w:tr>
        <w:tc>
          <w:tcPr>
            <w:tcW w:type="dxa" w:w="4703"/>
          </w:tcPr>
          <w:p>
            <w:r>
              <w:rPr>
                <w:rFonts w:ascii="Meiryo UI" w:hAnsi="Meiryo UI"/>
                <w:sz w:val="18"/>
              </w:rPr>
              <w:t>時間軸</w:t>
            </w:r>
          </w:p>
        </w:tc>
        <w:tc>
          <w:tcPr>
            <w:tcW w:type="dxa" w:w="4703"/>
          </w:tcPr>
          <w:p>
            <w:r>
              <w:rPr>
                <w:rFonts w:ascii="Meiryo UI" w:hAnsi="Meiryo UI"/>
                <w:sz w:val="18"/>
              </w:rPr>
              <w:t>1〜3ヶ月</w:t>
            </w:r>
          </w:p>
        </w:tc>
      </w:tr>
      <w:tr>
        <w:tc>
          <w:tcPr>
            <w:tcW w:type="dxa" w:w="4703"/>
            <w:shd w:val="clear" w:color="auto" w:fill="DDEBF7"/>
          </w:tcPr>
          <w:p>
            <w:r>
              <w:rPr>
                <w:rFonts w:ascii="Meiryo UI" w:hAnsi="Meiryo UI"/>
                <w:sz w:val="18"/>
              </w:rPr>
              <w:t>キーイベント</w:t>
            </w:r>
          </w:p>
        </w:tc>
        <w:tc>
          <w:tcPr>
            <w:tcW w:type="dxa" w:w="4703"/>
            <w:shd w:val="clear" w:color="auto" w:fill="DDEBF7"/>
          </w:tcPr>
          <w:p>
            <w:r>
              <w:rPr>
                <w:rFonts w:ascii="Meiryo UI" w:hAnsi="Meiryo UI"/>
                <w:sz w:val="18"/>
              </w:rPr>
              <w:t>決算ガイダンス大幅下方・アクティビスト撤退・BPS水準へ収束</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浅井速報スコアの評価</w:t>
      </w:r>
    </w:p>
    <w:p/>
    <w:p>
      <w:pPr>
        <w:shd w:val="clear" w:color="auto" w:fill="F2F2F2"/>
      </w:pPr>
      <w:r>
        <w:rPr>
          <w:rFonts w:ascii="Courier New" w:hAnsi="Courier New"/>
          <w:sz w:val="16"/>
        </w:rPr>
        <w:t>浅井速報スコア: +0 (BUY)</w:t>
        <w:br/>
        <w:t>浅井コメント: 国内スキャン対象外</w:t>
      </w:r>
    </w:p>
    <w:p/>
    <w:p>
      <w:r>
        <w:rPr>
          <w:rFonts w:ascii="Meiryo UI" w:hAnsi="Meiryo UI"/>
          <w:sz w:val="20"/>
        </w:rPr>
        <w:t>&gt; 深井の見立て: スコア+0（BUY）はセンチメント面でのポジティブ傾きを示唆するが、数値的根拠は軽微。「国内スキャン対象外」という注記は、浅井スコアが海外モメンタム・ニュースフローベースであり、本銘柄のようなガバナンスドリブンな国内特殊事象を拾えていないことを示す。</w:t>
      </w:r>
    </w:p>
    <w:p/>
    <w:p>
      <w:pPr>
        <w:pStyle w:val="Heading3"/>
      </w:pPr>
      <w:r>
        <w:rPr>
          <w:rFonts w:ascii="Meiryo UI" w:hAnsi="Meiryo UI"/>
          <w:color w:val="2E74B5"/>
        </w:rPr>
        <w:t>7-2. センチメント vs 本源的価値のギャップ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方向性</w:t>
            </w:r>
          </w:p>
        </w:tc>
      </w:tr>
      <w:tr>
        <w:tc>
          <w:tcPr>
            <w:tcW w:type="dxa" w:w="3135"/>
          </w:tcPr>
          <w:p>
            <w:r>
              <w:rPr>
                <w:rFonts w:ascii="Meiryo UI" w:hAnsi="Meiryo UI"/>
                <w:sz w:val="18"/>
              </w:rPr>
              <w:t>センチメント（浅井スコア）</w:t>
            </w:r>
          </w:p>
        </w:tc>
        <w:tc>
          <w:tcPr>
            <w:tcW w:type="dxa" w:w="3135"/>
          </w:tcPr>
          <w:p>
            <w:r>
              <w:rPr>
                <w:rFonts w:ascii="Meiryo UI" w:hAnsi="Meiryo UI"/>
                <w:sz w:val="18"/>
              </w:rPr>
              <w:t>BUY傾き（+0）</w:t>
            </w:r>
          </w:p>
        </w:tc>
        <w:tc>
          <w:tcPr>
            <w:tcW w:type="dxa" w:w="3135"/>
          </w:tcPr>
          <w:p>
            <w:r>
              <w:rPr>
                <w:rFonts w:ascii="Meiryo UI" w:hAnsi="Meiryo UI"/>
                <w:sz w:val="18"/>
              </w:rPr>
              <w:t>↑ やや強気</w:t>
            </w:r>
          </w:p>
        </w:tc>
      </w:tr>
      <w:tr>
        <w:tc>
          <w:tcPr>
            <w:tcW w:type="dxa" w:w="3135"/>
            <w:shd w:val="clear" w:color="auto" w:fill="DDEBF7"/>
          </w:tcPr>
          <w:p>
            <w:r>
              <w:rPr>
                <w:rFonts w:ascii="Meiryo UI" w:hAnsi="Meiryo UI"/>
                <w:sz w:val="18"/>
              </w:rPr>
              <w:t>本源的価値（DCF基本）</w:t>
            </w:r>
          </w:p>
        </w:tc>
        <w:tc>
          <w:tcPr>
            <w:tcW w:type="dxa" w:w="3135"/>
            <w:shd w:val="clear" w:color="auto" w:fill="DDEBF7"/>
          </w:tcPr>
          <w:p>
            <w:r>
              <w:rPr>
                <w:rFonts w:ascii="Meiryo UI" w:hAnsi="Meiryo UI"/>
                <w:sz w:val="18"/>
              </w:rPr>
              <w:t>¥462 vs ¥542 = 割高</w:t>
            </w:r>
          </w:p>
        </w:tc>
        <w:tc>
          <w:tcPr>
            <w:tcW w:type="dxa" w:w="3135"/>
            <w:shd w:val="clear" w:color="auto" w:fill="DDEBF7"/>
          </w:tcPr>
          <w:p>
            <w:r>
              <w:rPr>
                <w:rFonts w:ascii="Meiryo UI" w:hAnsi="Meiryo UI"/>
                <w:sz w:val="18"/>
              </w:rPr>
              <w:t>↓ 割高</w:t>
            </w:r>
          </w:p>
        </w:tc>
      </w:tr>
      <w:tr>
        <w:tc>
          <w:tcPr>
            <w:tcW w:type="dxa" w:w="3135"/>
          </w:tcPr>
          <w:p>
            <w:r>
              <w:rPr>
                <w:rFonts w:ascii="Meiryo UI" w:hAnsi="Meiryo UI"/>
                <w:sz w:val="18"/>
              </w:rPr>
              <w:t>アクティビスト介入プレミアム</w:t>
            </w:r>
          </w:p>
        </w:tc>
        <w:tc>
          <w:tcPr>
            <w:tcW w:type="dxa" w:w="3135"/>
          </w:tcPr>
          <w:p>
            <w:r>
              <w:rPr>
                <w:rFonts w:ascii="Meiryo UI" w:hAnsi="Meiryo UI"/>
                <w:sz w:val="18"/>
              </w:rPr>
              <w:t>実現すれば¥600台</w:t>
            </w:r>
          </w:p>
        </w:tc>
        <w:tc>
          <w:tcPr>
            <w:tcW w:type="dxa" w:w="3135"/>
          </w:tcPr>
          <w:p>
            <w:r>
              <w:rPr>
                <w:rFonts w:ascii="Meiryo UI" w:hAnsi="Meiryo UI"/>
                <w:sz w:val="18"/>
              </w:rPr>
              <w:t>↑ 条件付きポジティブ</w:t>
            </w:r>
          </w:p>
        </w:tc>
      </w:tr>
      <w:tr>
        <w:tc>
          <w:tcPr>
            <w:tcW w:type="dxa" w:w="3135"/>
            <w:shd w:val="clear" w:color="auto" w:fill="DDEBF7"/>
          </w:tcPr>
          <w:p>
            <w:r>
              <w:rPr>
                <w:rFonts w:ascii="Meiryo UI" w:hAnsi="Meiryo UI"/>
                <w:sz w:val="18"/>
              </w:rPr>
              <w:t>需給（降格効果）</w:t>
            </w:r>
          </w:p>
        </w:tc>
        <w:tc>
          <w:tcPr>
            <w:tcW w:type="dxa" w:w="3135"/>
            <w:shd w:val="clear" w:color="auto" w:fill="DDEBF7"/>
          </w:tcPr>
          <w:p>
            <w:r>
              <w:rPr>
                <w:rFonts w:ascii="Meiryo UI" w:hAnsi="Meiryo UI"/>
                <w:sz w:val="18"/>
              </w:rPr>
              <w:t>売り圧力残存</w:t>
            </w:r>
          </w:p>
        </w:tc>
        <w:tc>
          <w:tcPr>
            <w:tcW w:type="dxa" w:w="3135"/>
            <w:shd w:val="clear" w:color="auto" w:fill="DDEBF7"/>
          </w:tcPr>
          <w:p>
            <w:r>
              <w:rPr>
                <w:rFonts w:ascii="Meiryo UI" w:hAnsi="Meiryo UI"/>
                <w:sz w:val="18"/>
              </w:rPr>
              <w:t>↓ ネガティブ</w:t>
            </w:r>
          </w:p>
        </w:tc>
      </w:tr>
      <w:tr>
        <w:tc>
          <w:tcPr>
            <w:tcW w:type="dxa" w:w="3135"/>
          </w:tcPr>
          <w:p>
            <w:r>
              <w:rPr>
                <w:rFonts w:ascii="Meiryo UI" w:hAnsi="Meiryo UI"/>
                <w:sz w:val="18"/>
              </w:rPr>
              <w:t>統合評価</w:t>
            </w:r>
          </w:p>
        </w:tc>
        <w:tc>
          <w:tcPr>
            <w:tcW w:type="dxa" w:w="3135"/>
          </w:tcPr>
          <w:p>
            <w:r>
              <w:rPr>
                <w:rFonts w:ascii="Meiryo UI" w:hAnsi="Meiryo UI"/>
                <w:sz w:val="18"/>
              </w:rPr>
              <w:t>センチメントが本源的価値を先行。4/28が真の試金石</w:t>
            </w:r>
          </w:p>
        </w:tc>
        <w:tc>
          <w:tcPr>
            <w:tcW w:type="dxa" w:w="3135"/>
          </w:tcPr>
          <w:p>
            <w:r>
              <w:rPr>
                <w:rFonts w:ascii="Meiryo UI" w:hAnsi="Meiryo UI"/>
                <w:sz w:val="18"/>
              </w:rPr>
              <w:t>中立〜慎重</w:t>
            </w:r>
          </w:p>
        </w:tc>
      </w:tr>
    </w:tbl>
    <w:p/>
    <w:p>
      <w:r>
        <w:rPr>
          <w:rFonts w:ascii="Meiryo UI" w:hAnsi="Meiryo UI"/>
          <w:sz w:val="20"/>
        </w:rPr>
        <w:t>ギャップの正体: 現在値¥542には「アクティビスト介入によるMBO/資本政策変更期待プレミアム」が約¥80〜100（15〜18%）内包されていると推定。このプレミアムが剥落するか実現するかが4/28の分岐点。</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基本方針</w:t>
      </w:r>
    </w:p>
    <w:p/>
    <w:p>
      <w:pPr>
        <w:shd w:val="clear" w:color="auto" w:fill="F2F2F2"/>
      </w:pPr>
      <w:r>
        <w:rPr>
          <w:rFonts w:ascii="Courier New" w:hAnsi="Courier New"/>
          <w:sz w:val="16"/>
        </w:rPr>
        <w:t>┌─────────────────────────────────────────────────┐</w:t>
        <w:br/>
        <w:t>│           推奨アクション: 4/28決算待ち・ノーポジ維持            │</w:t>
        <w:br/>
        <w:t>└─────────────────────────────────────────────────┘</w:t>
      </w:r>
    </w:p>
    <w:p/>
    <w:p>
      <w:pPr>
        <w:pStyle w:val="Heading3"/>
      </w:pPr>
      <w:r>
        <w:rPr>
          <w:rFonts w:ascii="Meiryo UI" w:hAnsi="Meiryo UI"/>
          <w:color w:val="2E74B5"/>
        </w:rPr>
        <w:t>8-2. 段階的エントリー戦略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フェーズ</w:t>
            </w:r>
          </w:p>
        </w:tc>
        <w:tc>
          <w:tcPr>
            <w:tcW w:type="dxa" w:w="1881"/>
            <w:shd w:val="clear" w:color="auto" w:fill="2E74B5"/>
          </w:tcPr>
          <w:p>
            <w:r>
              <w:rPr>
                <w:rFonts w:ascii="Meiryo UI" w:hAnsi="Meiryo UI"/>
                <w:b/>
                <w:color w:val="FFFFFF"/>
                <w:sz w:val="18"/>
              </w:rPr>
              <w:t>トリガー</w:t>
            </w:r>
          </w:p>
        </w:tc>
        <w:tc>
          <w:tcPr>
            <w:tcW w:type="dxa" w:w="1881"/>
            <w:shd w:val="clear" w:color="auto" w:fill="2E74B5"/>
          </w:tcPr>
          <w:p>
            <w:r>
              <w:rPr>
                <w:rFonts w:ascii="Meiryo UI" w:hAnsi="Meiryo UI"/>
                <w:b/>
                <w:color w:val="FFFFFF"/>
                <w:sz w:val="18"/>
              </w:rPr>
              <w:t>エントリー価格</w:t>
            </w:r>
          </w:p>
        </w:tc>
        <w:tc>
          <w:tcPr>
            <w:tcW w:type="dxa" w:w="1881"/>
            <w:shd w:val="clear" w:color="auto" w:fill="2E74B5"/>
          </w:tcPr>
          <w:p>
            <w:r>
              <w:rPr>
                <w:rFonts w:ascii="Meiryo UI" w:hAnsi="Meiryo UI"/>
                <w:b/>
                <w:color w:val="FFFFFF"/>
                <w:sz w:val="18"/>
              </w:rPr>
              <w:t>ポジションサイズ</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フェーズ0（現在）</w:t>
            </w:r>
          </w:p>
        </w:tc>
        <w:tc>
          <w:tcPr>
            <w:tcW w:type="dxa" w:w="1881"/>
          </w:tcPr>
          <w:p>
            <w:r>
              <w:rPr>
                <w:rFonts w:ascii="Meiryo UI" w:hAnsi="Meiryo UI"/>
                <w:sz w:val="18"/>
              </w:rPr>
              <w:t>4/28決算前</w:t>
            </w:r>
          </w:p>
        </w:tc>
        <w:tc>
          <w:tcPr>
            <w:tcW w:type="dxa" w:w="1881"/>
          </w:tcPr>
          <w:p>
            <w:r>
              <w:rPr>
                <w:rFonts w:ascii="Meiryo UI" w:hAnsi="Meiryo UI"/>
                <w:sz w:val="18"/>
              </w:rPr>
              <w:t>エントリー禁止</w:t>
            </w:r>
          </w:p>
        </w:tc>
        <w:tc>
          <w:tcPr>
            <w:tcW w:type="dxa" w:w="1881"/>
          </w:tcPr>
          <w:p>
            <w:r>
              <w:rPr>
                <w:rFonts w:ascii="Meiryo UI" w:hAnsi="Meiryo UI"/>
                <w:sz w:val="18"/>
              </w:rPr>
              <w:t>0%</w:t>
            </w:r>
          </w:p>
        </w:tc>
        <w:tc>
          <w:tcPr>
            <w:tcW w:type="dxa" w:w="1881"/>
          </w:tcPr>
          <w:p>
            <w:r>
              <w:rPr>
                <w:rFonts w:ascii="Meiryo UI" w:hAnsi="Meiryo UI"/>
                <w:sz w:val="18"/>
              </w:rPr>
              <w:t>介入プレミアム割高。情報待ち</w:t>
            </w:r>
          </w:p>
        </w:tc>
      </w:tr>
      <w:tr>
        <w:tc>
          <w:tcPr>
            <w:tcW w:type="dxa" w:w="1881"/>
            <w:shd w:val="clear" w:color="auto" w:fill="DDEBF7"/>
          </w:tcPr>
          <w:p>
            <w:r>
              <w:rPr>
                <w:rFonts w:ascii="Meiryo UI" w:hAnsi="Meiryo UI"/>
                <w:sz w:val="18"/>
              </w:rPr>
              <w:t>フェーズ1（4/28後・ポジティブ）</w:t>
            </w:r>
          </w:p>
        </w:tc>
        <w:tc>
          <w:tcPr>
            <w:tcW w:type="dxa" w:w="1881"/>
            <w:shd w:val="clear" w:color="auto" w:fill="DDEBF7"/>
          </w:tcPr>
          <w:p>
            <w:r>
              <w:rPr>
                <w:rFonts w:ascii="Meiryo UI" w:hAnsi="Meiryo UI"/>
                <w:sz w:val="18"/>
              </w:rPr>
              <w:t>自社株買い・特別配当・MBO観測を確認</w:t>
            </w:r>
          </w:p>
        </w:tc>
        <w:tc>
          <w:tcPr>
            <w:tcW w:type="dxa" w:w="1881"/>
            <w:shd w:val="clear" w:color="auto" w:fill="DDEBF7"/>
          </w:tcPr>
          <w:p>
            <w:r>
              <w:rPr>
                <w:rFonts w:ascii="Meiryo UI" w:hAnsi="Meiryo UI"/>
                <w:sz w:val="18"/>
              </w:rPr>
              <w:t>¥520以下</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第1トランシェ。介入プレミアム剥落後の押し目</w:t>
            </w:r>
          </w:p>
        </w:tc>
      </w:tr>
      <w:tr>
        <w:tc>
          <w:tcPr>
            <w:tcW w:type="dxa" w:w="1881"/>
          </w:tcPr>
          <w:p>
            <w:r>
              <w:rPr>
                <w:rFonts w:ascii="Meiryo UI" w:hAnsi="Meiryo UI"/>
                <w:sz w:val="18"/>
              </w:rPr>
              <w:t>フェーズ2（6月株主総会後）</w:t>
            </w:r>
          </w:p>
        </w:tc>
        <w:tc>
          <w:tcPr>
            <w:tcW w:type="dxa" w:w="1881"/>
          </w:tcPr>
          <w:p>
            <w:r>
              <w:rPr>
                <w:rFonts w:ascii="Meiryo UI" w:hAnsi="Meiryo UI"/>
                <w:sz w:val="18"/>
              </w:rPr>
              <w:t>アクティビスト要求が議決に反映</w:t>
            </w:r>
          </w:p>
        </w:tc>
        <w:tc>
          <w:tcPr>
            <w:tcW w:type="dxa" w:w="1881"/>
          </w:tcPr>
          <w:p>
            <w:r>
              <w:rPr>
                <w:rFonts w:ascii="Meiryo UI" w:hAnsi="Meiryo UI"/>
                <w:sz w:val="18"/>
              </w:rPr>
              <w:t>¥480〜¥510</w:t>
            </w:r>
          </w:p>
        </w:tc>
        <w:tc>
          <w:tcPr>
            <w:tcW w:type="dxa" w:w="1881"/>
          </w:tcPr>
          <w:p>
            <w:r>
              <w:rPr>
                <w:rFonts w:ascii="Meiryo UI" w:hAnsi="Meiryo UI"/>
                <w:sz w:val="18"/>
              </w:rPr>
              <w:t>+20%（合計40%）</w:t>
            </w:r>
          </w:p>
        </w:tc>
        <w:tc>
          <w:tcPr>
            <w:tcW w:type="dxa" w:w="1881"/>
          </w:tcPr>
          <w:p>
            <w:r>
              <w:rPr>
                <w:rFonts w:ascii="Meiryo UI" w:hAnsi="Meiryo UI"/>
                <w:sz w:val="18"/>
              </w:rPr>
              <w:t>第2トランシェ。具体的変化確認後</w:t>
            </w:r>
          </w:p>
        </w:tc>
      </w:tr>
      <w:tr>
        <w:tc>
          <w:tcPr>
            <w:tcW w:type="dxa" w:w="1881"/>
            <w:shd w:val="clear" w:color="auto" w:fill="DDEBF7"/>
          </w:tcPr>
          <w:p>
            <w:r>
              <w:rPr>
                <w:rFonts w:ascii="Meiryo UI" w:hAnsi="Meiryo UI"/>
                <w:sz w:val="18"/>
              </w:rPr>
              <w:t>フェーズ3（MBO/TOB正式発表）</w:t>
            </w:r>
          </w:p>
        </w:tc>
        <w:tc>
          <w:tcPr>
            <w:tcW w:type="dxa" w:w="1881"/>
            <w:shd w:val="clear" w:color="auto" w:fill="DDEBF7"/>
          </w:tcPr>
          <w:p>
            <w:r>
              <w:rPr>
                <w:rFonts w:ascii="Meiryo UI" w:hAnsi="Meiryo UI"/>
                <w:sz w:val="18"/>
              </w:rPr>
              <w:t>公開買付け価格の発表</w:t>
            </w:r>
          </w:p>
        </w:tc>
        <w:tc>
          <w:tcPr>
            <w:tcW w:type="dxa" w:w="1881"/>
            <w:shd w:val="clear" w:color="auto" w:fill="DDEBF7"/>
          </w:tcPr>
          <w:p>
            <w:r>
              <w:rPr>
                <w:rFonts w:ascii="Meiryo UI" w:hAnsi="Meiryo UI"/>
                <w:sz w:val="18"/>
              </w:rPr>
              <w:t>成行または指値</w:t>
            </w:r>
          </w:p>
        </w:tc>
        <w:tc>
          <w:tcPr>
            <w:tcW w:type="dxa" w:w="1881"/>
            <w:shd w:val="clear" w:color="auto" w:fill="DDEBF7"/>
          </w:tcPr>
          <w:p>
            <w:r>
              <w:rPr>
                <w:rFonts w:ascii="Meiryo UI" w:hAnsi="Meiryo UI"/>
                <w:sz w:val="18"/>
              </w:rPr>
              <w:t>+20〜40%</w:t>
            </w:r>
          </w:p>
        </w:tc>
        <w:tc>
          <w:tcPr>
            <w:tcW w:type="dxa" w:w="1881"/>
            <w:shd w:val="clear" w:color="auto" w:fill="DDEBF7"/>
          </w:tcPr>
          <w:p>
            <w:r>
              <w:rPr>
                <w:rFonts w:ascii="Meiryo UI" w:hAnsi="Meiryo UI"/>
                <w:sz w:val="18"/>
              </w:rPr>
              <w:t>イベントドリブン最終段</w:t>
            </w:r>
          </w:p>
        </w:tc>
      </w:tr>
    </w:tbl>
    <w:p/>
    <w:p>
      <w:pPr>
        <w:pStyle w:val="Heading3"/>
      </w:pPr>
      <w:r>
        <w:rPr>
          <w:rFonts w:ascii="Meiryo UI" w:hAnsi="Meiryo UI"/>
          <w:color w:val="2E74B5"/>
        </w:rPr>
        <w:t>8-3. 損切りライン（絶対遵守）</w:t>
      </w:r>
    </w:p>
    <w:p/>
    <w:p>
      <w:pPr>
        <w:shd w:val="clear" w:color="auto" w:fill="F2F2F2"/>
      </w:pPr>
      <w:r>
        <w:rPr>
          <w:rFonts w:ascii="Courier New" w:hAnsi="Courier New"/>
          <w:sz w:val="16"/>
        </w:rPr>
        <w:t>【損切りライン】: ¥430（BPS¥288×1.49倍、DCF弱気シナリオ上限）</w:t>
        <w:br/>
        <w:br/>
        <w:t>損切りトリガー（いずれか一つでも発動）:</w:t>
        <w:br/>
        <w:t xml:space="preserve">  1. 4/28決算でEPS¥18以下 or 大幅下方修正ガイダンス</w:t>
        <w:br/>
        <w:t xml:space="preserve">  2. アクティビスト撤退・持ち株売却の開示</w:t>
        <w:br/>
        <w:t xml:space="preserve">  3. 株価が¥430を日足終値で割り込む</w:t>
        <w:br/>
        <w:t xml:space="preserve">  4. 経営陣がアクティビスト要求を明確に拒否・法的対立に発展</w:t>
      </w:r>
    </w:p>
    <w:p/>
    <w:p>
      <w:pPr>
        <w:pStyle w:val="Heading3"/>
      </w:pPr>
      <w:r>
        <w:rPr>
          <w:rFonts w:ascii="Meiryo UI" w:hAnsi="Meiryo UI"/>
          <w:color w:val="2E74B5"/>
        </w:rPr>
        <w:t>8-4. 利確ライン</w:t>
      </w:r>
    </w:p>
    <w:p/>
    <w:p>
      <w:pPr>
        <w:shd w:val="clear" w:color="auto" w:fill="F2F2F2"/>
      </w:pPr>
      <w:r>
        <w:rPr>
          <w:rFonts w:ascii="Courier New" w:hAnsi="Courier New"/>
          <w:sz w:val="16"/>
        </w:rPr>
        <w:t>【利確ターゲット】:</w:t>
        <w:br/>
        <w:t xml:space="preserve">  第1ターゲット: ¥580〜¥600（強気シナリオ手前・+10〜+15%）→ 50%部分利確</w:t>
        <w:br/>
        <w:t xml:space="preserve">  第2ターゲット: ¥650〜¥700（MBO/TOBプレミアム実現時）→ 残り全決済</w:t>
        <w:br/>
        <w:t xml:space="preserve">  時間軸: 最大6ヶ月（6月株主総会まで）</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Rfの変動に対する理論株価感応度（基本シナリオベース：g=1.5%、成長率5%）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Re（=Rf+β×ERP）(%)</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現在値¥542比乖離率</w:t>
            </w:r>
          </w:p>
        </w:tc>
      </w:tr>
      <w:tr>
        <w:tc>
          <w:tcPr>
            <w:tcW w:type="dxa" w:w="1568"/>
          </w:tcPr>
          <w:p>
            <w:r>
              <w:rPr>
                <w:rFonts w:ascii="Meiryo UI" w:hAnsi="Meiryo UI"/>
                <w:sz w:val="18"/>
              </w:rPr>
              <w:t>Rf ▲1.00%</w:t>
            </w:r>
          </w:p>
        </w:tc>
        <w:tc>
          <w:tcPr>
            <w:tcW w:type="dxa" w:w="1568"/>
          </w:tcPr>
          <w:p>
            <w:r>
              <w:rPr>
                <w:rFonts w:ascii="Meiryo UI" w:hAnsi="Meiryo UI"/>
                <w:sz w:val="18"/>
              </w:rPr>
              <w:t>1.467%</w:t>
            </w:r>
          </w:p>
        </w:tc>
        <w:tc>
          <w:tcPr>
            <w:tcW w:type="dxa" w:w="1568"/>
          </w:tcPr>
          <w:p>
            <w:r>
              <w:rPr>
                <w:rFonts w:ascii="Meiryo UI" w:hAnsi="Meiryo UI"/>
                <w:sz w:val="18"/>
              </w:rPr>
              <w:t>6.14%</w:t>
            </w:r>
          </w:p>
        </w:tc>
        <w:tc>
          <w:tcPr>
            <w:tcW w:type="dxa" w:w="1568"/>
          </w:tcPr>
          <w:p>
            <w:r>
              <w:rPr>
                <w:rFonts w:ascii="Meiryo UI" w:hAnsi="Meiryo UI"/>
                <w:sz w:val="18"/>
              </w:rPr>
              <w:t>5.84%</w:t>
            </w:r>
          </w:p>
        </w:tc>
        <w:tc>
          <w:tcPr>
            <w:tcW w:type="dxa" w:w="1568"/>
          </w:tcPr>
          <w:p>
            <w:r>
              <w:rPr>
                <w:rFonts w:ascii="Meiryo UI" w:hAnsi="Meiryo UI"/>
                <w:sz w:val="18"/>
              </w:rPr>
              <w:t>¥573</w:t>
            </w:r>
          </w:p>
        </w:tc>
        <w:tc>
          <w:tcPr>
            <w:tcW w:type="dxa" w:w="1568"/>
          </w:tcPr>
          <w:p>
            <w:r>
              <w:rPr>
                <w:rFonts w:ascii="Meiryo UI" w:hAnsi="Meiryo UI"/>
                <w:sz w:val="18"/>
              </w:rPr>
              <w:t>+5.7%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1.967%</w:t>
            </w:r>
          </w:p>
        </w:tc>
        <w:tc>
          <w:tcPr>
            <w:tcW w:type="dxa" w:w="1568"/>
            <w:shd w:val="clear" w:color="auto" w:fill="DDEBF7"/>
          </w:tcPr>
          <w:p>
            <w:r>
              <w:rPr>
                <w:rFonts w:ascii="Meiryo UI" w:hAnsi="Meiryo UI"/>
                <w:sz w:val="18"/>
              </w:rPr>
              <w:t>6.64%</w:t>
            </w:r>
          </w:p>
        </w:tc>
        <w:tc>
          <w:tcPr>
            <w:tcW w:type="dxa" w:w="1568"/>
            <w:shd w:val="clear" w:color="auto" w:fill="DDEBF7"/>
          </w:tcPr>
          <w:p>
            <w:r>
              <w:rPr>
                <w:rFonts w:ascii="Meiryo UI" w:hAnsi="Meiryo UI"/>
                <w:sz w:val="18"/>
              </w:rPr>
              <w:t>6.33%</w:t>
            </w:r>
          </w:p>
        </w:tc>
        <w:tc>
          <w:tcPr>
            <w:tcW w:type="dxa" w:w="1568"/>
            <w:shd w:val="clear" w:color="auto" w:fill="DDEBF7"/>
          </w:tcPr>
          <w:p>
            <w:r>
              <w:rPr>
                <w:rFonts w:ascii="Meiryo UI" w:hAnsi="Meiryo UI"/>
                <w:sz w:val="18"/>
              </w:rPr>
              <w:t>¥516</w:t>
            </w:r>
          </w:p>
        </w:tc>
        <w:tc>
          <w:tcPr>
            <w:tcW w:type="dxa" w:w="1568"/>
            <w:shd w:val="clear" w:color="auto" w:fill="DDEBF7"/>
          </w:tcPr>
          <w:p>
            <w:r>
              <w:rPr>
                <w:rFonts w:ascii="Meiryo UI" w:hAnsi="Meiryo UI"/>
                <w:sz w:val="18"/>
              </w:rPr>
              <w:t>▲4.8%</w:t>
            </w:r>
          </w:p>
        </w:tc>
      </w:tr>
      <w:tr>
        <w:tc>
          <w:tcPr>
            <w:tcW w:type="dxa" w:w="1568"/>
          </w:tcPr>
          <w:p>
            <w:r>
              <w:rPr>
                <w:rFonts w:ascii="Meiryo UI" w:hAnsi="Meiryo UI"/>
                <w:sz w:val="18"/>
              </w:rPr>
              <w:t>Rf ▲0.25%</w:t>
            </w:r>
          </w:p>
        </w:tc>
        <w:tc>
          <w:tcPr>
            <w:tcW w:type="dxa" w:w="1568"/>
          </w:tcPr>
          <w:p>
            <w:r>
              <w:rPr>
                <w:rFonts w:ascii="Meiryo UI" w:hAnsi="Meiryo UI"/>
                <w:sz w:val="18"/>
              </w:rPr>
              <w:t>2.217%</w:t>
            </w:r>
          </w:p>
        </w:tc>
        <w:tc>
          <w:tcPr>
            <w:tcW w:type="dxa" w:w="1568"/>
          </w:tcPr>
          <w:p>
            <w:r>
              <w:rPr>
                <w:rFonts w:ascii="Meiryo UI" w:hAnsi="Meiryo UI"/>
                <w:sz w:val="18"/>
              </w:rPr>
              <w:t>6.89%</w:t>
            </w:r>
          </w:p>
        </w:tc>
        <w:tc>
          <w:tcPr>
            <w:tcW w:type="dxa" w:w="1568"/>
          </w:tcPr>
          <w:p>
            <w:r>
              <w:rPr>
                <w:rFonts w:ascii="Meiryo UI" w:hAnsi="Meiryo UI"/>
                <w:sz w:val="18"/>
              </w:rPr>
              <w:t>6.56%</w:t>
            </w:r>
          </w:p>
        </w:tc>
        <w:tc>
          <w:tcPr>
            <w:tcW w:type="dxa" w:w="1568"/>
          </w:tcPr>
          <w:p>
            <w:r>
              <w:rPr>
                <w:rFonts w:ascii="Meiryo UI" w:hAnsi="Meiryo UI"/>
                <w:sz w:val="18"/>
              </w:rPr>
              <w:t>¥489</w:t>
            </w:r>
          </w:p>
        </w:tc>
        <w:tc>
          <w:tcPr>
            <w:tcW w:type="dxa" w:w="1568"/>
          </w:tcPr>
          <w:p>
            <w:r>
              <w:rPr>
                <w:rFonts w:ascii="Meiryo UI" w:hAnsi="Meiryo UI"/>
                <w:sz w:val="18"/>
              </w:rPr>
              <w:t>▲9.8%</w:t>
            </w:r>
          </w:p>
        </w:tc>
      </w:tr>
      <w:tr>
        <w:tc>
          <w:tcPr>
            <w:tcW w:type="dxa" w:w="1568"/>
            <w:shd w:val="clear" w:color="auto" w:fill="DDEBF7"/>
          </w:tcPr>
          <w:p>
            <w:r>
              <w:rPr>
                <w:rFonts w:ascii="Meiryo UI" w:hAnsi="Meiryo UI"/>
                <w:sz w:val="18"/>
              </w:rPr>
              <w:t>Rf 現状（基準）</w:t>
            </w:r>
          </w:p>
        </w:tc>
        <w:tc>
          <w:tcPr>
            <w:tcW w:type="dxa" w:w="1568"/>
            <w:shd w:val="clear" w:color="auto" w:fill="DDEBF7"/>
          </w:tcPr>
          <w:p>
            <w:r>
              <w:rPr>
                <w:rFonts w:ascii="Meiryo UI" w:hAnsi="Meiryo UI"/>
                <w:sz w:val="18"/>
              </w:rPr>
              <w:t>2.467%</w:t>
            </w:r>
          </w:p>
        </w:tc>
        <w:tc>
          <w:tcPr>
            <w:tcW w:type="dxa" w:w="1568"/>
            <w:shd w:val="clear" w:color="auto" w:fill="DDEBF7"/>
          </w:tcPr>
          <w:p>
            <w:r>
              <w:rPr>
                <w:rFonts w:ascii="Meiryo UI" w:hAnsi="Meiryo UI"/>
                <w:sz w:val="18"/>
              </w:rPr>
              <w:t>7.14%</w:t>
            </w:r>
          </w:p>
        </w:tc>
        <w:tc>
          <w:tcPr>
            <w:tcW w:type="dxa" w:w="1568"/>
            <w:shd w:val="clear" w:color="auto" w:fill="DDEBF7"/>
          </w:tcPr>
          <w:p>
            <w:r>
              <w:rPr>
                <w:rFonts w:ascii="Meiryo UI" w:hAnsi="Meiryo UI"/>
                <w:sz w:val="18"/>
              </w:rPr>
              <w:t>6.84%</w:t>
            </w:r>
          </w:p>
        </w:tc>
        <w:tc>
          <w:tcPr>
            <w:tcW w:type="dxa" w:w="1568"/>
            <w:shd w:val="clear" w:color="auto" w:fill="DDEBF7"/>
          </w:tcPr>
          <w:p>
            <w:r>
              <w:rPr>
                <w:rFonts w:ascii="Meiryo UI" w:hAnsi="Meiryo UI"/>
                <w:sz w:val="18"/>
              </w:rPr>
              <w:t>¥462</w:t>
            </w:r>
          </w:p>
        </w:tc>
        <w:tc>
          <w:tcPr>
            <w:tcW w:type="dxa" w:w="1568"/>
            <w:shd w:val="clear" w:color="auto" w:fill="DDEBF7"/>
          </w:tcPr>
          <w:p>
            <w:r>
              <w:rPr>
                <w:rFonts w:ascii="Meiryo UI" w:hAnsi="Meiryo UI"/>
                <w:sz w:val="18"/>
              </w:rPr>
              <w:t>▲14.8%</w:t>
            </w:r>
          </w:p>
        </w:tc>
      </w:tr>
      <w:tr>
        <w:tc>
          <w:tcPr>
            <w:tcW w:type="dxa" w:w="1568"/>
          </w:tcPr>
          <w:p>
            <w:r>
              <w:rPr>
                <w:rFonts w:ascii="Meiryo UI" w:hAnsi="Meiryo UI"/>
                <w:sz w:val="18"/>
              </w:rPr>
              <w:t>Rf +0.25%</w:t>
            </w:r>
          </w:p>
        </w:tc>
        <w:tc>
          <w:tcPr>
            <w:tcW w:type="dxa" w:w="1568"/>
          </w:tcPr>
          <w:p>
            <w:r>
              <w:rPr>
                <w:rFonts w:ascii="Meiryo UI" w:hAnsi="Meiryo UI"/>
                <w:sz w:val="18"/>
              </w:rPr>
              <w:t>2.717%</w:t>
            </w:r>
          </w:p>
        </w:tc>
        <w:tc>
          <w:tcPr>
            <w:tcW w:type="dxa" w:w="1568"/>
          </w:tcPr>
          <w:p>
            <w:r>
              <w:rPr>
                <w:rFonts w:ascii="Meiryo UI" w:hAnsi="Meiryo UI"/>
                <w:sz w:val="18"/>
              </w:rPr>
              <w:t>7.39%</w:t>
            </w:r>
          </w:p>
        </w:tc>
        <w:tc>
          <w:tcPr>
            <w:tcW w:type="dxa" w:w="1568"/>
          </w:tcPr>
          <w:p>
            <w:r>
              <w:rPr>
                <w:rFonts w:ascii="Meiryo UI" w:hAnsi="Meiryo UI"/>
                <w:sz w:val="18"/>
              </w:rPr>
              <w:t>7.09%</w:t>
            </w:r>
          </w:p>
        </w:tc>
        <w:tc>
          <w:tcPr>
            <w:tcW w:type="dxa" w:w="1568"/>
          </w:tcPr>
          <w:p>
            <w:r>
              <w:rPr>
                <w:rFonts w:ascii="Meiryo UI" w:hAnsi="Meiryo UI"/>
                <w:sz w:val="18"/>
              </w:rPr>
              <w:t>¥438</w:t>
            </w:r>
          </w:p>
        </w:tc>
        <w:tc>
          <w:tcPr>
            <w:tcW w:type="dxa" w:w="1568"/>
          </w:tcPr>
          <w:p>
            <w:r>
              <w:rPr>
                <w:rFonts w:ascii="Meiryo UI" w:hAnsi="Meiryo UI"/>
                <w:sz w:val="18"/>
              </w:rPr>
              <w:t>▲19.2%</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2.967%</w:t>
            </w:r>
          </w:p>
        </w:tc>
        <w:tc>
          <w:tcPr>
            <w:tcW w:type="dxa" w:w="1568"/>
            <w:shd w:val="clear" w:color="auto" w:fill="DDEBF7"/>
          </w:tcPr>
          <w:p>
            <w:r>
              <w:rPr>
                <w:rFonts w:ascii="Meiryo UI" w:hAnsi="Meiryo UI"/>
                <w:sz w:val="18"/>
              </w:rPr>
              <w:t>7.64%</w:t>
            </w:r>
          </w:p>
        </w:tc>
        <w:tc>
          <w:tcPr>
            <w:tcW w:type="dxa" w:w="1568"/>
            <w:shd w:val="clear" w:color="auto" w:fill="DDEBF7"/>
          </w:tcPr>
          <w:p>
            <w:r>
              <w:rPr>
                <w:rFonts w:ascii="Meiryo UI" w:hAnsi="Meiryo UI"/>
                <w:sz w:val="18"/>
              </w:rPr>
              <w:t>7.34%</w:t>
            </w:r>
          </w:p>
        </w:tc>
        <w:tc>
          <w:tcPr>
            <w:tcW w:type="dxa" w:w="1568"/>
            <w:shd w:val="clear" w:color="auto" w:fill="DDEBF7"/>
          </w:tcPr>
          <w:p>
            <w:r>
              <w:rPr>
                <w:rFonts w:ascii="Meiryo UI" w:hAnsi="Meiryo UI"/>
                <w:sz w:val="18"/>
              </w:rPr>
              <w:t>¥415</w:t>
            </w:r>
          </w:p>
        </w:tc>
        <w:tc>
          <w:tcPr>
            <w:tcW w:type="dxa" w:w="1568"/>
            <w:shd w:val="clear" w:color="auto" w:fill="DDEBF7"/>
          </w:tcPr>
          <w:p>
            <w:r>
              <w:rPr>
                <w:rFonts w:ascii="Meiryo UI" w:hAnsi="Meiryo UI"/>
                <w:sz w:val="18"/>
              </w:rPr>
              <w:t>▲23.4%</w:t>
            </w:r>
          </w:p>
        </w:tc>
      </w:tr>
      <w:tr>
        <w:tc>
          <w:tcPr>
            <w:tcW w:type="dxa" w:w="1568"/>
          </w:tcPr>
          <w:p>
            <w:r>
              <w:rPr>
                <w:rFonts w:ascii="Meiryo UI" w:hAnsi="Meiryo UI"/>
                <w:sz w:val="18"/>
              </w:rPr>
              <w:t>Rf +1.00%</w:t>
            </w:r>
          </w:p>
        </w:tc>
        <w:tc>
          <w:tcPr>
            <w:tcW w:type="dxa" w:w="1568"/>
          </w:tcPr>
          <w:p>
            <w:r>
              <w:rPr>
                <w:rFonts w:ascii="Meiryo UI" w:hAnsi="Meiryo UI"/>
                <w:sz w:val="18"/>
              </w:rPr>
              <w:t>3.467%</w:t>
            </w:r>
          </w:p>
        </w:tc>
        <w:tc>
          <w:tcPr>
            <w:tcW w:type="dxa" w:w="1568"/>
          </w:tcPr>
          <w:p>
            <w:r>
              <w:rPr>
                <w:rFonts w:ascii="Meiryo UI" w:hAnsi="Meiryo UI"/>
                <w:sz w:val="18"/>
              </w:rPr>
              <w:t>8.14%</w:t>
            </w:r>
          </w:p>
        </w:tc>
        <w:tc>
          <w:tcPr>
            <w:tcW w:type="dxa" w:w="1568"/>
          </w:tcPr>
          <w:p>
            <w:r>
              <w:rPr>
                <w:rFonts w:ascii="Meiryo UI" w:hAnsi="Meiryo UI"/>
                <w:sz w:val="18"/>
              </w:rPr>
              <w:t>7.84%</w:t>
            </w:r>
          </w:p>
        </w:tc>
        <w:tc>
          <w:tcPr>
            <w:tcW w:type="dxa" w:w="1568"/>
          </w:tcPr>
          <w:p>
            <w:r>
              <w:rPr>
                <w:rFonts w:ascii="Meiryo UI" w:hAnsi="Meiryo UI"/>
                <w:sz w:val="18"/>
              </w:rPr>
              <w:t>¥374</w:t>
            </w:r>
          </w:p>
        </w:tc>
        <w:tc>
          <w:tcPr>
            <w:tcW w:type="dxa" w:w="1568"/>
          </w:tcPr>
          <w:p>
            <w:r>
              <w:rPr>
                <w:rFonts w:ascii="Meiryo UI" w:hAnsi="Meiryo UI"/>
                <w:sz w:val="18"/>
              </w:rPr>
              <w:t>▲31.0%</w:t>
            </w:r>
          </w:p>
        </w:tc>
      </w:tr>
    </w:tbl>
    <w:p/>
    <w:p>
      <w:r>
        <w:rPr>
          <w:rFonts w:ascii="Meiryo UI" w:hAnsi="Meiryo UI"/>
          <w:sz w:val="20"/>
        </w:rPr>
        <w:t>感応度計算式（参考）:</w:t>
      </w:r>
    </w:p>
    <w:p>
      <w:pPr>
        <w:shd w:val="clear" w:color="auto" w:fill="F2F2F2"/>
      </w:pPr>
      <w:r>
        <w:rPr>
          <w:rFonts w:ascii="Courier New" w:hAnsi="Courier New"/>
          <w:sz w:val="16"/>
        </w:rPr>
        <w:t>Re = Rf + 0.85 × 5.5%</w:t>
        <w:br/>
        <w:t>WACC = 0.95 × Re + 0.05 × 1.5% × 0.70</w:t>
        <w:br/>
        <w:br/>
        <w:t>ターミナルバリュー変化（g=1.5%固定時）:</w:t>
        <w:br/>
        <w:t xml:space="preserve">  TV ∝ 1 / (WACC - g)</w:t>
        <w:br/>
        <w:t xml:space="preserve">  → WACCが1%上昇するとTV約15〜20%下落（逆数の性質）</w:t>
      </w:r>
    </w:p>
    <w:p/>
    <w:p>
      <w:pPr>
        <w:pStyle w:val="Heading3"/>
      </w:pPr>
      <w:r>
        <w:rPr>
          <w:rFonts w:ascii="Meiryo UI" w:hAnsi="Meiryo UI"/>
          <w:color w:val="2E74B5"/>
        </w:rPr>
        <w:t>感応度分析の示唆</w:t>
      </w:r>
    </w:p>
    <w:p/>
    <w:p>
      <w:pPr>
        <w:shd w:val="clear" w:color="auto" w:fill="F2F2F2"/>
      </w:pPr>
      <w:r>
        <w:rPr>
          <w:rFonts w:ascii="Courier New" w:hAnsi="Courier New"/>
          <w:sz w:val="16"/>
        </w:rPr>
        <w:t>📊 金利上昇リスクの評価:</w:t>
        <w:br/>
        <w:t xml:space="preserve">  Rf +0.50%（3.0%水準）: 理論株価¥415 → 現在値から▲23%</w:t>
        <w:br/>
        <w:t xml:space="preserve">  Rf +1.00%（3.5%水準）: 理論株価¥374 → 現在値から▲31%</w:t>
        <w:br/>
        <w:br/>
        <w:t xml:space="preserve">  日銀の利上げサイクルが加速する場合（Rf3%超シナリオ）では、</w:t>
        <w:br/>
        <w:t xml:space="preserve">  本銘柄の本源的価値は¥380〜¥420水準まで圧縮される。</w:t>
        <w:br/>
        <w:br/>
        <w:t xml:space="preserve">  唯一の救いは「アクティビスト介入→資本政策変化」のエクイティストーリー。</w:t>
        <w:br/>
        <w:t xml:space="preserve">  これが実現しない場合、金利上昇＋降格売り＋業績停滞の三重苦で</w:t>
        <w:br/>
        <w:t xml:space="preserve">  ¥380〜¥420水準を試す展開も十分あり得る。</w:t>
      </w:r>
    </w:p>
    <w:p/>
    <w:p>
      <w:r>
        <w:t>──────────────────────────────────────────────────</w:t>
      </w:r>
    </w:p>
    <w:p/>
    <w:p>
      <w:pPr>
        <w:pStyle w:val="Heading2"/>
      </w:pPr>
      <w:r>
        <w:rPr>
          <w:rFonts w:ascii="Meiryo UI" w:hAnsi="Meiryo UI"/>
          <w:color w:val="2E74B5"/>
        </w:rPr>
        <w:t>総括・深井の最終見解</w:t>
      </w:r>
    </w:p>
    <w:p/>
    <w:p>
      <w:pPr>
        <w:shd w:val="clear" w:color="auto" w:fill="F2F2F2"/>
      </w:pPr>
      <w:r>
        <w:rPr>
          <w:rFonts w:ascii="Courier New" w:hAnsi="Courier New"/>
          <w:sz w:val="16"/>
        </w:rPr>
        <w:t>━━━━━━━━━━━━━━━━━━━━━━━━━━━━━━━━━</w:t>
        <w:br/>
        <w:t xml:space="preserve">  現在値 ¥542 は「介入プレミアム」がフルに乗った状態。</w:t>
        <w:br/>
        <w:t xml:space="preserve">  DCF基本価値（¥462）との乖離▲14.8%は、</w:t>
        <w:br/>
        <w:t xml:space="preserve">  「アクティビスト介入が何も実現しない場合の下落余地」。</w:t>
        <w:br/>
        <w:br/>
        <w:t xml:space="preserve">  4/28決算での資本政策変更が唯一の正当化根拠であり、</w:t>
        <w:br/>
        <w:t xml:space="preserve">  それ以外のシナリオではホールド・追加購入の合理性はない。</w:t>
        <w:br/>
        <w:br/>
        <w:t xml:space="preserve">  投資判断: 【中立（NEUTRAL）】— 4/28決算後に再評価。</w:t>
        <w:br/>
        <w:t xml:space="preserve">  現時点でのポジション構築は「介入プレミアムを買う」ギャンブル。</w:t>
        <w:br/>
        <w:t xml:space="preserve">  リスクリワード比は現在値では優位性なし。</w:t>
        <w:br/>
        <w:t>━━━━━━━━━━━━━━━━━━━━━━━━━━━━━━━━━</w:t>
      </w:r>
    </w:p>
    <w:p/>
    <w:p>
      <w:r>
        <w:t>──────────────────────────────────────────────────</w:t>
      </w:r>
    </w:p>
    <w:p/>
    <w:p>
      <w:r>
        <w:rPr>
          <w:rFonts w:ascii="Meiryo UI" w:hAnsi="Meiryo UI"/>
          <w:sz w:val="20"/>
        </w:rPr>
        <w:t>⚠️ 免責事項: 本レポートは竹村トレードカンパニー内部資料であり、投資勧誘を目的としない。財務指標はYahoo Finance（2026-04-14 12:18 JST）取得値を使用。★印は公開情報からの推計値。4/28決算開示後に数値を必ず更新すること。本レポートの判断は2026-04-14時点のものであり、情報の変化により投資判断は変わりうる。</w:t>
      </w:r>
    </w:p>
    <w:p/>
    <w:p>
      <w:r>
        <w:rPr>
          <w:rFonts w:ascii="Meiryo UI" w:hAnsi="Meiryo UI"/>
          <w:sz w:val="20"/>
        </w:rPr>
        <w:t>— 深井（竹村トレードカンパニー / 財務・DCFアナリスト）</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12:18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3622_ネットイヤーグル_BUY_DeepResearch_20260414.md を出力しました。</w:t>
      </w:r>
    </w:p>
    <w:p>
      <w:r>
        <w:rPr>
          <w:rFonts w:ascii="Meiryo UI" w:hAnsi="Meiryo UI"/>
          <w:sz w:val="20"/>
        </w:rPr>
        <w:t>浅井スコア +0 の銘柄 [3622]ネットイヤーグループ についてDeepResearch完了。</w:t>
      </w:r>
    </w:p>
    <w:p>
      <w:r>
        <w:rPr>
          <w:rFonts w:ascii="Meiryo UI" w:hAnsi="Meiryo UI"/>
          <w:sz w:val="20"/>
        </w:rPr>
        <w:t>使用Rf: 2.467%（取得: 2026-04-14 12:18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