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【AGS株式会社（3648）】Deep Research ── 投資判断：HOLD</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【AGS株式会社（3648）】Deep Research ── 投資判断：HOLD</w:t>
      </w:r>
    </w:p>
    <w:p/>
    <w:p>
      <w:r>
        <w:rPr>
          <w:rFonts w:ascii="Meiryo UI" w:hAnsi="Meiryo UI"/>
          <w:sz w:val="20"/>
        </w:rPr>
        <w:t>IRページ: https://www.ags.co.jp/ir/</w:t>
      </w:r>
    </w:p>
    <w:p>
      <w:r>
        <w:rPr>
          <w:rFonts w:ascii="Meiryo UI" w:hAnsi="Meiryo UI"/>
          <w:sz w:val="20"/>
        </w:rPr>
        <w:t>IR連絡先: https://www.ags.co.jp/contact/（お問い合わせフォーム）／営業時間9:00〜17:00（土日祝・年末年始除く）</w:t>
      </w:r>
    </w:p>
    <w:p>
      <w:r>
        <w:rPr>
          <w:rFonts w:ascii="Meiryo UI" w:hAnsi="Meiryo UI"/>
          <w:sz w:val="20"/>
        </w:rPr>
        <w:t>最新決算資料: https://www.ags.co.jp/ir/pdf/tanshin_20251030_2q.pdf（2026年3月期第2四半期）</w:t>
      </w:r>
    </w:p>
    <w:p>
      <w:r>
        <w:rPr>
          <w:rFonts w:ascii="Meiryo UI" w:hAnsi="Meiryo UI"/>
          <w:sz w:val="20"/>
        </w:rPr>
        <w:t>作成: 深井　竹村トレードカンパニー｜2026年04月16日</w:t>
      </w:r>
    </w:p>
    <w:p/>
    <w:p>
      <w:r>
        <w:t>──────────────────────────────────────────────────</w:t>
      </w:r>
    </w:p>
    <w:p/>
    <w:p>
      <w:pPr>
        <w:pStyle w:val="Heading2"/>
      </w:pPr>
      <w:r>
        <w:rPr>
          <w:rFonts w:ascii="Meiryo UI" w:hAnsi="Meiryo UI"/>
          <w:color w:val="2E74B5"/>
        </w:rPr>
        <w:t>⚡ 10秒エグゼクティブサマリー</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HOLD（押し目¥1,050以下でBUY検討）</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¥1,450（現値¥1,205比+20.3%）</w:t>
            </w:r>
          </w:p>
        </w:tc>
      </w:tr>
      <w:tr>
        <w:tc>
          <w:tcPr>
            <w:tcW w:type="dxa" w:w="4703"/>
          </w:tcPr>
          <w:p>
            <w:r>
              <w:rPr>
                <w:rFonts w:ascii="Meiryo UI" w:hAnsi="Meiryo UI"/>
                <w:sz w:val="18"/>
              </w:rPr>
              <w:t>安全域</w:t>
            </w:r>
          </w:p>
        </w:tc>
        <w:tc>
          <w:tcPr>
            <w:tcW w:type="dxa" w:w="4703"/>
          </w:tcPr>
          <w:p>
            <w:r>
              <w:rPr>
                <w:rFonts w:ascii="Meiryo UI" w:hAnsi="Meiryo UI"/>
                <w:sz w:val="18"/>
              </w:rPr>
              <w:t>27%（DCF内在価値¥1,654に対し現値は27.1%割安）</w:t>
            </w:r>
          </w:p>
        </w:tc>
      </w:tr>
      <w:tr>
        <w:tc>
          <w:tcPr>
            <w:tcW w:type="dxa" w:w="4703"/>
            <w:shd w:val="clear" w:color="auto" w:fill="DDEBF7"/>
          </w:tcPr>
          <w:p>
            <w:r>
              <w:rPr>
                <w:rFonts w:ascii="Meiryo UI" w:hAnsi="Meiryo UI"/>
                <w:sz w:val="18"/>
              </w:rPr>
              <w:t>AI代替リスク判定</w:t>
            </w:r>
          </w:p>
        </w:tc>
        <w:tc>
          <w:tcPr>
            <w:tcW w:type="dxa" w:w="4703"/>
            <w:shd w:val="clear" w:color="auto" w:fill="DDEBF7"/>
          </w:tcPr>
          <w:p>
            <w:r>
              <w:rPr>
                <w:rFonts w:ascii="Meiryo UI" w:hAnsi="Meiryo UI"/>
                <w:sz w:val="18"/>
              </w:rPr>
              <w:t>中〜高（3〜5年視点）</w:t>
            </w:r>
          </w:p>
        </w:tc>
      </w:tr>
      <w:tr>
        <w:tc>
          <w:tcPr>
            <w:tcW w:type="dxa" w:w="4703"/>
          </w:tcPr>
          <w:p>
            <w:r>
              <w:rPr>
                <w:rFonts w:ascii="Meiryo UI" w:hAnsi="Meiryo UI"/>
                <w:sz w:val="18"/>
              </w:rPr>
              <w:t>強気根拠①</w:t>
            </w:r>
          </w:p>
        </w:tc>
        <w:tc>
          <w:tcPr>
            <w:tcW w:type="dxa" w:w="4703"/>
          </w:tcPr>
          <w:p>
            <w:r>
              <w:rPr>
                <w:rFonts w:ascii="Meiryo UI" w:hAnsi="Meiryo UI"/>
                <w:sz w:val="18"/>
              </w:rPr>
              <w:t>官公庁・金融向け基幹系の50年以上の実績と規制・コンプライアンス障壁による高スイッチングコスト</w:t>
            </w:r>
          </w:p>
        </w:tc>
      </w:tr>
      <w:tr>
        <w:tc>
          <w:tcPr>
            <w:tcW w:type="dxa" w:w="4703"/>
            <w:shd w:val="clear" w:color="auto" w:fill="DDEBF7"/>
          </w:tcPr>
          <w:p>
            <w:r>
              <w:rPr>
                <w:rFonts w:ascii="Meiryo UI" w:hAnsi="Meiryo UI"/>
                <w:sz w:val="18"/>
              </w:rPr>
              <w:t>強気根拠②</w:t>
            </w:r>
          </w:p>
        </w:tc>
        <w:tc>
          <w:tcPr>
            <w:tcW w:type="dxa" w:w="4703"/>
            <w:shd w:val="clear" w:color="auto" w:fill="DDEBF7"/>
          </w:tcPr>
          <w:p>
            <w:r>
              <w:rPr>
                <w:rFonts w:ascii="Meiryo UI" w:hAnsi="Meiryo UI"/>
                <w:sz w:val="18"/>
              </w:rPr>
              <w:t>2期連続過去最高益（FY2026E 経常利益+10%）・3Q累計売上+22%の加速成長</w:t>
            </w:r>
          </w:p>
        </w:tc>
      </w:tr>
      <w:tr>
        <w:tc>
          <w:tcPr>
            <w:tcW w:type="dxa" w:w="4703"/>
          </w:tcPr>
          <w:p>
            <w:r>
              <w:rPr>
                <w:rFonts w:ascii="Meiryo UI" w:hAnsi="Meiryo UI"/>
                <w:sz w:val="18"/>
              </w:rPr>
              <w:t>強気根拠③</w:t>
            </w:r>
          </w:p>
        </w:tc>
        <w:tc>
          <w:tcPr>
            <w:tcW w:type="dxa" w:w="4703"/>
          </w:tcPr>
          <w:p>
            <w:r>
              <w:rPr>
                <w:rFonts w:ascii="Meiryo UI" w:hAnsi="Meiryo UI"/>
                <w:sz w:val="18"/>
              </w:rPr>
              <w:t>さいたまiDCというTier-4クラスDCの自社資産保有＋AI-Zanmai等AI対応サービスへの積極転換</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SIer人月モデルの構造的崩壊：生成AIによる開発生産性50%向上がそのまま単価・受注額の収縮につながる逆説</w:t>
            </w:r>
          </w:p>
        </w:tc>
      </w:tr>
      <w:tr>
        <w:tc>
          <w:tcPr>
            <w:tcW w:type="dxa" w:w="4703"/>
          </w:tcPr>
          <w:p>
            <w:r>
              <w:rPr>
                <w:rFonts w:ascii="Meiryo UI" w:hAnsi="Meiryo UI"/>
                <w:sz w:val="18"/>
              </w:rPr>
              <w:t>推奨アクション</w:t>
            </w:r>
          </w:p>
        </w:tc>
        <w:tc>
          <w:tcPr>
            <w:tcW w:type="dxa" w:w="4703"/>
          </w:tcPr>
          <w:p>
            <w:r>
              <w:rPr>
                <w:rFonts w:ascii="Meiryo UI" w:hAnsi="Meiryo UI"/>
                <w:sz w:val="18"/>
              </w:rPr>
              <w:t>現値は過去最高益継続にもかかわらずPBR1.28倍と割安感はあるが、AI代替リスク（SIer全般への構造的圧力）を踏まえポジションは軽め。FY2027のガイダンスで人月依存度低下の証拠が見えれば格上げ。押し目¥1,050以下でBUY</w:t>
            </w:r>
          </w:p>
        </w:tc>
      </w:tr>
    </w:tbl>
    <w:p/>
    <w:p>
      <w:r>
        <w:t>──────────────────────────────────────────────────</w:t>
      </w:r>
    </w:p>
    <w:p/>
    <w:p>
      <w:pPr>
        <w:pStyle w:val="Heading2"/>
      </w:pPr>
      <w:r>
        <w:rPr>
          <w:rFonts w:ascii="Meiryo UI" w:hAnsi="Meiryo UI"/>
          <w:color w:val="2E74B5"/>
        </w:rPr>
        <w:t>1. 企業概要・ビジネスモデル</w:t>
      </w:r>
    </w:p>
    <w:p/>
    <w:p>
      <w:pPr>
        <w:pStyle w:val="Heading3"/>
      </w:pPr>
      <w:r>
        <w:rPr>
          <w:rFonts w:ascii="Meiryo UI" w:hAnsi="Meiryo UI"/>
          <w:color w:val="2E74B5"/>
        </w:rPr>
        <w:t>1-1. 会社概要</w:t>
      </w:r>
    </w:p>
    <w:p>
      <w:r>
        <w:rPr>
          <w:rFonts w:ascii="Meiryo UI" w:hAnsi="Meiryo UI"/>
          <w:sz w:val="20"/>
        </w:rPr>
        <w:t>AGS株式会社（旧：朝日情報システム）は1971年設立、東証スタンダード市場上場（3648）。さいたま市浦和区に本社を置く独立系システムインテグレーター（SIer）。連結子会社3社を含む4社体制。資本金14.3億円、時価総額約201億円。</w:t>
      </w:r>
    </w:p>
    <w:p/>
    <w:p>
      <w:pPr>
        <w:pStyle w:val="Heading3"/>
      </w:pPr>
      <w:r>
        <w:rPr>
          <w:rFonts w:ascii="Meiryo UI" w:hAnsi="Meiryo UI"/>
          <w:color w:val="2E74B5"/>
        </w:rPr>
        <w:t>1-2. 事業セグメント（2025年3月期実績）</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構成比</w:t>
            </w:r>
          </w:p>
        </w:tc>
        <w:tc>
          <w:tcPr>
            <w:tcW w:type="dxa" w:w="2351"/>
            <w:shd w:val="clear" w:color="auto" w:fill="2E74B5"/>
          </w:tcPr>
          <w:p>
            <w:r>
              <w:rPr>
                <w:rFonts w:ascii="Meiryo UI" w:hAnsi="Meiryo UI"/>
                <w:b/>
                <w:color w:val="FFFFFF"/>
                <w:sz w:val="18"/>
              </w:rPr>
              <w:t>内容</w:t>
            </w:r>
          </w:p>
        </w:tc>
      </w:tr>
      <w:tr>
        <w:tc>
          <w:tcPr>
            <w:tcW w:type="dxa" w:w="2351"/>
          </w:tcPr>
          <w:p>
            <w:r>
              <w:rPr>
                <w:rFonts w:ascii="Meiryo UI" w:hAnsi="Meiryo UI"/>
                <w:sz w:val="18"/>
              </w:rPr>
              <w:t>情報処理サービス</w:t>
            </w:r>
          </w:p>
        </w:tc>
        <w:tc>
          <w:tcPr>
            <w:tcW w:type="dxa" w:w="2351"/>
          </w:tcPr>
          <w:p>
            <w:r>
              <w:rPr>
                <w:rFonts w:ascii="Meiryo UI" w:hAnsi="Meiryo UI"/>
                <w:sz w:val="18"/>
              </w:rPr>
              <w:t>119.8億円</w:t>
            </w:r>
          </w:p>
        </w:tc>
        <w:tc>
          <w:tcPr>
            <w:tcW w:type="dxa" w:w="2351"/>
          </w:tcPr>
          <w:p>
            <w:r>
              <w:rPr>
                <w:rFonts w:ascii="Meiryo UI" w:hAnsi="Meiryo UI"/>
                <w:sz w:val="18"/>
              </w:rPr>
              <w:t>48.2%</w:t>
            </w:r>
          </w:p>
        </w:tc>
        <w:tc>
          <w:tcPr>
            <w:tcW w:type="dxa" w:w="2351"/>
          </w:tcPr>
          <w:p>
            <w:r>
              <w:rPr>
                <w:rFonts w:ascii="Meiryo UI" w:hAnsi="Meiryo UI"/>
                <w:sz w:val="18"/>
              </w:rPr>
              <w:t>大型汎用機中心のコンピューティングサービス、IDCサービス、クラウドBPO</w:t>
            </w:r>
          </w:p>
        </w:tc>
      </w:tr>
      <w:tr>
        <w:tc>
          <w:tcPr>
            <w:tcW w:type="dxa" w:w="2351"/>
            <w:shd w:val="clear" w:color="auto" w:fill="DDEBF7"/>
          </w:tcPr>
          <w:p>
            <w:r>
              <w:rPr>
                <w:rFonts w:ascii="Meiryo UI" w:hAnsi="Meiryo UI"/>
                <w:sz w:val="18"/>
              </w:rPr>
              <w:t>ソフトウェア開発</w:t>
            </w:r>
          </w:p>
        </w:tc>
        <w:tc>
          <w:tcPr>
            <w:tcW w:type="dxa" w:w="2351"/>
            <w:shd w:val="clear" w:color="auto" w:fill="DDEBF7"/>
          </w:tcPr>
          <w:p>
            <w:r>
              <w:rPr>
                <w:rFonts w:ascii="Meiryo UI" w:hAnsi="Meiryo UI"/>
                <w:sz w:val="18"/>
              </w:rPr>
              <w:t>73.5億円</w:t>
            </w:r>
          </w:p>
        </w:tc>
        <w:tc>
          <w:tcPr>
            <w:tcW w:type="dxa" w:w="2351"/>
            <w:shd w:val="clear" w:color="auto" w:fill="DDEBF7"/>
          </w:tcPr>
          <w:p>
            <w:r>
              <w:rPr>
                <w:rFonts w:ascii="Meiryo UI" w:hAnsi="Meiryo UI"/>
                <w:sz w:val="18"/>
              </w:rPr>
              <w:t>29.6%</w:t>
            </w:r>
          </w:p>
        </w:tc>
        <w:tc>
          <w:tcPr>
            <w:tcW w:type="dxa" w:w="2351"/>
            <w:shd w:val="clear" w:color="auto" w:fill="DDEBF7"/>
          </w:tcPr>
          <w:p>
            <w:r>
              <w:rPr>
                <w:rFonts w:ascii="Meiryo UI" w:hAnsi="Meiryo UI"/>
                <w:sz w:val="18"/>
              </w:rPr>
              <w:t>官公庁・金融・一般企業向け基幹系システム開発・保守</w:t>
            </w:r>
          </w:p>
        </w:tc>
      </w:tr>
      <w:tr>
        <w:tc>
          <w:tcPr>
            <w:tcW w:type="dxa" w:w="2351"/>
          </w:tcPr>
          <w:p>
            <w:r>
              <w:rPr>
                <w:rFonts w:ascii="Meiryo UI" w:hAnsi="Meiryo UI"/>
                <w:sz w:val="18"/>
              </w:rPr>
              <w:t>その他情報サービス</w:t>
            </w:r>
          </w:p>
        </w:tc>
        <w:tc>
          <w:tcPr>
            <w:tcW w:type="dxa" w:w="2351"/>
          </w:tcPr>
          <w:p>
            <w:r>
              <w:rPr>
                <w:rFonts w:ascii="Meiryo UI" w:hAnsi="Meiryo UI"/>
                <w:sz w:val="18"/>
              </w:rPr>
              <w:t>35.7億円</w:t>
            </w:r>
          </w:p>
        </w:tc>
        <w:tc>
          <w:tcPr>
            <w:tcW w:type="dxa" w:w="2351"/>
          </w:tcPr>
          <w:p>
            <w:r>
              <w:rPr>
                <w:rFonts w:ascii="Meiryo UI" w:hAnsi="Meiryo UI"/>
                <w:sz w:val="18"/>
              </w:rPr>
              <w:t>14.3%</w:t>
            </w:r>
          </w:p>
        </w:tc>
        <w:tc>
          <w:tcPr>
            <w:tcW w:type="dxa" w:w="2351"/>
          </w:tcPr>
          <w:p>
            <w:r>
              <w:rPr>
                <w:rFonts w:ascii="Meiryo UI" w:hAnsi="Meiryo UI"/>
                <w:sz w:val="18"/>
              </w:rPr>
              <w:t>セキュリティ、RPA（WinActor）、コンサルティング</w:t>
            </w:r>
          </w:p>
        </w:tc>
      </w:tr>
      <w:tr>
        <w:tc>
          <w:tcPr>
            <w:tcW w:type="dxa" w:w="2351"/>
            <w:shd w:val="clear" w:color="auto" w:fill="DDEBF7"/>
          </w:tcPr>
          <w:p>
            <w:r>
              <w:rPr>
                <w:rFonts w:ascii="Meiryo UI" w:hAnsi="Meiryo UI"/>
                <w:sz w:val="18"/>
              </w:rPr>
              <w:t>システム機器販売</w:t>
            </w:r>
          </w:p>
        </w:tc>
        <w:tc>
          <w:tcPr>
            <w:tcW w:type="dxa" w:w="2351"/>
            <w:shd w:val="clear" w:color="auto" w:fill="DDEBF7"/>
          </w:tcPr>
          <w:p>
            <w:r>
              <w:rPr>
                <w:rFonts w:ascii="Meiryo UI" w:hAnsi="Meiryo UI"/>
                <w:sz w:val="18"/>
              </w:rPr>
              <w:t>19.6億円</w:t>
            </w:r>
          </w:p>
        </w:tc>
        <w:tc>
          <w:tcPr>
            <w:tcW w:type="dxa" w:w="2351"/>
            <w:shd w:val="clear" w:color="auto" w:fill="DDEBF7"/>
          </w:tcPr>
          <w:p>
            <w:r>
              <w:rPr>
                <w:rFonts w:ascii="Meiryo UI" w:hAnsi="Meiryo UI"/>
                <w:sz w:val="18"/>
              </w:rPr>
              <w:t>7.9%</w:t>
            </w:r>
          </w:p>
        </w:tc>
        <w:tc>
          <w:tcPr>
            <w:tcW w:type="dxa" w:w="2351"/>
            <w:shd w:val="clear" w:color="auto" w:fill="DDEBF7"/>
          </w:tcPr>
          <w:p>
            <w:r>
              <w:rPr>
                <w:rFonts w:ascii="Meiryo UI" w:hAnsi="Meiryo UI"/>
                <w:sz w:val="18"/>
              </w:rPr>
              <w:t>ハードウェア・ライセンス販売</w:t>
            </w:r>
          </w:p>
        </w:tc>
      </w:tr>
      <w:tr>
        <w:tc>
          <w:tcPr>
            <w:tcW w:type="dxa" w:w="2351"/>
          </w:tcPr>
          <w:p>
            <w:r>
              <w:rPr>
                <w:rFonts w:ascii="Meiryo UI" w:hAnsi="Meiryo UI"/>
                <w:sz w:val="18"/>
              </w:rPr>
              <w:t>合計</w:t>
            </w:r>
          </w:p>
        </w:tc>
        <w:tc>
          <w:tcPr>
            <w:tcW w:type="dxa" w:w="2351"/>
          </w:tcPr>
          <w:p>
            <w:r>
              <w:rPr>
                <w:rFonts w:ascii="Meiryo UI" w:hAnsi="Meiryo UI"/>
                <w:sz w:val="18"/>
              </w:rPr>
              <w:t>248.6億円</w:t>
            </w:r>
          </w:p>
        </w:tc>
        <w:tc>
          <w:tcPr>
            <w:tcW w:type="dxa" w:w="2351"/>
          </w:tcPr>
          <w:p>
            <w:r>
              <w:rPr>
                <w:rFonts w:ascii="Meiryo UI" w:hAnsi="Meiryo UI"/>
                <w:sz w:val="18"/>
              </w:rPr>
              <w:t>100%</w:t>
            </w:r>
          </w:p>
        </w:tc>
        <w:tc>
          <w:tcPr>
            <w:tcW w:type="dxa" w:w="2351"/>
          </w:tcPr>
          <w:p>
            <w:r>
              <w:rPr>
                <w:rFonts w:ascii="Meiryo UI" w:hAnsi="Meiryo UI"/>
                <w:sz w:val="18"/>
              </w:rPr>
              <w:t>前期比12.5%増</w:t>
            </w:r>
          </w:p>
        </w:tc>
      </w:tr>
    </w:tbl>
    <w:p/>
    <w:p>
      <w:pPr>
        <w:pStyle w:val="Heading3"/>
      </w:pPr>
      <w:r>
        <w:rPr>
          <w:rFonts w:ascii="Meiryo UI" w:hAnsi="Meiryo UI"/>
          <w:color w:val="2E74B5"/>
        </w:rPr>
        <w:t>1-3. 顧客基盤の特性</w:t>
      </w:r>
    </w:p>
    <w:p>
      <w:pPr>
        <w:pStyle w:val="ListBullet"/>
      </w:pPr>
      <w:r>
        <w:rPr>
          <w:rFonts w:ascii="Meiryo UI" w:hAnsi="Meiryo UI"/>
          <w:sz w:val="20"/>
        </w:rPr>
        <w:t>官公庁・地方自治体：基幹業務（住民台帳・税務・保険）の長期委託、ガバメントクラウド移行支援</w:t>
      </w:r>
    </w:p>
    <w:p>
      <w:pPr>
        <w:pStyle w:val="ListBullet"/>
      </w:pPr>
      <w:r>
        <w:rPr>
          <w:rFonts w:ascii="Meiryo UI" w:hAnsi="Meiryo UI"/>
          <w:sz w:val="20"/>
        </w:rPr>
        <w:t>金融機関：地方銀行・信用金庫向けコアバンキング運用・保守（50年超の実績）</w:t>
      </w:r>
    </w:p>
    <w:p>
      <w:pPr>
        <w:pStyle w:val="ListBullet"/>
      </w:pPr>
      <w:r>
        <w:rPr>
          <w:rFonts w:ascii="Meiryo UI" w:hAnsi="Meiryo UI"/>
          <w:sz w:val="20"/>
        </w:rPr>
        <w:t>一般法人：中堅企業向けERPリプレース、DX推進支援</w:t>
      </w:r>
    </w:p>
    <w:p/>
    <w:p>
      <w:pPr>
        <w:pStyle w:val="Heading3"/>
      </w:pPr>
      <w:r>
        <w:rPr>
          <w:rFonts w:ascii="Meiryo UI" w:hAnsi="Meiryo UI"/>
          <w:color w:val="2E74B5"/>
        </w:rPr>
        <w:t>1-4. 競合他社</w:t>
      </w:r>
    </w:p>
    <w:p>
      <w:r>
        <w:rPr>
          <w:rFonts w:ascii="Meiryo UI" w:hAnsi="Meiryo UI"/>
          <w:sz w:val="20"/>
        </w:rPr>
        <w:t>NTTデータ、富士通、NECなどの大手SIerと競合するが、中小自治体・地方金融機関への深い業種特化で独自ポジションを維持。独立系であるため特定メーカー依存がなく、マルチベンダー対応が強み。</w:t>
      </w:r>
    </w:p>
    <w:p/>
    <w:p>
      <w:r>
        <w:t>──────────────────────────────────────────────────</w:t>
      </w:r>
    </w:p>
    <w:p/>
    <w:p>
      <w:pPr>
        <w:pStyle w:val="Heading2"/>
      </w:pPr>
      <w:r>
        <w:rPr>
          <w:rFonts w:ascii="Meiryo UI" w:hAnsi="Meiryo UI"/>
          <w:color w:val="2E74B5"/>
        </w:rPr>
        <w:t>2. 財務データ（リアルタイム取得 2026-04-16）</w:t>
      </w:r>
    </w:p>
    <w:p/>
    <w:p>
      <w:pPr>
        <w:pStyle w:val="Heading3"/>
      </w:pPr>
      <w:r>
        <w:rPr>
          <w:rFonts w:ascii="Meiryo UI" w:hAnsi="Meiryo UI"/>
          <w:color w:val="2E74B5"/>
        </w:rPr>
        <w:t>2-1. 株価・バリュエーション指標</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¥1,205</w:t>
            </w:r>
          </w:p>
        </w:tc>
        <w:tc>
          <w:tcPr>
            <w:tcW w:type="dxa" w:w="3135"/>
          </w:tcPr>
          <w:p>
            <w:r>
              <w:rPr>
                <w:rFonts w:ascii="Meiryo UI" w:hAnsi="Meiryo UI"/>
                <w:sz w:val="18"/>
              </w:rPr>
              <w:t>yfinance取得（2026-04-16）</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¥1,595</w:t>
            </w:r>
          </w:p>
        </w:tc>
        <w:tc>
          <w:tcPr>
            <w:tcW w:type="dxa" w:w="3135"/>
            <w:shd w:val="clear" w:color="auto" w:fill="DDEBF7"/>
          </w:tcPr>
          <w:p>
            <w:r>
              <w:rPr>
                <w:rFonts w:ascii="Meiryo UI" w:hAnsi="Meiryo UI"/>
                <w:sz w:val="18"/>
              </w:rPr>
              <w:t>2025年夏の業績上振れ局面</w:t>
            </w:r>
          </w:p>
        </w:tc>
      </w:tr>
      <w:tr>
        <w:tc>
          <w:tcPr>
            <w:tcW w:type="dxa" w:w="3135"/>
          </w:tcPr>
          <w:p>
            <w:r>
              <w:rPr>
                <w:rFonts w:ascii="Meiryo UI" w:hAnsi="Meiryo UI"/>
                <w:sz w:val="18"/>
              </w:rPr>
              <w:t>52週安値</w:t>
            </w:r>
          </w:p>
        </w:tc>
        <w:tc>
          <w:tcPr>
            <w:tcW w:type="dxa" w:w="3135"/>
          </w:tcPr>
          <w:p>
            <w:r>
              <w:rPr>
                <w:rFonts w:ascii="Meiryo UI" w:hAnsi="Meiryo UI"/>
                <w:sz w:val="18"/>
              </w:rPr>
              <w:t>¥791</w:t>
            </w:r>
          </w:p>
        </w:tc>
        <w:tc>
          <w:tcPr>
            <w:tcW w:type="dxa" w:w="3135"/>
          </w:tcPr>
          <w:p>
            <w:r>
              <w:rPr>
                <w:rFonts w:ascii="Meiryo UI" w:hAnsi="Meiryo UI"/>
                <w:sz w:val="18"/>
              </w:rPr>
              <w:t>2025年秋の市場調整</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約201億円</w:t>
            </w:r>
          </w:p>
        </w:tc>
        <w:tc>
          <w:tcPr>
            <w:tcW w:type="dxa" w:w="3135"/>
            <w:shd w:val="clear" w:color="auto" w:fill="DDEBF7"/>
          </w:tcPr>
          <w:p>
            <w:r>
              <w:rPr>
                <w:rFonts w:ascii="Meiryo UI" w:hAnsi="Meiryo UI"/>
                <w:sz w:val="18"/>
              </w:rPr>
              <w:t>スタンダード市場小型株</w:t>
            </w:r>
          </w:p>
        </w:tc>
      </w:tr>
      <w:tr>
        <w:tc>
          <w:tcPr>
            <w:tcW w:type="dxa" w:w="3135"/>
          </w:tcPr>
          <w:p>
            <w:r>
              <w:rPr>
                <w:rFonts w:ascii="Meiryo UI" w:hAnsi="Meiryo UI"/>
                <w:sz w:val="18"/>
              </w:rPr>
              <w:t>PBR</w:t>
            </w:r>
          </w:p>
        </w:tc>
        <w:tc>
          <w:tcPr>
            <w:tcW w:type="dxa" w:w="3135"/>
          </w:tcPr>
          <w:p>
            <w:r>
              <w:rPr>
                <w:rFonts w:ascii="Meiryo UI" w:hAnsi="Meiryo UI"/>
                <w:sz w:val="18"/>
              </w:rPr>
              <w:t>1.28倍</w:t>
            </w:r>
          </w:p>
        </w:tc>
        <w:tc>
          <w:tcPr>
            <w:tcW w:type="dxa" w:w="3135"/>
          </w:tcPr>
          <w:p>
            <w:r>
              <w:rPr>
                <w:rFonts w:ascii="Meiryo UI" w:hAnsi="Meiryo UI"/>
                <w:sz w:val="18"/>
              </w:rPr>
              <w:t>BPS¥941に対し株価¥1,205。低PBRではないが割安感あり</w:t>
            </w:r>
          </w:p>
        </w:tc>
      </w:tr>
      <w:tr>
        <w:tc>
          <w:tcPr>
            <w:tcW w:type="dxa" w:w="3135"/>
            <w:shd w:val="clear" w:color="auto" w:fill="DDEBF7"/>
          </w:tcPr>
          <w:p>
            <w:r>
              <w:rPr>
                <w:rFonts w:ascii="Meiryo UI" w:hAnsi="Meiryo UI"/>
                <w:sz w:val="18"/>
              </w:rPr>
              <w:t>PER（実績）</w:t>
            </w:r>
          </w:p>
        </w:tc>
        <w:tc>
          <w:tcPr>
            <w:tcW w:type="dxa" w:w="3135"/>
            <w:shd w:val="clear" w:color="auto" w:fill="DDEBF7"/>
          </w:tcPr>
          <w:p>
            <w:r>
              <w:rPr>
                <w:rFonts w:ascii="Meiryo UI" w:hAnsi="Meiryo UI"/>
                <w:sz w:val="18"/>
              </w:rPr>
              <w:t>10.2倍</w:t>
            </w:r>
          </w:p>
        </w:tc>
        <w:tc>
          <w:tcPr>
            <w:tcW w:type="dxa" w:w="3135"/>
            <w:shd w:val="clear" w:color="auto" w:fill="DDEBF7"/>
          </w:tcPr>
          <w:p>
            <w:r>
              <w:rPr>
                <w:rFonts w:ascii="Meiryo UI" w:hAnsi="Meiryo UI"/>
                <w:sz w:val="18"/>
              </w:rPr>
              <w:t>EPS¥117.72に対し。独立系SIer平均PER15〜20倍に対し大幅割安</w:t>
            </w:r>
          </w:p>
        </w:tc>
      </w:tr>
      <w:tr>
        <w:tc>
          <w:tcPr>
            <w:tcW w:type="dxa" w:w="3135"/>
          </w:tcPr>
          <w:p>
            <w:r>
              <w:rPr>
                <w:rFonts w:ascii="Meiryo UI" w:hAnsi="Meiryo UI"/>
                <w:sz w:val="18"/>
              </w:rPr>
              <w:t>ROE</w:t>
            </w:r>
          </w:p>
        </w:tc>
        <w:tc>
          <w:tcPr>
            <w:tcW w:type="dxa" w:w="3135"/>
          </w:tcPr>
          <w:p>
            <w:r>
              <w:rPr>
                <w:rFonts w:ascii="Meiryo UI" w:hAnsi="Meiryo UI"/>
                <w:sz w:val="18"/>
              </w:rPr>
              <w:t>14.0%</w:t>
            </w:r>
          </w:p>
        </w:tc>
        <w:tc>
          <w:tcPr>
            <w:tcW w:type="dxa" w:w="3135"/>
          </w:tcPr>
          <w:p>
            <w:r>
              <w:rPr>
                <w:rFonts w:ascii="Meiryo UI" w:hAnsi="Meiryo UI"/>
                <w:sz w:val="18"/>
              </w:rPr>
              <w:t>2025年3月期。目標12%超を達成中</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0.398</w:t>
            </w:r>
          </w:p>
        </w:tc>
        <w:tc>
          <w:tcPr>
            <w:tcW w:type="dxa" w:w="3135"/>
            <w:shd w:val="clear" w:color="auto" w:fill="DDEBF7"/>
          </w:tcPr>
          <w:p>
            <w:r>
              <w:rPr>
                <w:rFonts w:ascii="Meiryo UI" w:hAnsi="Meiryo UI"/>
                <w:sz w:val="18"/>
              </w:rPr>
              <w:t>低ベータ。市場変動に対して安定的、ディフェンシブ特性</w:t>
            </w:r>
          </w:p>
        </w:tc>
      </w:tr>
    </w:tbl>
    <w:p/>
    <w:p>
      <w:pPr>
        <w:pStyle w:val="Heading3"/>
      </w:pPr>
      <w:r>
        <w:rPr>
          <w:rFonts w:ascii="Meiryo UI" w:hAnsi="Meiryo UI"/>
          <w:color w:val="2E74B5"/>
        </w:rPr>
        <w:t>2-2. 業績推移（連結）</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期</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営業利益率</w:t>
            </w:r>
          </w:p>
        </w:tc>
        <w:tc>
          <w:tcPr>
            <w:tcW w:type="dxa" w:w="1344"/>
            <w:shd w:val="clear" w:color="auto" w:fill="2E74B5"/>
          </w:tcPr>
          <w:p>
            <w:r>
              <w:rPr>
                <w:rFonts w:ascii="Meiryo UI" w:hAnsi="Meiryo UI"/>
                <w:b/>
                <w:color w:val="FFFFFF"/>
                <w:sz w:val="18"/>
              </w:rPr>
              <w:t>経常利益</w:t>
            </w:r>
          </w:p>
        </w:tc>
        <w:tc>
          <w:tcPr>
            <w:tcW w:type="dxa" w:w="1344"/>
            <w:shd w:val="clear" w:color="auto" w:fill="2E74B5"/>
          </w:tcPr>
          <w:p>
            <w:r>
              <w:rPr>
                <w:rFonts w:ascii="Meiryo UI" w:hAnsi="Meiryo UI"/>
                <w:b/>
                <w:color w:val="FFFFFF"/>
                <w:sz w:val="18"/>
              </w:rPr>
              <w:t>純利益</w:t>
            </w:r>
          </w:p>
        </w:tc>
        <w:tc>
          <w:tcPr>
            <w:tcW w:type="dxa" w:w="1344"/>
            <w:shd w:val="clear" w:color="auto" w:fill="2E74B5"/>
          </w:tcPr>
          <w:p>
            <w:r>
              <w:rPr>
                <w:rFonts w:ascii="Meiryo UI" w:hAnsi="Meiryo UI"/>
                <w:b/>
                <w:color w:val="FFFFFF"/>
                <w:sz w:val="18"/>
              </w:rPr>
              <w:t>EPS</w:t>
            </w:r>
          </w:p>
        </w:tc>
      </w:tr>
      <w:tr>
        <w:tc>
          <w:tcPr>
            <w:tcW w:type="dxa" w:w="1344"/>
          </w:tcPr>
          <w:p>
            <w:r>
              <w:rPr>
                <w:rFonts w:ascii="Meiryo UI" w:hAnsi="Meiryo UI"/>
                <w:sz w:val="18"/>
              </w:rPr>
              <w:t>FY2024/3実績</w:t>
            </w:r>
          </w:p>
        </w:tc>
        <w:tc>
          <w:tcPr>
            <w:tcW w:type="dxa" w:w="1344"/>
          </w:tcPr>
          <w:p>
            <w:r>
              <w:rPr>
                <w:rFonts w:ascii="Meiryo UI" w:hAnsi="Meiryo UI"/>
                <w:sz w:val="18"/>
              </w:rPr>
              <w:t>221.0億円</w:t>
            </w:r>
          </w:p>
        </w:tc>
        <w:tc>
          <w:tcPr>
            <w:tcW w:type="dxa" w:w="1344"/>
          </w:tcPr>
          <w:p>
            <w:r>
              <w:rPr>
                <w:rFonts w:ascii="Meiryo UI" w:hAnsi="Meiryo UI"/>
                <w:sz w:val="18"/>
              </w:rPr>
              <w:t>12.7億円</w:t>
            </w:r>
          </w:p>
        </w:tc>
        <w:tc>
          <w:tcPr>
            <w:tcW w:type="dxa" w:w="1344"/>
          </w:tcPr>
          <w:p>
            <w:r>
              <w:rPr>
                <w:rFonts w:ascii="Meiryo UI" w:hAnsi="Meiryo UI"/>
                <w:sz w:val="18"/>
              </w:rPr>
              <w:t>5.7%</w:t>
            </w:r>
          </w:p>
        </w:tc>
        <w:tc>
          <w:tcPr>
            <w:tcW w:type="dxa" w:w="1344"/>
          </w:tcPr>
          <w:p>
            <w:r>
              <w:rPr>
                <w:rFonts w:ascii="Meiryo UI" w:hAnsi="Meiryo UI"/>
                <w:sz w:val="18"/>
              </w:rPr>
              <w:t>12.9億円</w:t>
            </w:r>
          </w:p>
        </w:tc>
        <w:tc>
          <w:tcPr>
            <w:tcW w:type="dxa" w:w="1344"/>
          </w:tcPr>
          <w:p>
            <w:r>
              <w:rPr>
                <w:rFonts w:ascii="Meiryo UI" w:hAnsi="Meiryo UI"/>
                <w:sz w:val="18"/>
              </w:rPr>
              <w:t>9.4億円</w:t>
            </w:r>
          </w:p>
        </w:tc>
        <w:tc>
          <w:tcPr>
            <w:tcW w:type="dxa" w:w="1344"/>
          </w:tcPr>
          <w:p>
            <w:r>
              <w:rPr>
                <w:rFonts w:ascii="Meiryo UI" w:hAnsi="Meiryo UI"/>
                <w:sz w:val="18"/>
              </w:rPr>
              <w:t>¥79.82</w:t>
            </w:r>
          </w:p>
        </w:tc>
      </w:tr>
      <w:tr>
        <w:tc>
          <w:tcPr>
            <w:tcW w:type="dxa" w:w="1344"/>
            <w:shd w:val="clear" w:color="auto" w:fill="DDEBF7"/>
          </w:tcPr>
          <w:p>
            <w:r>
              <w:rPr>
                <w:rFonts w:ascii="Meiryo UI" w:hAnsi="Meiryo UI"/>
                <w:sz w:val="18"/>
              </w:rPr>
              <w:t>FY2025/3実績</w:t>
            </w:r>
          </w:p>
        </w:tc>
        <w:tc>
          <w:tcPr>
            <w:tcW w:type="dxa" w:w="1344"/>
            <w:shd w:val="clear" w:color="auto" w:fill="DDEBF7"/>
          </w:tcPr>
          <w:p>
            <w:r>
              <w:rPr>
                <w:rFonts w:ascii="Meiryo UI" w:hAnsi="Meiryo UI"/>
                <w:sz w:val="18"/>
              </w:rPr>
              <w:t>248.6億円</w:t>
            </w:r>
          </w:p>
        </w:tc>
        <w:tc>
          <w:tcPr>
            <w:tcW w:type="dxa" w:w="1344"/>
            <w:shd w:val="clear" w:color="auto" w:fill="DDEBF7"/>
          </w:tcPr>
          <w:p>
            <w:r>
              <w:rPr>
                <w:rFonts w:ascii="Meiryo UI" w:hAnsi="Meiryo UI"/>
                <w:sz w:val="18"/>
              </w:rPr>
              <w:t>18.5億円</w:t>
            </w:r>
          </w:p>
        </w:tc>
        <w:tc>
          <w:tcPr>
            <w:tcW w:type="dxa" w:w="1344"/>
            <w:shd w:val="clear" w:color="auto" w:fill="DDEBF7"/>
          </w:tcPr>
          <w:p>
            <w:r>
              <w:rPr>
                <w:rFonts w:ascii="Meiryo UI" w:hAnsi="Meiryo UI"/>
                <w:sz w:val="18"/>
              </w:rPr>
              <w:t>7.4%</w:t>
            </w:r>
          </w:p>
        </w:tc>
        <w:tc>
          <w:tcPr>
            <w:tcW w:type="dxa" w:w="1344"/>
            <w:shd w:val="clear" w:color="auto" w:fill="DDEBF7"/>
          </w:tcPr>
          <w:p>
            <w:r>
              <w:rPr>
                <w:rFonts w:ascii="Meiryo UI" w:hAnsi="Meiryo UI"/>
                <w:sz w:val="18"/>
              </w:rPr>
              <w:t>19.0億円</w:t>
            </w:r>
          </w:p>
        </w:tc>
        <w:tc>
          <w:tcPr>
            <w:tcW w:type="dxa" w:w="1344"/>
            <w:shd w:val="clear" w:color="auto" w:fill="DDEBF7"/>
          </w:tcPr>
          <w:p>
            <w:r>
              <w:rPr>
                <w:rFonts w:ascii="Meiryo UI" w:hAnsi="Meiryo UI"/>
                <w:sz w:val="18"/>
              </w:rPr>
              <w:t>13.8億円</w:t>
            </w:r>
          </w:p>
        </w:tc>
        <w:tc>
          <w:tcPr>
            <w:tcW w:type="dxa" w:w="1344"/>
            <w:shd w:val="clear" w:color="auto" w:fill="DDEBF7"/>
          </w:tcPr>
          <w:p>
            <w:r>
              <w:rPr>
                <w:rFonts w:ascii="Meiryo UI" w:hAnsi="Meiryo UI"/>
                <w:sz w:val="18"/>
              </w:rPr>
              <w:t>¥117.72</w:t>
            </w:r>
          </w:p>
        </w:tc>
      </w:tr>
      <w:tr>
        <w:tc>
          <w:tcPr>
            <w:tcW w:type="dxa" w:w="1344"/>
          </w:tcPr>
          <w:p>
            <w:r>
              <w:rPr>
                <w:rFonts w:ascii="Meiryo UI" w:hAnsi="Meiryo UI"/>
                <w:sz w:val="18"/>
              </w:rPr>
              <w:t>FY2026/3予想</w:t>
            </w:r>
          </w:p>
        </w:tc>
        <w:tc>
          <w:tcPr>
            <w:tcW w:type="dxa" w:w="1344"/>
          </w:tcPr>
          <w:p>
            <w:r>
              <w:rPr>
                <w:rFonts w:ascii="Meiryo UI" w:hAnsi="Meiryo UI"/>
                <w:sz w:val="18"/>
              </w:rPr>
              <w:t>268.0億円</w:t>
            </w:r>
          </w:p>
        </w:tc>
        <w:tc>
          <w:tcPr>
            <w:tcW w:type="dxa" w:w="1344"/>
          </w:tcPr>
          <w:p>
            <w:r>
              <w:rPr>
                <w:rFonts w:ascii="Meiryo UI" w:hAnsi="Meiryo UI"/>
                <w:sz w:val="18"/>
              </w:rPr>
              <w:t>20.5億円</w:t>
            </w:r>
          </w:p>
        </w:tc>
        <w:tc>
          <w:tcPr>
            <w:tcW w:type="dxa" w:w="1344"/>
          </w:tcPr>
          <w:p>
            <w:r>
              <w:rPr>
                <w:rFonts w:ascii="Meiryo UI" w:hAnsi="Meiryo UI"/>
                <w:sz w:val="18"/>
              </w:rPr>
              <w:t>7.6%</w:t>
            </w:r>
          </w:p>
        </w:tc>
        <w:tc>
          <w:tcPr>
            <w:tcW w:type="dxa" w:w="1344"/>
          </w:tcPr>
          <w:p>
            <w:r>
              <w:rPr>
                <w:rFonts w:ascii="Meiryo UI" w:hAnsi="Meiryo UI"/>
                <w:sz w:val="18"/>
              </w:rPr>
              <w:t>20.9億円</w:t>
            </w:r>
          </w:p>
        </w:tc>
        <w:tc>
          <w:tcPr>
            <w:tcW w:type="dxa" w:w="1344"/>
          </w:tcPr>
          <w:p>
            <w:r>
              <w:rPr>
                <w:rFonts w:ascii="Meiryo UI" w:hAnsi="Meiryo UI"/>
                <w:sz w:val="18"/>
              </w:rPr>
              <w:t>14.6億円</w:t>
            </w:r>
          </w:p>
        </w:tc>
        <w:tc>
          <w:tcPr>
            <w:tcW w:type="dxa" w:w="1344"/>
          </w:tcPr>
          <w:p>
            <w:r>
              <w:rPr>
                <w:rFonts w:ascii="Meiryo UI" w:hAnsi="Meiryo UI"/>
                <w:sz w:val="18"/>
              </w:rPr>
              <w:t>推定¥124</w:t>
            </w:r>
          </w:p>
        </w:tc>
      </w:tr>
      <w:tr>
        <w:tc>
          <w:tcPr>
            <w:tcW w:type="dxa" w:w="1344"/>
            <w:shd w:val="clear" w:color="auto" w:fill="DDEBF7"/>
          </w:tcPr>
          <w:p>
            <w:r>
              <w:rPr>
                <w:rFonts w:ascii="Meiryo UI" w:hAnsi="Meiryo UI"/>
                <w:sz w:val="18"/>
              </w:rPr>
              <w:t>成長率</w:t>
            </w:r>
          </w:p>
        </w:tc>
        <w:tc>
          <w:tcPr>
            <w:tcW w:type="dxa" w:w="1344"/>
            <w:shd w:val="clear" w:color="auto" w:fill="DDEBF7"/>
          </w:tcPr>
          <w:p>
            <w:r>
              <w:rPr>
                <w:rFonts w:ascii="Meiryo UI" w:hAnsi="Meiryo UI"/>
                <w:sz w:val="18"/>
              </w:rPr>
              <w:t>+7.8%</w:t>
            </w:r>
          </w:p>
        </w:tc>
        <w:tc>
          <w:tcPr>
            <w:tcW w:type="dxa" w:w="1344"/>
            <w:shd w:val="clear" w:color="auto" w:fill="DDEBF7"/>
          </w:tcPr>
          <w:p>
            <w:r>
              <w:rPr>
                <w:rFonts w:ascii="Meiryo UI" w:hAnsi="Meiryo UI"/>
                <w:sz w:val="18"/>
              </w:rPr>
              <w:t>+10.8%</w:t>
            </w:r>
          </w:p>
        </w:tc>
        <w:tc>
          <w:tcPr>
            <w:tcW w:type="dxa" w:w="1344"/>
            <w:shd w:val="clear" w:color="auto" w:fill="DDEBF7"/>
          </w:tcPr>
          <w:p>
            <w:r>
              <w:rPr>
                <w:rFonts w:ascii="Meiryo UI" w:hAnsi="Meiryo UI"/>
                <w:sz w:val="18"/>
              </w:rPr>
              <w:t>+0.2pt</w:t>
            </w:r>
          </w:p>
        </w:tc>
        <w:tc>
          <w:tcPr>
            <w:tcW w:type="dxa" w:w="1344"/>
            <w:shd w:val="clear" w:color="auto" w:fill="DDEBF7"/>
          </w:tcPr>
          <w:p>
            <w:r>
              <w:rPr>
                <w:rFonts w:ascii="Meiryo UI" w:hAnsi="Meiryo UI"/>
                <w:sz w:val="18"/>
              </w:rPr>
              <w:t>+10.0%</w:t>
            </w:r>
          </w:p>
        </w:tc>
        <w:tc>
          <w:tcPr>
            <w:tcW w:type="dxa" w:w="1344"/>
            <w:shd w:val="clear" w:color="auto" w:fill="DDEBF7"/>
          </w:tcPr>
          <w:p>
            <w:r>
              <w:rPr>
                <w:rFonts w:ascii="Meiryo UI" w:hAnsi="Meiryo UI"/>
                <w:sz w:val="18"/>
              </w:rPr>
              <w:t>+5.8%</w:t>
            </w:r>
          </w:p>
        </w:tc>
        <w:tc>
          <w:tcPr>
            <w:tcW w:type="dxa" w:w="1344"/>
            <w:shd w:val="clear" w:color="auto" w:fill="DDEBF7"/>
          </w:tcPr>
          <w:p>
            <w:r>
              <w:rPr>
                <w:rFonts w:ascii="Meiryo UI" w:hAnsi="Meiryo UI"/>
                <w:sz w:val="18"/>
              </w:rPr>
              <w:t>—</w:t>
            </w:r>
          </w:p>
        </w:tc>
      </w:tr>
    </w:tbl>
    <w:p/>
    <w:p>
      <w:r>
        <w:rPr>
          <w:rFonts w:ascii="Meiryo UI" w:hAnsi="Meiryo UI"/>
          <w:sz w:val="20"/>
        </w:rPr>
        <w:t>※FY2026/3 3Q累計（9ヶ月）：売上208.8億円（前年比+22.3%）、営業利益19.8億円（+82.3%）、利益率9.5%に急改善</w:t>
      </w:r>
    </w:p>
    <w:p/>
    <w:p>
      <w:pPr>
        <w:pStyle w:val="Heading3"/>
      </w:pPr>
      <w:r>
        <w:rPr>
          <w:rFonts w:ascii="Meiryo UI" w:hAnsi="Meiryo UI"/>
          <w:color w:val="2E74B5"/>
        </w:rPr>
        <w:t>2-3. 貸借対照表（FY2025/3）</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総資産</w:t>
            </w:r>
          </w:p>
        </w:tc>
        <w:tc>
          <w:tcPr>
            <w:tcW w:type="dxa" w:w="3135"/>
          </w:tcPr>
          <w:p>
            <w:r>
              <w:rPr>
                <w:rFonts w:ascii="Meiryo UI" w:hAnsi="Meiryo UI"/>
                <w:sz w:val="18"/>
              </w:rPr>
              <w:t>215.8億円</w:t>
            </w:r>
          </w:p>
        </w:tc>
        <w:tc>
          <w:tcPr>
            <w:tcW w:type="dxa" w:w="3135"/>
          </w:tcPr>
          <w:p>
            <w:r>
              <w:rPr>
                <w:rFonts w:ascii="Meiryo UI" w:hAnsi="Meiryo UI"/>
                <w:sz w:val="18"/>
              </w:rPr>
              <w:t>前期比+3.6%</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146.6億円</w:t>
            </w:r>
          </w:p>
        </w:tc>
        <w:tc>
          <w:tcPr>
            <w:tcW w:type="dxa" w:w="3135"/>
            <w:shd w:val="clear" w:color="auto" w:fill="DDEBF7"/>
          </w:tcPr>
          <w:p>
            <w:r>
              <w:rPr>
                <w:rFonts w:ascii="Meiryo UI" w:hAnsi="Meiryo UI"/>
                <w:sz w:val="18"/>
              </w:rPr>
              <w:t>自己資本比率67.9%（財務健全）</w:t>
            </w:r>
          </w:p>
        </w:tc>
      </w:tr>
      <w:tr>
        <w:tc>
          <w:tcPr>
            <w:tcW w:type="dxa" w:w="3135"/>
          </w:tcPr>
          <w:p>
            <w:r>
              <w:rPr>
                <w:rFonts w:ascii="Meiryo UI" w:hAnsi="Meiryo UI"/>
                <w:sz w:val="18"/>
              </w:rPr>
              <w:t>有利子負債</w:t>
            </w:r>
          </w:p>
        </w:tc>
        <w:tc>
          <w:tcPr>
            <w:tcW w:type="dxa" w:w="3135"/>
          </w:tcPr>
          <w:p>
            <w:r>
              <w:rPr>
                <w:rFonts w:ascii="Meiryo UI" w:hAnsi="Meiryo UI"/>
                <w:sz w:val="18"/>
              </w:rPr>
              <w:t>推定15〜20億円</w:t>
            </w:r>
          </w:p>
        </w:tc>
        <w:tc>
          <w:tcPr>
            <w:tcW w:type="dxa" w:w="3135"/>
          </w:tcPr>
          <w:p>
            <w:r>
              <w:rPr>
                <w:rFonts w:ascii="Meiryo UI" w:hAnsi="Meiryo UI"/>
                <w:sz w:val="18"/>
              </w:rPr>
              <w:t>D/E比率低水準</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¥941</w:t>
            </w:r>
          </w:p>
        </w:tc>
        <w:tc>
          <w:tcPr>
            <w:tcW w:type="dxa" w:w="3135"/>
            <w:shd w:val="clear" w:color="auto" w:fill="DDEBF7"/>
          </w:tcPr>
          <w:p>
            <w:r>
              <w:rPr>
                <w:rFonts w:ascii="Meiryo UI" w:hAnsi="Meiryo UI"/>
                <w:sz w:val="18"/>
              </w:rPr>
              <w:t>内在価値の土台</w:t>
            </w:r>
          </w:p>
        </w:tc>
      </w:tr>
    </w:tbl>
    <w:p/>
    <w:p>
      <w:pPr>
        <w:pStyle w:val="Heading3"/>
      </w:pPr>
      <w:r>
        <w:rPr>
          <w:rFonts w:ascii="Meiryo UI" w:hAnsi="Meiryo UI"/>
          <w:color w:val="2E74B5"/>
        </w:rPr>
        <w:t>2-4. 配当・株主還元</w:t>
      </w:r>
    </w:p>
    <w:p>
      <w:pPr>
        <w:pStyle w:val="ListBullet"/>
      </w:pPr>
      <w:r>
        <w:rPr>
          <w:rFonts w:ascii="Meiryo UI" w:hAnsi="Meiryo UI"/>
          <w:sz w:val="20"/>
        </w:rPr>
        <w:t>年間配当：¥32/株（FY2026/3予想、前期比+8円）</w:t>
      </w:r>
    </w:p>
    <w:p>
      <w:pPr>
        <w:pStyle w:val="ListBullet"/>
      </w:pPr>
      <w:r>
        <w:rPr>
          <w:rFonts w:ascii="Meiryo UI" w:hAnsi="Meiryo UI"/>
          <w:sz w:val="20"/>
        </w:rPr>
        <w:t>配当性向目安：30%（方針として明示）</w:t>
      </w:r>
    </w:p>
    <w:p>
      <w:pPr>
        <w:pStyle w:val="ListBullet"/>
      </w:pPr>
      <w:r>
        <w:rPr>
          <w:rFonts w:ascii="Meiryo UI" w:hAnsi="Meiryo UI"/>
          <w:sz w:val="20"/>
        </w:rPr>
        <w:t>配当利回り：約2.7%（¥1,205時点）</w:t>
      </w:r>
    </w:p>
    <w:p>
      <w:pPr>
        <w:pStyle w:val="ListBullet"/>
      </w:pPr>
      <w:r>
        <w:rPr>
          <w:rFonts w:ascii="Meiryo UI" w:hAnsi="Meiryo UI"/>
          <w:sz w:val="20"/>
        </w:rPr>
        <w:t>株主優待：2025年3月末新設。100株以上1年以上保有でQUOカード¥1,000、500株以上でQUOカード¥10,000</w:t>
      </w:r>
    </w:p>
    <w:p>
      <w:pPr>
        <w:pStyle w:val="ListBullet"/>
      </w:pPr>
      <w:r>
        <w:rPr>
          <w:rFonts w:ascii="Meiryo UI" w:hAnsi="Meiryo UI"/>
          <w:sz w:val="20"/>
        </w:rPr>
        <w:t>自社株買い：直近の公表なし（要モニタリング）</w:t>
      </w:r>
    </w:p>
    <w:p/>
    <w:p>
      <w:r>
        <w:t>──────────────────────────────────────────────────</w:t>
      </w:r>
    </w:p>
    <w:p/>
    <w:p>
      <w:pPr>
        <w:pStyle w:val="Heading2"/>
      </w:pPr>
      <w:r>
        <w:rPr>
          <w:rFonts w:ascii="Meiryo UI" w:hAnsi="Meiryo UI"/>
          <w:color w:val="2E74B5"/>
        </w:rPr>
        <w:t>3. ⚠️ AI代替リスク詳細分析（最重要）</w:t>
      </w:r>
    </w:p>
    <w:p/>
    <w:p>
      <w:pPr>
        <w:pStyle w:val="Heading3"/>
      </w:pPr>
      <w:r>
        <w:rPr>
          <w:rFonts w:ascii="Meiryo UI" w:hAnsi="Meiryo UI"/>
          <w:color w:val="2E74B5"/>
        </w:rPr>
        <w:t>3-1. セグメント別AI代替可能性マトリックス</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売上比率</w:t>
            </w:r>
          </w:p>
        </w:tc>
        <w:tc>
          <w:tcPr>
            <w:tcW w:type="dxa" w:w="1881"/>
            <w:shd w:val="clear" w:color="auto" w:fill="2E74B5"/>
          </w:tcPr>
          <w:p>
            <w:r>
              <w:rPr>
                <w:rFonts w:ascii="Meiryo UI" w:hAnsi="Meiryo UI"/>
                <w:b/>
                <w:color w:val="FFFFFF"/>
                <w:sz w:val="18"/>
              </w:rPr>
              <w:t>AI代替スコア(0-10)</w:t>
            </w:r>
          </w:p>
        </w:tc>
        <w:tc>
          <w:tcPr>
            <w:tcW w:type="dxa" w:w="1881"/>
            <w:shd w:val="clear" w:color="auto" w:fill="2E74B5"/>
          </w:tcPr>
          <w:p>
            <w:r>
              <w:rPr>
                <w:rFonts w:ascii="Meiryo UI" w:hAnsi="Meiryo UI"/>
                <w:b/>
                <w:color w:val="FFFFFF"/>
                <w:sz w:val="18"/>
              </w:rPr>
              <w:t>代替タイムライン</w:t>
            </w:r>
          </w:p>
        </w:tc>
        <w:tc>
          <w:tcPr>
            <w:tcW w:type="dxa" w:w="1881"/>
            <w:shd w:val="clear" w:color="auto" w:fill="2E74B5"/>
          </w:tcPr>
          <w:p>
            <w:r>
              <w:rPr>
                <w:rFonts w:ascii="Meiryo UI" w:hAnsi="Meiryo UI"/>
                <w:b/>
                <w:color w:val="FFFFFF"/>
                <w:sz w:val="18"/>
              </w:rPr>
              <w:t>脅威となるAIサービス</w:t>
            </w:r>
          </w:p>
        </w:tc>
      </w:tr>
      <w:tr>
        <w:tc>
          <w:tcPr>
            <w:tcW w:type="dxa" w:w="1881"/>
          </w:tcPr>
          <w:p>
            <w:r>
              <w:rPr>
                <w:rFonts w:ascii="Meiryo UI" w:hAnsi="Meiryo UI"/>
                <w:sz w:val="18"/>
              </w:rPr>
              <w:t>情報処理サービス（BPO含む）</w:t>
            </w:r>
          </w:p>
        </w:tc>
        <w:tc>
          <w:tcPr>
            <w:tcW w:type="dxa" w:w="1881"/>
          </w:tcPr>
          <w:p>
            <w:r>
              <w:rPr>
                <w:rFonts w:ascii="Meiryo UI" w:hAnsi="Meiryo UI"/>
                <w:sz w:val="18"/>
              </w:rPr>
              <w:t>48.2%</w:t>
            </w:r>
          </w:p>
        </w:tc>
        <w:tc>
          <w:tcPr>
            <w:tcW w:type="dxa" w:w="1881"/>
          </w:tcPr>
          <w:p>
            <w:r>
              <w:rPr>
                <w:rFonts w:ascii="Meiryo UI" w:hAnsi="Meiryo UI"/>
                <w:sz w:val="18"/>
              </w:rPr>
              <w:t>6</w:t>
            </w:r>
          </w:p>
        </w:tc>
        <w:tc>
          <w:tcPr>
            <w:tcW w:type="dxa" w:w="1881"/>
          </w:tcPr>
          <w:p>
            <w:r>
              <w:rPr>
                <w:rFonts w:ascii="Meiryo UI" w:hAnsi="Meiryo UI"/>
                <w:sz w:val="18"/>
              </w:rPr>
              <w:t>3〜5年（段階的）</w:t>
            </w:r>
          </w:p>
        </w:tc>
        <w:tc>
          <w:tcPr>
            <w:tcW w:type="dxa" w:w="1881"/>
          </w:tcPr>
          <w:p>
            <w:r>
              <w:rPr>
                <w:rFonts w:ascii="Meiryo UI" w:hAnsi="Meiryo UI"/>
                <w:sz w:val="18"/>
              </w:rPr>
              <w:t>ChatGPT Operator、Microsoft Copilot、AutomationAnywhere AI Agent</w:t>
            </w:r>
          </w:p>
        </w:tc>
      </w:tr>
      <w:tr>
        <w:tc>
          <w:tcPr>
            <w:tcW w:type="dxa" w:w="1881"/>
            <w:shd w:val="clear" w:color="auto" w:fill="DDEBF7"/>
          </w:tcPr>
          <w:p>
            <w:r>
              <w:rPr>
                <w:rFonts w:ascii="Meiryo UI" w:hAnsi="Meiryo UI"/>
                <w:sz w:val="18"/>
              </w:rPr>
              <w:t>ソフトウェア開発（官公庁・金融）</w:t>
            </w:r>
          </w:p>
        </w:tc>
        <w:tc>
          <w:tcPr>
            <w:tcW w:type="dxa" w:w="1881"/>
            <w:shd w:val="clear" w:color="auto" w:fill="DDEBF7"/>
          </w:tcPr>
          <w:p>
            <w:r>
              <w:rPr>
                <w:rFonts w:ascii="Meiryo UI" w:hAnsi="Meiryo UI"/>
                <w:sz w:val="18"/>
              </w:rPr>
              <w:t>29.6%</w:t>
            </w:r>
          </w:p>
        </w:tc>
        <w:tc>
          <w:tcPr>
            <w:tcW w:type="dxa" w:w="1881"/>
            <w:shd w:val="clear" w:color="auto" w:fill="DDEBF7"/>
          </w:tcPr>
          <w:p>
            <w:r>
              <w:rPr>
                <w:rFonts w:ascii="Meiryo UI" w:hAnsi="Meiryo UI"/>
                <w:sz w:val="18"/>
              </w:rPr>
              <w:t>4</w:t>
            </w:r>
          </w:p>
        </w:tc>
        <w:tc>
          <w:tcPr>
            <w:tcW w:type="dxa" w:w="1881"/>
            <w:shd w:val="clear" w:color="auto" w:fill="DDEBF7"/>
          </w:tcPr>
          <w:p>
            <w:r>
              <w:rPr>
                <w:rFonts w:ascii="Meiryo UI" w:hAnsi="Meiryo UI"/>
                <w:sz w:val="18"/>
              </w:rPr>
              <w:t>5年超（規制障壁）</w:t>
            </w:r>
          </w:p>
        </w:tc>
        <w:tc>
          <w:tcPr>
            <w:tcW w:type="dxa" w:w="1881"/>
            <w:shd w:val="clear" w:color="auto" w:fill="DDEBF7"/>
          </w:tcPr>
          <w:p>
            <w:r>
              <w:rPr>
                <w:rFonts w:ascii="Meiryo UI" w:hAnsi="Meiryo UI"/>
                <w:sz w:val="18"/>
              </w:rPr>
              <w:t>GitHub Copilot、Cursor、Devin（AI SWE）、Claude Code</w:t>
            </w:r>
          </w:p>
        </w:tc>
      </w:tr>
      <w:tr>
        <w:tc>
          <w:tcPr>
            <w:tcW w:type="dxa" w:w="1881"/>
          </w:tcPr>
          <w:p>
            <w:r>
              <w:rPr>
                <w:rFonts w:ascii="Meiryo UI" w:hAnsi="Meiryo UI"/>
                <w:sz w:val="18"/>
              </w:rPr>
              <w:t>その他情報サービス（RPA・セキュリティ）</w:t>
            </w:r>
          </w:p>
        </w:tc>
        <w:tc>
          <w:tcPr>
            <w:tcW w:type="dxa" w:w="1881"/>
          </w:tcPr>
          <w:p>
            <w:r>
              <w:rPr>
                <w:rFonts w:ascii="Meiryo UI" w:hAnsi="Meiryo UI"/>
                <w:sz w:val="18"/>
              </w:rPr>
              <w:t>14.3%</w:t>
            </w:r>
          </w:p>
        </w:tc>
        <w:tc>
          <w:tcPr>
            <w:tcW w:type="dxa" w:w="1881"/>
          </w:tcPr>
          <w:p>
            <w:r>
              <w:rPr>
                <w:rFonts w:ascii="Meiryo UI" w:hAnsi="Meiryo UI"/>
                <w:sz w:val="18"/>
              </w:rPr>
              <w:t>7</w:t>
            </w:r>
          </w:p>
        </w:tc>
        <w:tc>
          <w:tcPr>
            <w:tcW w:type="dxa" w:w="1881"/>
          </w:tcPr>
          <w:p>
            <w:r>
              <w:rPr>
                <w:rFonts w:ascii="Meiryo UI" w:hAnsi="Meiryo UI"/>
                <w:sz w:val="18"/>
              </w:rPr>
              <w:t>1〜3年</w:t>
            </w:r>
          </w:p>
        </w:tc>
        <w:tc>
          <w:tcPr>
            <w:tcW w:type="dxa" w:w="1881"/>
          </w:tcPr>
          <w:p>
            <w:r>
              <w:rPr>
                <w:rFonts w:ascii="Meiryo UI" w:hAnsi="Meiryo UI"/>
                <w:sz w:val="18"/>
              </w:rPr>
              <w:t>Microsoft Sentinel AI、Rapid7 AI、UiPath Autopilot</w:t>
            </w:r>
          </w:p>
        </w:tc>
      </w:tr>
      <w:tr>
        <w:tc>
          <w:tcPr>
            <w:tcW w:type="dxa" w:w="1881"/>
            <w:shd w:val="clear" w:color="auto" w:fill="DDEBF7"/>
          </w:tcPr>
          <w:p>
            <w:r>
              <w:rPr>
                <w:rFonts w:ascii="Meiryo UI" w:hAnsi="Meiryo UI"/>
                <w:sz w:val="18"/>
              </w:rPr>
              <w:t>システム機器販売</w:t>
            </w:r>
          </w:p>
        </w:tc>
        <w:tc>
          <w:tcPr>
            <w:tcW w:type="dxa" w:w="1881"/>
            <w:shd w:val="clear" w:color="auto" w:fill="DDEBF7"/>
          </w:tcPr>
          <w:p>
            <w:r>
              <w:rPr>
                <w:rFonts w:ascii="Meiryo UI" w:hAnsi="Meiryo UI"/>
                <w:sz w:val="18"/>
              </w:rPr>
              <w:t>7.9%</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5年超（ハード依存）</w:t>
            </w:r>
          </w:p>
        </w:tc>
        <w:tc>
          <w:tcPr>
            <w:tcW w:type="dxa" w:w="1881"/>
            <w:shd w:val="clear" w:color="auto" w:fill="DDEBF7"/>
          </w:tcPr>
          <w:p>
            <w:r>
              <w:rPr>
                <w:rFonts w:ascii="Meiryo UI" w:hAnsi="Meiryo UI"/>
                <w:sz w:val="18"/>
              </w:rPr>
              <w:t>クラウドへの直接移行、ベンダー直販</w:t>
            </w:r>
          </w:p>
        </w:tc>
      </w:tr>
    </w:tbl>
    <w:p/>
    <w:p>
      <w:r>
        <w:rPr>
          <w:rFonts w:ascii="Meiryo UI" w:hAnsi="Meiryo UI"/>
          <w:sz w:val="20"/>
        </w:rPr>
        <w:t>AI代替スコア評価基準：</w:t>
      </w:r>
    </w:p>
    <w:p>
      <w:pPr>
        <w:pStyle w:val="ListBullet"/>
      </w:pPr>
      <w:r>
        <w:rPr>
          <w:rFonts w:ascii="Meiryo UI" w:hAnsi="Meiryo UI"/>
          <w:sz w:val="20"/>
        </w:rPr>
        <w:t>スコア4（ソフトウェア開発）：官公庁・金融機関は個人情報保護・マイナンバー法・銀行法等の厳格な規制環境下にあり、AIが自律的にシステムを設計・開発・テストする体制を当局が認可するには5年以上かかると推定。ただし開発工数そのものはAIツールで30〜50%削減される可能性（人月単価下落リスクは現実）</w:t>
      </w:r>
    </w:p>
    <w:p>
      <w:pPr>
        <w:pStyle w:val="ListBullet"/>
      </w:pPr>
      <w:r>
        <w:rPr>
          <w:rFonts w:ascii="Meiryo UI" w:hAnsi="Meiryo UI"/>
          <w:sz w:val="20"/>
        </w:rPr>
        <w:t>スコア6（情報処理サービス）：大型汎用機（メインフレーム）の運用・コンピューティングアウトソーシングは当面継続するが、BPO（データ入力・印刷・封緘）はAI-OCR・AIエージェントによる代替が急速に進む</w:t>
      </w:r>
    </w:p>
    <w:p>
      <w:pPr>
        <w:pStyle w:val="ListBullet"/>
      </w:pPr>
      <w:r>
        <w:rPr>
          <w:rFonts w:ascii="Meiryo UI" w:hAnsi="Meiryo UI"/>
          <w:sz w:val="20"/>
        </w:rPr>
        <w:t>スコア7（RPA・セキュリティ）：RPAはAIエージェントに急速に侵食される高リスクセグメント。WinActor販売パートナーとしてのAGSは、WinActor自体のAI化（WinActor AI接続サービス）で防衛を図っているが、プラットフォーム競争力は親会社NTTデータ依存</w:t>
      </w:r>
    </w:p>
    <w:p/>
    <w:p>
      <w:pPr>
        <w:pStyle w:val="Heading3"/>
      </w:pPr>
      <w:r>
        <w:rPr>
          <w:rFonts w:ascii="Meiryo UI" w:hAnsi="Meiryo UI"/>
          <w:color w:val="2E74B5"/>
        </w:rPr>
        <w:t>3-2. 競合AIプレイヤーの動向</w:t>
      </w:r>
    </w:p>
    <w:p/>
    <w:p>
      <w:r>
        <w:rPr>
          <w:rFonts w:ascii="Meiryo UI" w:hAnsi="Meiryo UI"/>
          <w:sz w:val="20"/>
        </w:rPr>
        <w:t>①SIer事業への直接脅威</w:t>
      </w:r>
    </w:p>
    <w:p>
      <w:pPr>
        <w:pStyle w:val="ListBullet"/>
      </w:pPr>
      <w:r>
        <w:rPr>
          <w:rFonts w:ascii="Meiryo UI" w:hAnsi="Meiryo UI"/>
          <w:sz w:val="20"/>
        </w:rPr>
        <w:t>GitHub Copilot / Cursor / Claude Code（Anthropic）：コーディング自動化が2025年に急加速。大手SIer（TIS）は2029年までに開発生産性50%向上を目標に掲げる。AGSのようなSMBサイズのSIerほど、生産性向上が即座に人員削減・コスト削減につながる一方、単価交渉力が弱く「AIで安くなった分はコスト削減益を自社に帰属させにくい」構造的ジレンマがある</w:t>
      </w:r>
    </w:p>
    <w:p>
      <w:pPr>
        <w:pStyle w:val="ListBullet"/>
      </w:pPr>
      <w:r>
        <w:rPr>
          <w:rFonts w:ascii="Meiryo UI" w:hAnsi="Meiryo UI"/>
          <w:sz w:val="20"/>
        </w:rPr>
        <w:t>Microsoft 365 Copilot：企業のBPO業務（文書処理・メール対応・データ整理）をエンドユーザー自身がAIで対応し始め、BPO受注量が中期的に減少するリスク</w:t>
      </w:r>
    </w:p>
    <w:p>
      <w:pPr>
        <w:pStyle w:val="ListBullet"/>
      </w:pPr>
      <w:r>
        <w:rPr>
          <w:rFonts w:ascii="Meiryo UI" w:hAnsi="Meiryo UI"/>
          <w:sz w:val="20"/>
        </w:rPr>
        <w:t>Amazon Q / Google Gemini for Workspace：クラウド大手が官公庁向けAI導入で政府調達に参入するリスク。デジタル庁のガバメントクラウド（AWS・Google Cloud推奨）が直接競合</w:t>
      </w:r>
    </w:p>
    <w:p/>
    <w:p>
      <w:r>
        <w:rPr>
          <w:rFonts w:ascii="Meiryo UI" w:hAnsi="Meiryo UI"/>
          <w:sz w:val="20"/>
        </w:rPr>
        <w:t>②BPO代替の現実</w:t>
      </w:r>
    </w:p>
    <w:p>
      <w:pPr>
        <w:pStyle w:val="ListBullet"/>
      </w:pPr>
      <w:r>
        <w:rPr>
          <w:rFonts w:ascii="Meiryo UI" w:hAnsi="Meiryo UI"/>
          <w:sz w:val="20"/>
        </w:rPr>
        <w:t>コールセンターBPO分野では2025年にCAT.AI等のVoice LLMが本格普及。AGSのBPO（主にデータ入力・印刷物流）は音声系ではないが、AIエージェント（ChatGPT Operator等）がフォーム入力・書類処理を自動化し始めており、単純BPO業務の市場が年3〜5%収縮と試算</w:t>
      </w:r>
    </w:p>
    <w:p/>
    <w:p>
      <w:r>
        <w:rPr>
          <w:rFonts w:ascii="Meiryo UI" w:hAnsi="Meiryo UI"/>
          <w:sz w:val="20"/>
        </w:rPr>
        <w:t>③顧客の内製化加速</w:t>
      </w:r>
    </w:p>
    <w:p>
      <w:pPr>
        <w:pStyle w:val="ListBullet"/>
      </w:pPr>
      <w:r>
        <w:rPr>
          <w:rFonts w:ascii="Meiryo UI" w:hAnsi="Meiryo UI"/>
          <w:sz w:val="20"/>
        </w:rPr>
        <w:t>ユーザー企業がAI駆動開発ツールを用いて「SIerに頼らずシステムを作る」内製化が加速。2024年度国内ソフトウェア企業倒産は前年比+43%の220件（過去10年最多）。中小SIerほど影響が深刻。AGSは官公庁・金融という規制に守られた顧客基盤を持つため他SIerほどの即時脅威ではないが、5年視点では内製化が進む</w:t>
      </w:r>
    </w:p>
    <w:p/>
    <w:p>
      <w:pPr>
        <w:pStyle w:val="Heading3"/>
      </w:pPr>
      <w:r>
        <w:rPr>
          <w:rFonts w:ascii="Meiryo UI" w:hAnsi="Meiryo UI"/>
          <w:color w:val="2E74B5"/>
        </w:rPr>
        <w:t>3-3. 当社のAI防衛戦略と評価</w:t>
      </w:r>
    </w:p>
    <w:p/>
    <w:p>
      <w:r>
        <w:rPr>
          <w:rFonts w:ascii="Meiryo UI" w:hAnsi="Meiryo UI"/>
          <w:sz w:val="20"/>
        </w:rPr>
        <w:t>①AI-Zanmai（2025年5月リリース）</w:t>
      </w:r>
    </w:p>
    <w:p>
      <w:r>
        <w:rPr>
          <w:rFonts w:ascii="Meiryo UI" w:hAnsi="Meiryo UI"/>
          <w:sz w:val="20"/>
        </w:rPr>
        <w:t>企業・団体向けに生成AIのセキュアな業務活用基盤を提供するクラウドサービス。独自のセキュリティポリシー（入出力をAIに学習させない設定）が特徴。顧客の生成AI活用を支援することで、AGS自身がAIの「代替」ではなく「実装パートナー」として収益を取る戦略。</w:t>
      </w:r>
    </w:p>
    <w:p>
      <w:r>
        <w:rPr>
          <w:rFonts w:ascii="Meiryo UI" w:hAnsi="Meiryo UI"/>
          <w:sz w:val="20"/>
        </w:rPr>
        <w:t>評価：中長期的に有効だが、現状は直接売上への貢献は小さい（IR等で金額非開示）。</w:t>
      </w:r>
    </w:p>
    <w:p/>
    <w:p>
      <w:r>
        <w:rPr>
          <w:rFonts w:ascii="Meiryo UI" w:hAnsi="Meiryo UI"/>
          <w:sz w:val="20"/>
        </w:rPr>
        <w:t>②生成AI定着化支援アドバイザリサービス（2026年1月リリース）</w:t>
      </w:r>
    </w:p>
    <w:p>
      <w:r>
        <w:rPr>
          <w:rFonts w:ascii="Meiryo UI" w:hAnsi="Meiryo UI"/>
          <w:sz w:val="20"/>
        </w:rPr>
        <w:t>企業の生成AI定着の障壁解消を支援する有償コンサルティング。リテラシー向上研修と業種特化AI構築支援の2メニュー。</w:t>
      </w:r>
    </w:p>
    <w:p>
      <w:r>
        <w:rPr>
          <w:rFonts w:ascii="Meiryo UI" w:hAnsi="Meiryo UI"/>
          <w:sz w:val="20"/>
        </w:rPr>
        <w:t>評価：AGSの業種知識（自治体・地銀）を生かした差別化が可能。ただし外資コンサル・大手SIerとの価格・ブランド競争は厳しい。</w:t>
      </w:r>
    </w:p>
    <w:p/>
    <w:p>
      <w:r>
        <w:rPr>
          <w:rFonts w:ascii="Meiryo UI" w:hAnsi="Meiryo UI"/>
          <w:sz w:val="20"/>
        </w:rPr>
        <w:t>③WinActor AI接続サービス（2026年2月リリース）</w:t>
      </w:r>
    </w:p>
    <w:p>
      <w:r>
        <w:rPr>
          <w:rFonts w:ascii="Meiryo UI" w:hAnsi="Meiryo UI"/>
          <w:sz w:val="20"/>
        </w:rPr>
        <w:t>既存RPAサービスに生成AI連携機能を付加。WinActor販売での累積顧客基盤を活用。</w:t>
      </w:r>
    </w:p>
    <w:p>
      <w:r>
        <w:rPr>
          <w:rFonts w:ascii="Meiryo UI" w:hAnsi="Meiryo UI"/>
          <w:sz w:val="20"/>
        </w:rPr>
        <w:t>評価：守りの一手として有効。ただしUiPath・Automation Anywhere等のグローバルプレイヤーと比較すると技術優位性は限定的。</w:t>
      </w:r>
    </w:p>
    <w:p/>
    <w:p>
      <w:r>
        <w:rPr>
          <w:rFonts w:ascii="Meiryo UI" w:hAnsi="Meiryo UI"/>
          <w:sz w:val="20"/>
        </w:rPr>
        <w:t>④セキュリティサービス（標的型攻撃メール対応訓練）への生成AI付加（2024年6月）</w:t>
      </w:r>
    </w:p>
    <w:p>
      <w:r>
        <w:rPr>
          <w:rFonts w:ascii="Meiryo UI" w:hAnsi="Meiryo UI"/>
          <w:sz w:val="20"/>
        </w:rPr>
        <w:t>生成AIで訓練メールの文例を自動生成する機能追加。</w:t>
      </w:r>
    </w:p>
    <w:p>
      <w:r>
        <w:rPr>
          <w:rFonts w:ascii="Meiryo UI" w:hAnsi="Meiryo UI"/>
          <w:sz w:val="20"/>
        </w:rPr>
        <w:t>評価：ニッチだが既存顧客基盤での付加価値向上として有効。</w:t>
      </w:r>
    </w:p>
    <w:p/>
    <w:p>
      <w:r>
        <w:rPr>
          <w:rFonts w:ascii="Meiryo UI" w:hAnsi="Meiryo UI"/>
          <w:sz w:val="20"/>
        </w:rPr>
        <w:t>AGS AI防衛戦略の総合評価：</w:t>
      </w:r>
    </w:p>
    <w:p>
      <w:pPr>
        <w:pStyle w:val="ListBullet"/>
      </w:pPr>
      <w:r>
        <w:rPr>
          <w:rFonts w:ascii="Meiryo UI" w:hAnsi="Meiryo UI"/>
          <w:sz w:val="20"/>
        </w:rPr>
        <w:t>強み：50年以上の官公庁・金融向け業種知識。顧客データへのアクセス権と信頼関係は短期では代替不可能</w:t>
      </w:r>
    </w:p>
    <w:p>
      <w:pPr>
        <w:pStyle w:val="ListBullet"/>
      </w:pPr>
      <w:r>
        <w:rPr>
          <w:rFonts w:ascii="Meiryo UI" w:hAnsi="Meiryo UI"/>
          <w:sz w:val="20"/>
        </w:rPr>
        <w:t>弱み：AI投資額・技術人材が大手SIerに比べ圧倒的に小さい（R&amp;D費用の開示なし）。AIサービスの多くはNTTデータ（WinActor）・AWS等のプラットフォームへの依存</w:t>
      </w:r>
    </w:p>
    <w:p>
      <w:pPr>
        <w:pStyle w:val="ListBullet"/>
      </w:pPr>
      <w:r>
        <w:rPr>
          <w:rFonts w:ascii="Meiryo UI" w:hAnsi="Meiryo UI"/>
          <w:sz w:val="20"/>
        </w:rPr>
        <w:t>差別化の核：自社Tier-4データセンター（さいたまiDC）によるセキュアな環境での生成AI提供は、官公庁・金融向けのコンプライアンス要件（個人情報保護、データ海外流出禁止）に適合した独自性を持つ</w:t>
      </w:r>
    </w:p>
    <w:p/>
    <w:p>
      <w:pPr>
        <w:pStyle w:val="Heading3"/>
      </w:pPr>
      <w:r>
        <w:rPr>
          <w:rFonts w:ascii="Meiryo UI" w:hAnsi="Meiryo UI"/>
          <w:color w:val="2E74B5"/>
        </w:rPr>
        <w:t>3-4. AI代替シナリオ別財務インパクト</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売上影響（5年後）</w:t>
            </w:r>
          </w:p>
        </w:tc>
        <w:tc>
          <w:tcPr>
            <w:tcW w:type="dxa" w:w="1881"/>
            <w:shd w:val="clear" w:color="auto" w:fill="2E74B5"/>
          </w:tcPr>
          <w:p>
            <w:r>
              <w:rPr>
                <w:rFonts w:ascii="Meiryo UI" w:hAnsi="Meiryo UI"/>
                <w:b/>
                <w:color w:val="FFFFFF"/>
                <w:sz w:val="18"/>
              </w:rPr>
              <w:t>OP影響（5年後）</w:t>
            </w:r>
          </w:p>
        </w:tc>
        <w:tc>
          <w:tcPr>
            <w:tcW w:type="dxa" w:w="1881"/>
            <w:shd w:val="clear" w:color="auto" w:fill="2E74B5"/>
          </w:tcPr>
          <w:p>
            <w:r>
              <w:rPr>
                <w:rFonts w:ascii="Meiryo UI" w:hAnsi="Meiryo UI"/>
                <w:b/>
                <w:color w:val="FFFFFF"/>
                <w:sz w:val="18"/>
              </w:rPr>
              <w:t>株価インパクト</w:t>
            </w:r>
          </w:p>
        </w:tc>
      </w:tr>
      <w:tr>
        <w:tc>
          <w:tcPr>
            <w:tcW w:type="dxa" w:w="1881"/>
          </w:tcPr>
          <w:p>
            <w:r>
              <w:rPr>
                <w:rFonts w:ascii="Meiryo UI" w:hAnsi="Meiryo UI"/>
                <w:sz w:val="18"/>
              </w:rPr>
              <w:t>Base（緩やかな代替）</w:t>
            </w:r>
          </w:p>
        </w:tc>
        <w:tc>
          <w:tcPr>
            <w:tcW w:type="dxa" w:w="1881"/>
          </w:tcPr>
          <w:p>
            <w:r>
              <w:rPr>
                <w:rFonts w:ascii="Meiryo UI" w:hAnsi="Meiryo UI"/>
                <w:sz w:val="18"/>
              </w:rPr>
              <w:t>AIが開発生産性を30%向上、BPO単純業務20%が消滅。AGSは残余需要とAI活用サービスで相殺</w:t>
            </w:r>
          </w:p>
        </w:tc>
        <w:tc>
          <w:tcPr>
            <w:tcW w:type="dxa" w:w="1881"/>
          </w:tcPr>
          <w:p>
            <w:r>
              <w:rPr>
                <w:rFonts w:ascii="Meiryo UI" w:hAnsi="Meiryo UI"/>
                <w:sz w:val="18"/>
              </w:rPr>
              <w:t>▲5〜+5%（横ばい圏）</w:t>
            </w:r>
          </w:p>
        </w:tc>
        <w:tc>
          <w:tcPr>
            <w:tcW w:type="dxa" w:w="1881"/>
          </w:tcPr>
          <w:p>
            <w:r>
              <w:rPr>
                <w:rFonts w:ascii="Meiryo UI" w:hAnsi="Meiryo UI"/>
                <w:sz w:val="18"/>
              </w:rPr>
              <w:t>+5〜10%（効率化でOP率上昇）</w:t>
            </w:r>
          </w:p>
        </w:tc>
        <w:tc>
          <w:tcPr>
            <w:tcW w:type="dxa" w:w="1881"/>
          </w:tcPr>
          <w:p>
            <w:r>
              <w:rPr>
                <w:rFonts w:ascii="Meiryo UI" w:hAnsi="Meiryo UI"/>
                <w:sz w:val="18"/>
              </w:rPr>
              <w:t>+10〜+20%</w:t>
            </w:r>
          </w:p>
        </w:tc>
      </w:tr>
      <w:tr>
        <w:tc>
          <w:tcPr>
            <w:tcW w:type="dxa" w:w="1881"/>
            <w:shd w:val="clear" w:color="auto" w:fill="DDEBF7"/>
          </w:tcPr>
          <w:p>
            <w:r>
              <w:rPr>
                <w:rFonts w:ascii="Meiryo UI" w:hAnsi="Meiryo UI"/>
                <w:sz w:val="18"/>
              </w:rPr>
              <w:t>Bear（30%代替・3年）</w:t>
            </w:r>
          </w:p>
        </w:tc>
        <w:tc>
          <w:tcPr>
            <w:tcW w:type="dxa" w:w="1881"/>
            <w:shd w:val="clear" w:color="auto" w:fill="DDEBF7"/>
          </w:tcPr>
          <w:p>
            <w:r>
              <w:rPr>
                <w:rFonts w:ascii="Meiryo UI" w:hAnsi="Meiryo UI"/>
                <w:sz w:val="18"/>
              </w:rPr>
              <w:t>主要顧客のAI内製化加速+BPO業務の30%がAIエージェントに代替。単価下落</w:t>
            </w:r>
          </w:p>
        </w:tc>
        <w:tc>
          <w:tcPr>
            <w:tcW w:type="dxa" w:w="1881"/>
            <w:shd w:val="clear" w:color="auto" w:fill="DDEBF7"/>
          </w:tcPr>
          <w:p>
            <w:r>
              <w:rPr>
                <w:rFonts w:ascii="Meiryo UI" w:hAnsi="Meiryo UI"/>
                <w:sz w:val="18"/>
              </w:rPr>
              <w:t>▲15〜20%</w:t>
            </w:r>
          </w:p>
        </w:tc>
        <w:tc>
          <w:tcPr>
            <w:tcW w:type="dxa" w:w="1881"/>
            <w:shd w:val="clear" w:color="auto" w:fill="DDEBF7"/>
          </w:tcPr>
          <w:p>
            <w:r>
              <w:rPr>
                <w:rFonts w:ascii="Meiryo UI" w:hAnsi="Meiryo UI"/>
                <w:sz w:val="18"/>
              </w:rPr>
              <w:t>▲25〜30%</w:t>
            </w:r>
          </w:p>
        </w:tc>
        <w:tc>
          <w:tcPr>
            <w:tcW w:type="dxa" w:w="1881"/>
            <w:shd w:val="clear" w:color="auto" w:fill="DDEBF7"/>
          </w:tcPr>
          <w:p>
            <w:r>
              <w:rPr>
                <w:rFonts w:ascii="Meiryo UI" w:hAnsi="Meiryo UI"/>
                <w:sz w:val="18"/>
              </w:rPr>
              <w:t>▲30〜40%</w:t>
            </w:r>
          </w:p>
        </w:tc>
      </w:tr>
      <w:tr>
        <w:tc>
          <w:tcPr>
            <w:tcW w:type="dxa" w:w="1881"/>
          </w:tcPr>
          <w:p>
            <w:r>
              <w:rPr>
                <w:rFonts w:ascii="Meiryo UI" w:hAnsi="Meiryo UI"/>
                <w:sz w:val="18"/>
              </w:rPr>
              <w:t>Stress（60%代替・5年）</w:t>
            </w:r>
          </w:p>
        </w:tc>
        <w:tc>
          <w:tcPr>
            <w:tcW w:type="dxa" w:w="1881"/>
          </w:tcPr>
          <w:p>
            <w:r>
              <w:rPr>
                <w:rFonts w:ascii="Meiryo UI" w:hAnsi="Meiryo UI"/>
                <w:sz w:val="18"/>
              </w:rPr>
              <w:t>ガバメントクラウド完全移行でカスタム開発需要消滅+BPO60%代替。市場縮小が業績直撃</w:t>
            </w:r>
          </w:p>
        </w:tc>
        <w:tc>
          <w:tcPr>
            <w:tcW w:type="dxa" w:w="1881"/>
          </w:tcPr>
          <w:p>
            <w:r>
              <w:rPr>
                <w:rFonts w:ascii="Meiryo UI" w:hAnsi="Meiryo UI"/>
                <w:sz w:val="18"/>
              </w:rPr>
              <w:t>▲35〜40%</w:t>
            </w:r>
          </w:p>
        </w:tc>
        <w:tc>
          <w:tcPr>
            <w:tcW w:type="dxa" w:w="1881"/>
          </w:tcPr>
          <w:p>
            <w:r>
              <w:rPr>
                <w:rFonts w:ascii="Meiryo UI" w:hAnsi="Meiryo UI"/>
                <w:sz w:val="18"/>
              </w:rPr>
              <w:t>▲50〜60%</w:t>
            </w:r>
          </w:p>
        </w:tc>
        <w:tc>
          <w:tcPr>
            <w:tcW w:type="dxa" w:w="1881"/>
          </w:tcPr>
          <w:p>
            <w:r>
              <w:rPr>
                <w:rFonts w:ascii="Meiryo UI" w:hAnsi="Meiryo UI"/>
                <w:sz w:val="18"/>
              </w:rPr>
              <w:t>▲55〜65%</w:t>
            </w:r>
          </w:p>
        </w:tc>
      </w:tr>
    </w:tbl>
    <w:p/>
    <w:p>
      <w:r>
        <w:rPr>
          <w:rFonts w:ascii="Meiryo UI" w:hAnsi="Meiryo UI"/>
          <w:sz w:val="20"/>
        </w:rPr>
        <w:t>追記：ガバメントクラウドリスク（特記）</w:t>
      </w:r>
    </w:p>
    <w:p>
      <w:r>
        <w:rPr>
          <w:rFonts w:ascii="Meiryo UI" w:hAnsi="Meiryo UI"/>
          <w:sz w:val="20"/>
        </w:rPr>
        <w:t>全自治体の20の基幹業務システムが2025年度末までにガバメントクラウドへの標準化移行を義務付けられた。AGSが長年保守してきた「自治体向けカスタム基幹系」は標準化により当社独自の保守業務が大幅に縮小するリスクがある。一方で移行支援・運用管理の新規受注チャンスでもある。ネット影響は3〜5年かけて+5〜▲20%の広い幅を持つ不確実性が高い。</w:t>
      </w:r>
    </w:p>
    <w:p/>
    <w:p>
      <w:r>
        <w:t>──────────────────────────────────────────────────</w:t>
      </w:r>
    </w:p>
    <w:p/>
    <w:p>
      <w:pPr>
        <w:pStyle w:val="Heading2"/>
      </w:pPr>
      <w:r>
        <w:rPr>
          <w:rFonts w:ascii="Meiryo UI" w:hAnsi="Meiryo UI"/>
          <w:color w:val="2E74B5"/>
        </w:rPr>
        <w:t>4. バリュエーション（AI代替リスク調整後）</w:t>
      </w:r>
    </w:p>
    <w:p/>
    <w:p>
      <w:pPr>
        <w:pStyle w:val="Heading3"/>
      </w:pPr>
      <w:r>
        <w:rPr>
          <w:rFonts w:ascii="Meiryo UI" w:hAnsi="Meiryo UI"/>
          <w:color w:val="2E74B5"/>
        </w:rPr>
        <w:t>4-1. WACCの計算</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絶対固定値（変更不可）</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0.398</w:t>
            </w:r>
          </w:p>
        </w:tc>
        <w:tc>
          <w:tcPr>
            <w:tcW w:type="dxa" w:w="3135"/>
            <w:shd w:val="clear" w:color="auto" w:fill="DDEBF7"/>
          </w:tcPr>
          <w:p>
            <w:r>
              <w:rPr>
                <w:rFonts w:ascii="Meiryo UI" w:hAnsi="Meiryo UI"/>
                <w:sz w:val="18"/>
              </w:rPr>
              <w:t>yfinance取得（2026-04-16実測）</w:t>
            </w:r>
          </w:p>
        </w:tc>
      </w:tr>
      <w:tr>
        <w:tc>
          <w:tcPr>
            <w:tcW w:type="dxa" w:w="3135"/>
          </w:tcPr>
          <w:p>
            <w:r>
              <w:rPr>
                <w:rFonts w:ascii="Meiryo UI" w:hAnsi="Meiryo UI"/>
                <w:sz w:val="18"/>
              </w:rPr>
              <w:t>MRP（市場リスクプレミアム）</w:t>
            </w:r>
          </w:p>
        </w:tc>
        <w:tc>
          <w:tcPr>
            <w:tcW w:type="dxa" w:w="3135"/>
          </w:tcPr>
          <w:p>
            <w:r>
              <w:rPr>
                <w:rFonts w:ascii="Meiryo UI" w:hAnsi="Meiryo UI"/>
                <w:sz w:val="18"/>
              </w:rPr>
              <w:t>5.5%</w:t>
            </w:r>
          </w:p>
        </w:tc>
        <w:tc>
          <w:tcPr>
            <w:tcW w:type="dxa" w:w="3135"/>
          </w:tcPr>
          <w:p>
            <w:r>
              <w:rPr>
                <w:rFonts w:ascii="Meiryo UI" w:hAnsi="Meiryo UI"/>
                <w:sz w:val="18"/>
              </w:rPr>
              <w:t>日本株の標準値（東証プレミアム）</w:t>
            </w:r>
          </w:p>
        </w:tc>
      </w:tr>
      <w:tr>
        <w:tc>
          <w:tcPr>
            <w:tcW w:type="dxa" w:w="3135"/>
            <w:shd w:val="clear" w:color="auto" w:fill="DDEBF7"/>
          </w:tcPr>
          <w:p>
            <w:r>
              <w:rPr>
                <w:rFonts w:ascii="Meiryo UI" w:hAnsi="Meiryo UI"/>
                <w:sz w:val="18"/>
              </w:rPr>
              <w:t>株主資本コスト（Ke）</w:t>
            </w:r>
          </w:p>
        </w:tc>
        <w:tc>
          <w:tcPr>
            <w:tcW w:type="dxa" w:w="3135"/>
            <w:shd w:val="clear" w:color="auto" w:fill="DDEBF7"/>
          </w:tcPr>
          <w:p>
            <w:r>
              <w:rPr>
                <w:rFonts w:ascii="Meiryo UI" w:hAnsi="Meiryo UI"/>
                <w:sz w:val="18"/>
              </w:rPr>
              <w:t>2.380% + 0.398×5.5% = 4.57%</w:t>
            </w:r>
          </w:p>
        </w:tc>
        <w:tc>
          <w:tcPr>
            <w:tcW w:type="dxa" w:w="3135"/>
            <w:shd w:val="clear" w:color="auto" w:fill="DDEBF7"/>
          </w:tcPr>
          <w:p>
            <w:r>
              <w:rPr>
                <w:rFonts w:ascii="Meiryo UI" w:hAnsi="Meiryo UI"/>
                <w:sz w:val="18"/>
              </w:rPr>
              <w:t>低ベータ反映、ディフェンシブ事業性</w:t>
            </w:r>
          </w:p>
        </w:tc>
      </w:tr>
      <w:tr>
        <w:tc>
          <w:tcPr>
            <w:tcW w:type="dxa" w:w="3135"/>
          </w:tcPr>
          <w:p>
            <w:r>
              <w:rPr>
                <w:rFonts w:ascii="Meiryo UI" w:hAnsi="Meiryo UI"/>
                <w:sz w:val="18"/>
              </w:rPr>
              <w:t>負債比率</w:t>
            </w:r>
          </w:p>
        </w:tc>
        <w:tc>
          <w:tcPr>
            <w:tcW w:type="dxa" w:w="3135"/>
          </w:tcPr>
          <w:p>
            <w:r>
              <w:rPr>
                <w:rFonts w:ascii="Meiryo UI" w:hAnsi="Meiryo UI"/>
                <w:sz w:val="18"/>
              </w:rPr>
              <w:t>推定15%</w:t>
            </w:r>
          </w:p>
        </w:tc>
        <w:tc>
          <w:tcPr>
            <w:tcW w:type="dxa" w:w="3135"/>
          </w:tcPr>
          <w:p>
            <w:r>
              <w:rPr>
                <w:rFonts w:ascii="Meiryo UI" w:hAnsi="Meiryo UI"/>
                <w:sz w:val="18"/>
              </w:rPr>
              <w:t>自己資本比率67.9%の財務健全性より推算</w:t>
            </w:r>
          </w:p>
        </w:tc>
      </w:tr>
      <w:tr>
        <w:tc>
          <w:tcPr>
            <w:tcW w:type="dxa" w:w="3135"/>
            <w:shd w:val="clear" w:color="auto" w:fill="DDEBF7"/>
          </w:tcPr>
          <w:p>
            <w:r>
              <w:rPr>
                <w:rFonts w:ascii="Meiryo UI" w:hAnsi="Meiryo UI"/>
                <w:sz w:val="18"/>
              </w:rPr>
              <w:t>税率</w:t>
            </w:r>
          </w:p>
        </w:tc>
        <w:tc>
          <w:tcPr>
            <w:tcW w:type="dxa" w:w="3135"/>
            <w:shd w:val="clear" w:color="auto" w:fill="DDEBF7"/>
          </w:tcPr>
          <w:p>
            <w:r>
              <w:rPr>
                <w:rFonts w:ascii="Meiryo UI" w:hAnsi="Meiryo UI"/>
                <w:sz w:val="18"/>
              </w:rPr>
              <w:t>29%</w:t>
            </w:r>
          </w:p>
        </w:tc>
        <w:tc>
          <w:tcPr>
            <w:tcW w:type="dxa" w:w="3135"/>
            <w:shd w:val="clear" w:color="auto" w:fill="DDEBF7"/>
          </w:tcPr>
          <w:p>
            <w:r>
              <w:rPr>
                <w:rFonts w:ascii="Meiryo UI" w:hAnsi="Meiryo UI"/>
                <w:sz w:val="18"/>
              </w:rPr>
              <w:t>日本法人税率実効値</w:t>
            </w:r>
          </w:p>
        </w:tc>
      </w:tr>
      <w:tr>
        <w:tc>
          <w:tcPr>
            <w:tcW w:type="dxa" w:w="3135"/>
          </w:tcPr>
          <w:p>
            <w:r>
              <w:rPr>
                <w:rFonts w:ascii="Meiryo UI" w:hAnsi="Meiryo UI"/>
                <w:sz w:val="18"/>
              </w:rPr>
              <w:t>負債コスト税引後</w:t>
            </w:r>
          </w:p>
        </w:tc>
        <w:tc>
          <w:tcPr>
            <w:tcW w:type="dxa" w:w="3135"/>
          </w:tcPr>
          <w:p>
            <w:r>
              <w:rPr>
                <w:rFonts w:ascii="Meiryo UI" w:hAnsi="Meiryo UI"/>
                <w:sz w:val="18"/>
              </w:rPr>
              <w:t>0.35%</w:t>
            </w:r>
          </w:p>
        </w:tc>
        <w:tc>
          <w:tcPr>
            <w:tcW w:type="dxa" w:w="3135"/>
          </w:tcPr>
          <w:p>
            <w:r>
              <w:rPr>
                <w:rFonts w:ascii="Meiryo UI" w:hAnsi="Meiryo UI"/>
                <w:sz w:val="18"/>
              </w:rPr>
              <w:t>低金利環境での借入コスト推定値</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4.57% × 0.85 + 0.35% × 0.15 ≒ 3.93%</w:t>
            </w:r>
          </w:p>
        </w:tc>
        <w:tc>
          <w:tcPr>
            <w:tcW w:type="dxa" w:w="3135"/>
            <w:shd w:val="clear" w:color="auto" w:fill="DDEBF7"/>
          </w:tcPr>
          <w:p>
            <w:r>
              <w:rPr>
                <w:rFonts w:ascii="Meiryo UI" w:hAnsi="Meiryo UI"/>
                <w:sz w:val="18"/>
              </w:rPr>
              <w:t>低ベータ×財務健全性を反映した低WACC</w:t>
            </w:r>
          </w:p>
        </w:tc>
      </w:tr>
    </w:tbl>
    <w:p/>
    <w:p>
      <w:pPr>
        <w:pStyle w:val="Heading3"/>
      </w:pPr>
      <w:r>
        <w:rPr>
          <w:rFonts w:ascii="Meiryo UI" w:hAnsi="Meiryo UI"/>
          <w:color w:val="2E74B5"/>
        </w:rPr>
        <w:t>4-2. DCF分析（3シナリオ）</w:t>
      </w:r>
    </w:p>
    <w:p>
      <w:r>
        <w:rPr>
          <w:rFonts w:ascii="Meiryo UI" w:hAnsi="Meiryo UI"/>
          <w:sz w:val="20"/>
        </w:rPr>
        <w:t>前提共通条件</w:t>
      </w:r>
    </w:p>
    <w:p>
      <w:pPr>
        <w:pStyle w:val="ListBullet"/>
      </w:pPr>
      <w:r>
        <w:rPr>
          <w:rFonts w:ascii="Meiryo UI" w:hAnsi="Meiryo UI"/>
          <w:sz w:val="20"/>
        </w:rPr>
        <w:t>ベースEPS：FY2026E ¥124</w:t>
      </w:r>
    </w:p>
    <w:p>
      <w:pPr>
        <w:pStyle w:val="ListBullet"/>
      </w:pPr>
      <w:r>
        <w:rPr>
          <w:rFonts w:ascii="Meiryo UI" w:hAnsi="Meiryo UI"/>
          <w:sz w:val="20"/>
        </w:rPr>
        <w:t>成長率フェーズ（3年）：各シナリオ別</w:t>
      </w:r>
    </w:p>
    <w:p>
      <w:pPr>
        <w:pStyle w:val="ListBullet"/>
      </w:pPr>
      <w:r>
        <w:rPr>
          <w:rFonts w:ascii="Meiryo UI" w:hAnsi="Meiryo UI"/>
          <w:sz w:val="20"/>
        </w:rPr>
        <w:t>ターミナル成長率：1.0%（成熟IT企業として保守的設定）</w:t>
      </w:r>
    </w:p>
    <w:p>
      <w:pPr>
        <w:pStyle w:val="ListBullet"/>
      </w:pPr>
      <w:r>
        <w:rPr>
          <w:rFonts w:ascii="Meiryo UI" w:hAnsi="Meiryo UI"/>
          <w:sz w:val="20"/>
        </w:rPr>
        <w:t>割引率（WACC）：3.93%（Base・Bear）、4.93%（Stress、AIリスクプレミアム+1.0%加算）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EPS成長前提（3〜5年）</w:t>
            </w:r>
          </w:p>
        </w:tc>
        <w:tc>
          <w:tcPr>
            <w:tcW w:type="dxa" w:w="1881"/>
            <w:shd w:val="clear" w:color="auto" w:fill="2E74B5"/>
          </w:tcPr>
          <w:p>
            <w:r>
              <w:rPr>
                <w:rFonts w:ascii="Meiryo UI" w:hAnsi="Meiryo UI"/>
                <w:b/>
                <w:color w:val="FFFFFF"/>
                <w:sz w:val="18"/>
              </w:rPr>
              <w:t>DCF理論株価</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Bull（AI共存成長）</w:t>
            </w:r>
          </w:p>
        </w:tc>
        <w:tc>
          <w:tcPr>
            <w:tcW w:type="dxa" w:w="1881"/>
          </w:tcPr>
          <w:p>
            <w:r>
              <w:rPr>
                <w:rFonts w:ascii="Meiryo UI" w:hAnsi="Meiryo UI"/>
                <w:sz w:val="18"/>
              </w:rPr>
              <w:t>20%</w:t>
            </w:r>
          </w:p>
        </w:tc>
        <w:tc>
          <w:tcPr>
            <w:tcW w:type="dxa" w:w="1881"/>
          </w:tcPr>
          <w:p>
            <w:r>
              <w:rPr>
                <w:rFonts w:ascii="Meiryo UI" w:hAnsi="Meiryo UI"/>
                <w:sz w:val="18"/>
              </w:rPr>
              <w:t>+12%/年（AI活用サービスが新規収益源として急成長）</w:t>
            </w:r>
          </w:p>
        </w:tc>
        <w:tc>
          <w:tcPr>
            <w:tcW w:type="dxa" w:w="1881"/>
          </w:tcPr>
          <w:p>
            <w:r>
              <w:rPr>
                <w:rFonts w:ascii="Meiryo UI" w:hAnsi="Meiryo UI"/>
                <w:sz w:val="18"/>
              </w:rPr>
              <w:t>¥2,100</w:t>
            </w:r>
          </w:p>
        </w:tc>
        <w:tc>
          <w:tcPr>
            <w:tcW w:type="dxa" w:w="1881"/>
          </w:tcPr>
          <w:p>
            <w:r>
              <w:rPr>
                <w:rFonts w:ascii="Meiryo UI" w:hAnsi="Meiryo UI"/>
                <w:sz w:val="18"/>
              </w:rPr>
              <w:t>AI-ZanmaiとDC事業でSaaS的な収益ストリーム確立</w:t>
            </w:r>
          </w:p>
        </w:tc>
      </w:tr>
      <w:tr>
        <w:tc>
          <w:tcPr>
            <w:tcW w:type="dxa" w:w="1881"/>
            <w:shd w:val="clear" w:color="auto" w:fill="DDEBF7"/>
          </w:tcPr>
          <w:p>
            <w:r>
              <w:rPr>
                <w:rFonts w:ascii="Meiryo UI" w:hAnsi="Meiryo UI"/>
                <w:sz w:val="18"/>
              </w:rPr>
              <w:t>Base（緩やかな転換）</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+5%/年（現在のトレンド継続、AIは生産性向上に貢献）</w:t>
            </w:r>
          </w:p>
        </w:tc>
        <w:tc>
          <w:tcPr>
            <w:tcW w:type="dxa" w:w="1881"/>
            <w:shd w:val="clear" w:color="auto" w:fill="DDEBF7"/>
          </w:tcPr>
          <w:p>
            <w:r>
              <w:rPr>
                <w:rFonts w:ascii="Meiryo UI" w:hAnsi="Meiryo UI"/>
                <w:sz w:val="18"/>
              </w:rPr>
              <w:t>¥1,654</w:t>
            </w:r>
          </w:p>
        </w:tc>
        <w:tc>
          <w:tcPr>
            <w:tcW w:type="dxa" w:w="1881"/>
            <w:shd w:val="clear" w:color="auto" w:fill="DDEBF7"/>
          </w:tcPr>
          <w:p>
            <w:r>
              <w:rPr>
                <w:rFonts w:ascii="Meiryo UI" w:hAnsi="Meiryo UI"/>
                <w:sz w:val="18"/>
              </w:rPr>
              <w:t>官公庁・金融の長期契約で安定成長継続、AI対応投資で効率化</w:t>
            </w:r>
          </w:p>
        </w:tc>
      </w:tr>
      <w:tr>
        <w:tc>
          <w:tcPr>
            <w:tcW w:type="dxa" w:w="1881"/>
          </w:tcPr>
          <w:p>
            <w:r>
              <w:rPr>
                <w:rFonts w:ascii="Meiryo UI" w:hAnsi="Meiryo UI"/>
                <w:sz w:val="18"/>
              </w:rPr>
              <w:t>Bear（AI代替加速）</w:t>
            </w:r>
          </w:p>
        </w:tc>
        <w:tc>
          <w:tcPr>
            <w:tcW w:type="dxa" w:w="1881"/>
          </w:tcPr>
          <w:p>
            <w:r>
              <w:rPr>
                <w:rFonts w:ascii="Meiryo UI" w:hAnsi="Meiryo UI"/>
                <w:sz w:val="18"/>
              </w:rPr>
              <w:t>25%</w:t>
            </w:r>
          </w:p>
        </w:tc>
        <w:tc>
          <w:tcPr>
            <w:tcW w:type="dxa" w:w="1881"/>
          </w:tcPr>
          <w:p>
            <w:r>
              <w:rPr>
                <w:rFonts w:ascii="Meiryo UI" w:hAnsi="Meiryo UI"/>
                <w:sz w:val="18"/>
              </w:rPr>
              <w:t>▲5%/年（人月単価下落＋BPO収縮）</w:t>
            </w:r>
          </w:p>
        </w:tc>
        <w:tc>
          <w:tcPr>
            <w:tcW w:type="dxa" w:w="1881"/>
          </w:tcPr>
          <w:p>
            <w:r>
              <w:rPr>
                <w:rFonts w:ascii="Meiryo UI" w:hAnsi="Meiryo UI"/>
                <w:sz w:val="18"/>
              </w:rPr>
              <w:t>¥950</w:t>
            </w:r>
          </w:p>
        </w:tc>
        <w:tc>
          <w:tcPr>
            <w:tcW w:type="dxa" w:w="1881"/>
          </w:tcPr>
          <w:p>
            <w:r>
              <w:rPr>
                <w:rFonts w:ascii="Meiryo UI" w:hAnsi="Meiryo UI"/>
                <w:sz w:val="18"/>
              </w:rPr>
              <w:t>大手SIerのAI開発生産性50%向上が業界標準化→単価競争激化</w:t>
            </w:r>
          </w:p>
        </w:tc>
      </w:tr>
      <w:tr>
        <w:tc>
          <w:tcPr>
            <w:tcW w:type="dxa" w:w="1881"/>
            <w:shd w:val="clear" w:color="auto" w:fill="DDEBF7"/>
          </w:tcPr>
          <w:p>
            <w:r>
              <w:rPr>
                <w:rFonts w:ascii="Meiryo UI" w:hAnsi="Meiryo UI"/>
                <w:sz w:val="18"/>
              </w:rPr>
              <w:t>Stress（構造崩壊）</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▲15%/年（ガバメントクラウド完全移行＋AI代替60%）</w:t>
            </w:r>
          </w:p>
        </w:tc>
        <w:tc>
          <w:tcPr>
            <w:tcW w:type="dxa" w:w="1881"/>
            <w:shd w:val="clear" w:color="auto" w:fill="DDEBF7"/>
          </w:tcPr>
          <w:p>
            <w:r>
              <w:rPr>
                <w:rFonts w:ascii="Meiryo UI" w:hAnsi="Meiryo UI"/>
                <w:sz w:val="18"/>
              </w:rPr>
              <w:t>¥420</w:t>
            </w:r>
          </w:p>
        </w:tc>
        <w:tc>
          <w:tcPr>
            <w:tcW w:type="dxa" w:w="1881"/>
            <w:shd w:val="clear" w:color="auto" w:fill="DDEBF7"/>
          </w:tcPr>
          <w:p>
            <w:r>
              <w:rPr>
                <w:rFonts w:ascii="Meiryo UI" w:hAnsi="Meiryo UI"/>
                <w:sz w:val="18"/>
              </w:rPr>
              <w:t>顧客の内製化加速×ガバメントクラウド標準化でカスタム需要消滅</w:t>
            </w:r>
          </w:p>
        </w:tc>
      </w:tr>
    </w:tbl>
    <w:p/>
    <w:p>
      <w:r>
        <w:rPr>
          <w:rFonts w:ascii="Meiryo UI" w:hAnsi="Meiryo UI"/>
          <w:sz w:val="20"/>
        </w:rPr>
        <w:t>確率加重FV: ¥2,100×0.20 + ¥1,654×0.45 + ¥950×0.25 + ¥420×0.10 = ¥420 + ¥744 + ¥238 + ¥42 = ¥1,444</w:t>
      </w:r>
    </w:p>
    <w:p/>
    <w:p>
      <w:r>
        <w:rPr>
          <w:rFonts w:ascii="Meiryo UI" w:hAnsi="Meiryo UI"/>
          <w:sz w:val="20"/>
        </w:rPr>
        <w:t>→ 確率加重ターゲットプライス：¥1,450（現値¥1,205比+20.3%）</w:t>
      </w:r>
    </w:p>
    <w:p/>
    <w:p>
      <w:pPr>
        <w:pStyle w:val="Heading3"/>
      </w:pPr>
      <w:r>
        <w:rPr>
          <w:rFonts w:ascii="Meiryo UI" w:hAnsi="Meiryo UI"/>
          <w:color w:val="2E74B5"/>
        </w:rPr>
        <w:t>4-3. PBR・PERマルチプル比較</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AGS現状</w:t>
            </w:r>
          </w:p>
        </w:tc>
        <w:tc>
          <w:tcPr>
            <w:tcW w:type="dxa" w:w="1881"/>
            <w:shd w:val="clear" w:color="auto" w:fill="2E74B5"/>
          </w:tcPr>
          <w:p>
            <w:r>
              <w:rPr>
                <w:rFonts w:ascii="Meiryo UI" w:hAnsi="Meiryo UI"/>
                <w:b/>
                <w:color w:val="FFFFFF"/>
                <w:sz w:val="18"/>
              </w:rPr>
              <w:t>独立系SIer平均</w:t>
            </w:r>
          </w:p>
        </w:tc>
        <w:tc>
          <w:tcPr>
            <w:tcW w:type="dxa" w:w="1881"/>
            <w:shd w:val="clear" w:color="auto" w:fill="2E74B5"/>
          </w:tcPr>
          <w:p>
            <w:r>
              <w:rPr>
                <w:rFonts w:ascii="Meiryo UI" w:hAnsi="Meiryo UI"/>
                <w:b/>
                <w:color w:val="FFFFFF"/>
                <w:sz w:val="18"/>
              </w:rPr>
              <w:t>大手SIer平均</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PBR</w:t>
            </w:r>
          </w:p>
        </w:tc>
        <w:tc>
          <w:tcPr>
            <w:tcW w:type="dxa" w:w="1881"/>
          </w:tcPr>
          <w:p>
            <w:r>
              <w:rPr>
                <w:rFonts w:ascii="Meiryo UI" w:hAnsi="Meiryo UI"/>
                <w:sz w:val="18"/>
              </w:rPr>
              <w:t>1.28x</w:t>
            </w:r>
          </w:p>
        </w:tc>
        <w:tc>
          <w:tcPr>
            <w:tcW w:type="dxa" w:w="1881"/>
          </w:tcPr>
          <w:p>
            <w:r>
              <w:rPr>
                <w:rFonts w:ascii="Meiryo UI" w:hAnsi="Meiryo UI"/>
                <w:sz w:val="18"/>
              </w:rPr>
              <w:t>1.5〜2.0x</w:t>
            </w:r>
          </w:p>
        </w:tc>
        <w:tc>
          <w:tcPr>
            <w:tcW w:type="dxa" w:w="1881"/>
          </w:tcPr>
          <w:p>
            <w:r>
              <w:rPr>
                <w:rFonts w:ascii="Meiryo UI" w:hAnsi="Meiryo UI"/>
                <w:sz w:val="18"/>
              </w:rPr>
              <w:t>2.5〜4.0x</w:t>
            </w:r>
          </w:p>
        </w:tc>
        <w:tc>
          <w:tcPr>
            <w:tcW w:type="dxa" w:w="1881"/>
          </w:tcPr>
          <w:p>
            <w:r>
              <w:rPr>
                <w:rFonts w:ascii="Meiryo UI" w:hAnsi="Meiryo UI"/>
                <w:sz w:val="18"/>
              </w:rPr>
              <w:t>中小SIerの中では割安水準</w:t>
            </w:r>
          </w:p>
        </w:tc>
      </w:tr>
      <w:tr>
        <w:tc>
          <w:tcPr>
            <w:tcW w:type="dxa" w:w="1881"/>
            <w:shd w:val="clear" w:color="auto" w:fill="DDEBF7"/>
          </w:tcPr>
          <w:p>
            <w:r>
              <w:rPr>
                <w:rFonts w:ascii="Meiryo UI" w:hAnsi="Meiryo UI"/>
                <w:sz w:val="18"/>
              </w:rPr>
              <w:t>PER</w:t>
            </w:r>
          </w:p>
        </w:tc>
        <w:tc>
          <w:tcPr>
            <w:tcW w:type="dxa" w:w="1881"/>
            <w:shd w:val="clear" w:color="auto" w:fill="DDEBF7"/>
          </w:tcPr>
          <w:p>
            <w:r>
              <w:rPr>
                <w:rFonts w:ascii="Meiryo UI" w:hAnsi="Meiryo UI"/>
                <w:sz w:val="18"/>
              </w:rPr>
              <w:t>10.2x</w:t>
            </w:r>
          </w:p>
        </w:tc>
        <w:tc>
          <w:tcPr>
            <w:tcW w:type="dxa" w:w="1881"/>
            <w:shd w:val="clear" w:color="auto" w:fill="DDEBF7"/>
          </w:tcPr>
          <w:p>
            <w:r>
              <w:rPr>
                <w:rFonts w:ascii="Meiryo UI" w:hAnsi="Meiryo UI"/>
                <w:sz w:val="18"/>
              </w:rPr>
              <w:t>12〜18x</w:t>
            </w:r>
          </w:p>
        </w:tc>
        <w:tc>
          <w:tcPr>
            <w:tcW w:type="dxa" w:w="1881"/>
            <w:shd w:val="clear" w:color="auto" w:fill="DDEBF7"/>
          </w:tcPr>
          <w:p>
            <w:r>
              <w:rPr>
                <w:rFonts w:ascii="Meiryo UI" w:hAnsi="Meiryo UI"/>
                <w:sz w:val="18"/>
              </w:rPr>
              <w:t>20〜30x</w:t>
            </w:r>
          </w:p>
        </w:tc>
        <w:tc>
          <w:tcPr>
            <w:tcW w:type="dxa" w:w="1881"/>
            <w:shd w:val="clear" w:color="auto" w:fill="DDEBF7"/>
          </w:tcPr>
          <w:p>
            <w:r>
              <w:rPr>
                <w:rFonts w:ascii="Meiryo UI" w:hAnsi="Meiryo UI"/>
                <w:sz w:val="18"/>
              </w:rPr>
              <w:t>成長率と比較して大幅割安（AI代替リスクのディスカウント）</w:t>
            </w:r>
          </w:p>
        </w:tc>
      </w:tr>
      <w:tr>
        <w:tc>
          <w:tcPr>
            <w:tcW w:type="dxa" w:w="1881"/>
          </w:tcPr>
          <w:p>
            <w:r>
              <w:rPr>
                <w:rFonts w:ascii="Meiryo UI" w:hAnsi="Meiryo UI"/>
                <w:sz w:val="18"/>
              </w:rPr>
              <w:t>EV/EBITDA</w:t>
            </w:r>
          </w:p>
        </w:tc>
        <w:tc>
          <w:tcPr>
            <w:tcW w:type="dxa" w:w="1881"/>
          </w:tcPr>
          <w:p>
            <w:r>
              <w:rPr>
                <w:rFonts w:ascii="Meiryo UI" w:hAnsi="Meiryo UI"/>
                <w:sz w:val="18"/>
              </w:rPr>
              <w:t>推定7〜8x</w:t>
            </w:r>
          </w:p>
        </w:tc>
        <w:tc>
          <w:tcPr>
            <w:tcW w:type="dxa" w:w="1881"/>
          </w:tcPr>
          <w:p>
            <w:r>
              <w:rPr>
                <w:rFonts w:ascii="Meiryo UI" w:hAnsi="Meiryo UI"/>
                <w:sz w:val="18"/>
              </w:rPr>
              <w:t>8〜12x</w:t>
            </w:r>
          </w:p>
        </w:tc>
        <w:tc>
          <w:tcPr>
            <w:tcW w:type="dxa" w:w="1881"/>
          </w:tcPr>
          <w:p>
            <w:r>
              <w:rPr>
                <w:rFonts w:ascii="Meiryo UI" w:hAnsi="Meiryo UI"/>
                <w:sz w:val="18"/>
              </w:rPr>
              <w:t>12〜18x</w:t>
            </w:r>
          </w:p>
        </w:tc>
        <w:tc>
          <w:tcPr>
            <w:tcW w:type="dxa" w:w="1881"/>
          </w:tcPr>
          <w:p>
            <w:r>
              <w:rPr>
                <w:rFonts w:ascii="Meiryo UI" w:hAnsi="Meiryo UI"/>
                <w:sz w:val="18"/>
              </w:rPr>
              <w:t>妥当水準の下限</w:t>
            </w:r>
          </w:p>
        </w:tc>
      </w:tr>
    </w:tbl>
    <w:p/>
    <w:p>
      <w:pPr>
        <w:pStyle w:val="Heading3"/>
      </w:pPr>
      <w:r>
        <w:rPr>
          <w:rFonts w:ascii="Meiryo UI" w:hAnsi="Meiryo UI"/>
          <w:color w:val="2E74B5"/>
        </w:rPr>
        <w:t>4-4. さいたまiDCの不動産NAV推計</w:t>
      </w:r>
    </w:p>
    <w:p>
      <w:pPr>
        <w:pStyle w:val="ListBullet"/>
      </w:pPr>
      <w:r>
        <w:rPr>
          <w:rFonts w:ascii="Meiryo UI" w:hAnsi="Meiryo UI"/>
          <w:sz w:val="20"/>
        </w:rPr>
        <w:t>施設概要：総延床面積9,300m²、Tier-4クラス、さいたま市内立地（2012年建設・増床）</w:t>
      </w:r>
    </w:p>
    <w:p>
      <w:pPr>
        <w:pStyle w:val="ListBullet"/>
      </w:pPr>
      <w:r>
        <w:rPr>
          <w:rFonts w:ascii="Meiryo UI" w:hAnsi="Meiryo UI"/>
          <w:sz w:val="20"/>
        </w:rPr>
        <w:t>用途地域：都市型DC、ラック数850台</w:t>
      </w:r>
    </w:p>
    <w:p>
      <w:pPr>
        <w:pStyle w:val="ListBullet"/>
      </w:pPr>
      <w:r>
        <w:rPr>
          <w:rFonts w:ascii="Meiryo UI" w:hAnsi="Meiryo UI"/>
          <w:sz w:val="20"/>
        </w:rPr>
        <w:t>土地・建物簿価：推定30〜40億円（有報の有形固定資産から推定）</w:t>
      </w:r>
    </w:p>
    <w:p>
      <w:pPr>
        <w:pStyle w:val="ListBullet"/>
      </w:pPr>
      <w:r>
        <w:rPr>
          <w:rFonts w:ascii="Meiryo UI" w:hAnsi="Meiryo UI"/>
          <w:sz w:val="20"/>
        </w:rPr>
        <w:t>含み益推計：さいたま市のデータセンター用地は需給逼迫。近年のDC用地相場を勘案すると簿価に対し1.2〜1.5倍の時価が想定される。含み益は推定6〜15億円（PBR换算で+0.05〜+0.10倍）</w:t>
      </w:r>
    </w:p>
    <w:p>
      <w:pPr>
        <w:pStyle w:val="ListBullet"/>
      </w:pPr>
      <w:r>
        <w:rPr>
          <w:rFonts w:ascii="Meiryo UI" w:hAnsi="Meiryo UI"/>
          <w:sz w:val="20"/>
        </w:rPr>
        <w:t>NAV調整後株価：現在のPBR1.28倍に対し、含み益織り込み後の実質PBRは約1.18〜1.23倍。本源的割安性はあるが、DC資産規模として投資テーマになるほどの水準ではない</w:t>
      </w:r>
    </w:p>
    <w:p/>
    <w:p>
      <w:r>
        <w:t>──────────────────────────────────────────────────</w:t>
      </w:r>
    </w:p>
    <w:p/>
    <w:p>
      <w:pPr>
        <w:pStyle w:val="Heading2"/>
      </w:pPr>
      <w:r>
        <w:rPr>
          <w:rFonts w:ascii="Meiryo UI" w:hAnsi="Meiryo UI"/>
          <w:color w:val="2E74B5"/>
        </w:rPr>
        <w:t>5. リスクシナリオ（定量）</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Bull（AI共存・DC拡大）</w:t>
            </w:r>
          </w:p>
        </w:tc>
        <w:tc>
          <w:tcPr>
            <w:tcW w:type="dxa" w:w="2351"/>
          </w:tcPr>
          <w:p>
            <w:r>
              <w:rPr>
                <w:rFonts w:ascii="Meiryo UI" w:hAnsi="Meiryo UI"/>
                <w:sz w:val="18"/>
              </w:rPr>
              <w:t>20%</w:t>
            </w:r>
          </w:p>
        </w:tc>
        <w:tc>
          <w:tcPr>
            <w:tcW w:type="dxa" w:w="2351"/>
          </w:tcPr>
          <w:p>
            <w:r>
              <w:rPr>
                <w:rFonts w:ascii="Meiryo UI" w:hAnsi="Meiryo UI"/>
                <w:sz w:val="18"/>
              </w:rPr>
              <w:t>+60〜75%（→¥1,930〜¥2,110）</w:t>
            </w:r>
          </w:p>
        </w:tc>
        <w:tc>
          <w:tcPr>
            <w:tcW w:type="dxa" w:w="2351"/>
          </w:tcPr>
          <w:p>
            <w:r>
              <w:rPr>
                <w:rFonts w:ascii="Meiryo UI" w:hAnsi="Meiryo UI"/>
                <w:sz w:val="18"/>
              </w:rPr>
              <w:t>AI-ZanmaiがSaaS的に拡大、DC増設でストック収益急増、FY2027ガイダンス大幅上振れ</w:t>
            </w:r>
          </w:p>
        </w:tc>
      </w:tr>
      <w:tr>
        <w:tc>
          <w:tcPr>
            <w:tcW w:type="dxa" w:w="2351"/>
            <w:shd w:val="clear" w:color="auto" w:fill="DDEBF7"/>
          </w:tcPr>
          <w:p>
            <w:r>
              <w:rPr>
                <w:rFonts w:ascii="Meiryo UI" w:hAnsi="Meiryo UI"/>
                <w:sz w:val="18"/>
              </w:rPr>
              <w:t>Base（現状延伸）</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+15〜25%（→¥1,385〜¥1,505）</w:t>
            </w:r>
          </w:p>
        </w:tc>
        <w:tc>
          <w:tcPr>
            <w:tcW w:type="dxa" w:w="2351"/>
            <w:shd w:val="clear" w:color="auto" w:fill="DDEBF7"/>
          </w:tcPr>
          <w:p>
            <w:r>
              <w:rPr>
                <w:rFonts w:ascii="Meiryo UI" w:hAnsi="Meiryo UI"/>
                <w:sz w:val="18"/>
              </w:rPr>
              <w:t>官公庁・金融の安定受注継続、AI活用サービスが既存サービスを補完、3Q実績の高成長がFY2027に持続</w:t>
            </w:r>
          </w:p>
        </w:tc>
      </w:tr>
      <w:tr>
        <w:tc>
          <w:tcPr>
            <w:tcW w:type="dxa" w:w="2351"/>
          </w:tcPr>
          <w:p>
            <w:r>
              <w:rPr>
                <w:rFonts w:ascii="Meiryo UI" w:hAnsi="Meiryo UI"/>
                <w:sz w:val="18"/>
              </w:rPr>
              <w:t>Bear（AI代替加速）</w:t>
            </w:r>
          </w:p>
        </w:tc>
        <w:tc>
          <w:tcPr>
            <w:tcW w:type="dxa" w:w="2351"/>
          </w:tcPr>
          <w:p>
            <w:r>
              <w:rPr>
                <w:rFonts w:ascii="Meiryo UI" w:hAnsi="Meiryo UI"/>
                <w:sz w:val="18"/>
              </w:rPr>
              <w:t>25%</w:t>
            </w:r>
          </w:p>
        </w:tc>
        <w:tc>
          <w:tcPr>
            <w:tcW w:type="dxa" w:w="2351"/>
          </w:tcPr>
          <w:p>
            <w:r>
              <w:rPr>
                <w:rFonts w:ascii="Meiryo UI" w:hAnsi="Meiryo UI"/>
                <w:sz w:val="18"/>
              </w:rPr>
              <w:t>▲25〜35%（→¥780〜¥905）</w:t>
            </w:r>
          </w:p>
        </w:tc>
        <w:tc>
          <w:tcPr>
            <w:tcW w:type="dxa" w:w="2351"/>
          </w:tcPr>
          <w:p>
            <w:r>
              <w:rPr>
                <w:rFonts w:ascii="Meiryo UI" w:hAnsi="Meiryo UI"/>
                <w:sz w:val="18"/>
              </w:rPr>
              <w:t>ガバメントクラウド移行でカスタム開発受注が30%減、BPO単純業務がAIエージェントに代替、大手SIerとの価格競争激化</w:t>
            </w:r>
          </w:p>
        </w:tc>
      </w:tr>
      <w:tr>
        <w:tc>
          <w:tcPr>
            <w:tcW w:type="dxa" w:w="2351"/>
            <w:shd w:val="clear" w:color="auto" w:fill="DDEBF7"/>
          </w:tcPr>
          <w:p>
            <w:r>
              <w:rPr>
                <w:rFonts w:ascii="Meiryo UI" w:hAnsi="Meiryo UI"/>
                <w:sz w:val="18"/>
              </w:rPr>
              <w:t>Stress（SIer構造崩壊）</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▲55〜65%（→¥420〜¥540）</w:t>
            </w:r>
          </w:p>
        </w:tc>
        <w:tc>
          <w:tcPr>
            <w:tcW w:type="dxa" w:w="2351"/>
            <w:shd w:val="clear" w:color="auto" w:fill="DDEBF7"/>
          </w:tcPr>
          <w:p>
            <w:r>
              <w:rPr>
                <w:rFonts w:ascii="Meiryo UI" w:hAnsi="Meiryo UI"/>
                <w:sz w:val="18"/>
              </w:rPr>
              <w:t>顧客内製化+AI代替60%が5年以内に進行、赤字転落リスク、DC資産売却圧力</w:t>
            </w:r>
          </w:p>
        </w:tc>
      </w:tr>
    </w:tbl>
    <w:p/>
    <w:p>
      <w:r>
        <w:rPr>
          <w:rFonts w:ascii="Meiryo UI" w:hAnsi="Meiryo UI"/>
          <w:sz w:val="20"/>
        </w:rPr>
        <w:t>期待リターン（確率加重）: +60×0.20 + +20×0.45 + (▲30)×0.25 + (▲60)×0.10 = +12+9-7.5-6 = +7.5%（過去1年間の日本株平均リターンを小幅上回る程度）</w:t>
      </w:r>
    </w:p>
    <w:p/>
    <w:p>
      <w:r>
        <w:rPr>
          <w:rFonts w:ascii="Meiryo UI" w:hAnsi="Meiryo UI"/>
          <w:sz w:val="20"/>
        </w:rPr>
        <w:t>→ 過大なリスクを取る価値はないがDCF内在価値に対する安全域27%はある。HOLDを維持。</w:t>
      </w:r>
    </w:p>
    <w:p/>
    <w:p>
      <w:r>
        <w:t>──────────────────────────────────────────────────</w:t>
      </w:r>
    </w:p>
    <w:p/>
    <w:p>
      <w:pPr>
        <w:pStyle w:val="Heading2"/>
      </w:pPr>
      <w:r>
        <w:rPr>
          <w:rFonts w:ascii="Meiryo UI" w:hAnsi="Meiryo UI"/>
          <w:color w:val="2E74B5"/>
        </w:rPr>
        <w:t>6. カタリストカレンダー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日程</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判断への影響</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2026年5月下旬</w:t>
            </w:r>
          </w:p>
        </w:tc>
        <w:tc>
          <w:tcPr>
            <w:tcW w:type="dxa" w:w="2351"/>
          </w:tcPr>
          <w:p>
            <w:r>
              <w:rPr>
                <w:rFonts w:ascii="Meiryo UI" w:hAnsi="Meiryo UI"/>
                <w:sz w:val="18"/>
              </w:rPr>
              <w:t>FY2026/3通期決算発表</w:t>
            </w:r>
          </w:p>
        </w:tc>
        <w:tc>
          <w:tcPr>
            <w:tcW w:type="dxa" w:w="2351"/>
          </w:tcPr>
          <w:p>
            <w:r>
              <w:rPr>
                <w:rFonts w:ascii="Meiryo UI" w:hAnsi="Meiryo UI"/>
                <w:sz w:val="18"/>
              </w:rPr>
              <w:t>★★★最重要★★★。3Q累計+22%成長がFY2027ガイダンスに反映されるか。BUY格上げのトリガーになりうる</w:t>
            </w:r>
          </w:p>
        </w:tc>
        <w:tc>
          <w:tcPr>
            <w:tcW w:type="dxa" w:w="2351"/>
          </w:tcPr>
          <w:p>
            <w:r>
              <w:rPr>
                <w:rFonts w:ascii="Meiryo UI" w:hAnsi="Meiryo UI"/>
                <w:sz w:val="18"/>
              </w:rPr>
              <w:t>ガイダンスで売上+10%超・OP率8%超ならBUY格上げ</w:t>
            </w:r>
          </w:p>
        </w:tc>
      </w:tr>
      <w:tr>
        <w:tc>
          <w:tcPr>
            <w:tcW w:type="dxa" w:w="2351"/>
            <w:shd w:val="clear" w:color="auto" w:fill="DDEBF7"/>
          </w:tcPr>
          <w:p>
            <w:r>
              <w:rPr>
                <w:rFonts w:ascii="Meiryo UI" w:hAnsi="Meiryo UI"/>
                <w:sz w:val="18"/>
              </w:rPr>
              <w:t>2026年4月〜6月</w:t>
            </w:r>
          </w:p>
        </w:tc>
        <w:tc>
          <w:tcPr>
            <w:tcW w:type="dxa" w:w="2351"/>
            <w:shd w:val="clear" w:color="auto" w:fill="DDEBF7"/>
          </w:tcPr>
          <w:p>
            <w:r>
              <w:rPr>
                <w:rFonts w:ascii="Meiryo UI" w:hAnsi="Meiryo UI"/>
                <w:sz w:val="18"/>
              </w:rPr>
              <w:t>地方自治体の標準化移行最終局面</w:t>
            </w:r>
          </w:p>
        </w:tc>
        <w:tc>
          <w:tcPr>
            <w:tcW w:type="dxa" w:w="2351"/>
            <w:shd w:val="clear" w:color="auto" w:fill="DDEBF7"/>
          </w:tcPr>
          <w:p>
            <w:r>
              <w:rPr>
                <w:rFonts w:ascii="Meiryo UI" w:hAnsi="Meiryo UI"/>
                <w:sz w:val="18"/>
              </w:rPr>
              <w:t>ガバメントクラウド移行支援案件の受注状況。ネガティブならBear入り</w:t>
            </w:r>
          </w:p>
        </w:tc>
        <w:tc>
          <w:tcPr>
            <w:tcW w:type="dxa" w:w="2351"/>
            <w:shd w:val="clear" w:color="auto" w:fill="DDEBF7"/>
          </w:tcPr>
          <w:p>
            <w:r>
              <w:rPr>
                <w:rFonts w:ascii="Meiryo UI" w:hAnsi="Meiryo UI"/>
                <w:sz w:val="18"/>
              </w:rPr>
              <w:t>IR確認必須</w:t>
            </w:r>
          </w:p>
        </w:tc>
      </w:tr>
      <w:tr>
        <w:tc>
          <w:tcPr>
            <w:tcW w:type="dxa" w:w="2351"/>
          </w:tcPr>
          <w:p>
            <w:r>
              <w:rPr>
                <w:rFonts w:ascii="Meiryo UI" w:hAnsi="Meiryo UI"/>
                <w:sz w:val="18"/>
              </w:rPr>
              <w:t>2026年Q2〜Q3</w:t>
            </w:r>
          </w:p>
        </w:tc>
        <w:tc>
          <w:tcPr>
            <w:tcW w:type="dxa" w:w="2351"/>
          </w:tcPr>
          <w:p>
            <w:r>
              <w:rPr>
                <w:rFonts w:ascii="Meiryo UI" w:hAnsi="Meiryo UI"/>
                <w:sz w:val="18"/>
              </w:rPr>
              <w:t>AI-Zanmaiの法人導入実績開示</w:t>
            </w:r>
          </w:p>
        </w:tc>
        <w:tc>
          <w:tcPr>
            <w:tcW w:type="dxa" w:w="2351"/>
          </w:tcPr>
          <w:p>
            <w:r>
              <w:rPr>
                <w:rFonts w:ascii="Meiryo UI" w:hAnsi="Meiryo UI"/>
                <w:sz w:val="18"/>
              </w:rPr>
              <w:t>SaaS的収益モデルへの転換度合い。有料導入企業数・ARR開示があればBull評価に上方修正</w:t>
            </w:r>
          </w:p>
        </w:tc>
        <w:tc>
          <w:tcPr>
            <w:tcW w:type="dxa" w:w="2351"/>
          </w:tcPr>
          <w:p>
            <w:r>
              <w:rPr>
                <w:rFonts w:ascii="Meiryo UI" w:hAnsi="Meiryo UI"/>
                <w:sz w:val="18"/>
              </w:rPr>
              <w:t>プレスリリースモニタリング</w:t>
            </w:r>
          </w:p>
        </w:tc>
      </w:tr>
      <w:tr>
        <w:tc>
          <w:tcPr>
            <w:tcW w:type="dxa" w:w="2351"/>
            <w:shd w:val="clear" w:color="auto" w:fill="DDEBF7"/>
          </w:tcPr>
          <w:p>
            <w:r>
              <w:rPr>
                <w:rFonts w:ascii="Meiryo UI" w:hAnsi="Meiryo UI"/>
                <w:sz w:val="18"/>
              </w:rPr>
              <w:t>随時</w:t>
            </w:r>
          </w:p>
        </w:tc>
        <w:tc>
          <w:tcPr>
            <w:tcW w:type="dxa" w:w="2351"/>
            <w:shd w:val="clear" w:color="auto" w:fill="DDEBF7"/>
          </w:tcPr>
          <w:p>
            <w:r>
              <w:rPr>
                <w:rFonts w:ascii="Meiryo UI" w:hAnsi="Meiryo UI"/>
                <w:sz w:val="18"/>
              </w:rPr>
              <w:t>大型ソフト開発案件の受注発表</w:t>
            </w:r>
          </w:p>
        </w:tc>
        <w:tc>
          <w:tcPr>
            <w:tcW w:type="dxa" w:w="2351"/>
            <w:shd w:val="clear" w:color="auto" w:fill="DDEBF7"/>
          </w:tcPr>
          <w:p>
            <w:r>
              <w:rPr>
                <w:rFonts w:ascii="Meiryo UI" w:hAnsi="Meiryo UI"/>
                <w:sz w:val="18"/>
              </w:rPr>
              <w:t>3Q累計+22%成長の持続性確認。官公庁・金融の大型DX案件獲得</w:t>
            </w:r>
          </w:p>
        </w:tc>
        <w:tc>
          <w:tcPr>
            <w:tcW w:type="dxa" w:w="2351"/>
            <w:shd w:val="clear" w:color="auto" w:fill="DDEBF7"/>
          </w:tcPr>
          <w:p>
            <w:r>
              <w:rPr>
                <w:rFonts w:ascii="Meiryo UI" w:hAnsi="Meiryo UI"/>
                <w:sz w:val="18"/>
              </w:rPr>
              <w:t>TDNETモニタリング</w:t>
            </w:r>
          </w:p>
        </w:tc>
      </w:tr>
      <w:tr>
        <w:tc>
          <w:tcPr>
            <w:tcW w:type="dxa" w:w="2351"/>
          </w:tcPr>
          <w:p>
            <w:r>
              <w:rPr>
                <w:rFonts w:ascii="Meiryo UI" w:hAnsi="Meiryo UI"/>
                <w:sz w:val="18"/>
              </w:rPr>
              <w:t>2026年秋〜2027年春</w:t>
            </w:r>
          </w:p>
        </w:tc>
        <w:tc>
          <w:tcPr>
            <w:tcW w:type="dxa" w:w="2351"/>
          </w:tcPr>
          <w:p>
            <w:r>
              <w:rPr>
                <w:rFonts w:ascii="Meiryo UI" w:hAnsi="Meiryo UI"/>
                <w:sz w:val="18"/>
              </w:rPr>
              <w:t>FY2027ガイダンスの中間見直し</w:t>
            </w:r>
          </w:p>
        </w:tc>
        <w:tc>
          <w:tcPr>
            <w:tcW w:type="dxa" w:w="2351"/>
          </w:tcPr>
          <w:p>
            <w:r>
              <w:rPr>
                <w:rFonts w:ascii="Meiryo UI" w:hAnsi="Meiryo UI"/>
                <w:sz w:val="18"/>
              </w:rPr>
              <w:t>AI対応新サービス売上の具体的な数値開示が格上げの必要条件</w:t>
            </w:r>
          </w:p>
        </w:tc>
        <w:tc>
          <w:tcPr>
            <w:tcW w:type="dxa" w:w="2351"/>
          </w:tcPr>
          <w:p>
            <w:r>
              <w:rPr>
                <w:rFonts w:ascii="Meiryo UI" w:hAnsi="Meiryo UI"/>
                <w:sz w:val="18"/>
              </w:rPr>
              <w:t>上方修正または中期計画改訂時</w:t>
            </w:r>
          </w:p>
        </w:tc>
      </w:tr>
    </w:tbl>
    <w:p/>
    <w:p>
      <w:r>
        <w:t>──────────────────────────────────────────────────</w:t>
      </w:r>
    </w:p>
    <w:p/>
    <w:p>
      <w:pPr>
        <w:pStyle w:val="Heading2"/>
      </w:pPr>
      <w:r>
        <w:rPr>
          <w:rFonts w:ascii="Meiryo UI" w:hAnsi="Meiryo UI"/>
          <w:color w:val="2E74B5"/>
        </w:rPr>
        <w:t>7. 結論</w:t>
      </w:r>
    </w:p>
    <w:p/>
    <w:p>
      <w:pPr>
        <w:pStyle w:val="Heading3"/>
      </w:pPr>
      <w:r>
        <w:rPr>
          <w:rFonts w:ascii="Meiryo UI" w:hAnsi="Meiryo UI"/>
          <w:color w:val="2E74B5"/>
        </w:rPr>
        <w:t>7-1. 投資判断サマリー</w:t>
      </w:r>
    </w:p>
    <w:p/>
    <w:p>
      <w:r>
        <w:rPr>
          <w:rFonts w:ascii="Meiryo UI" w:hAnsi="Meiryo UI"/>
          <w:sz w:val="20"/>
        </w:rPr>
        <w:t>HOLD（押し目¥1,050以下でBUY転換）</w:t>
      </w:r>
    </w:p>
    <w:p/>
    <w:p>
      <w:r>
        <w:rPr>
          <w:rFonts w:ascii="Meiryo UI" w:hAnsi="Meiryo UI"/>
          <w:sz w:val="20"/>
        </w:rPr>
        <w:t>AGS株式会社（3648）は、創業50年超の独立系SIerとして官公庁・金融機関向けに強固な基盤を持つ。FY2026/3は3Q累計+22%の高成長が継続しており、過去最高益更新が確実視される局面にある。PER10.2倍は同業比で明確に割安であり、配当利回り2.7%（優待込み実質3%超）は下値支持として機能する。</w:t>
      </w:r>
    </w:p>
    <w:p/>
    <w:p>
      <w:r>
        <w:rPr>
          <w:rFonts w:ascii="Meiryo UI" w:hAnsi="Meiryo UI"/>
          <w:sz w:val="20"/>
        </w:rPr>
        <w:t>しかし、本稿の最重要テーマであるAI代替リスクの観点では、以下の構造的な問題を抱える：</w:t>
      </w:r>
    </w:p>
    <w:p/>
    <w:p>
      <w:pPr>
        <w:pStyle w:val="ListNumber"/>
      </w:pPr>
      <w:r>
        <w:rPr>
          <w:rFonts w:ascii="Meiryo UI" w:hAnsi="Meiryo UI"/>
          <w:sz w:val="20"/>
        </w:rPr>
        <w:t>人月モデルの逆説：生成AIによる開発生産性50%向上は、一見すると利益率改善に見えるが、顧客から見れば「同じシステムが半額で作れる」ことを意味し、中長期では発注単価の下落に転嫁される</w:t>
      </w:r>
    </w:p>
    <w:p>
      <w:pPr>
        <w:pStyle w:val="ListNumber"/>
      </w:pPr>
      <w:r>
        <w:rPr>
          <w:rFonts w:ascii="Meiryo UI" w:hAnsi="Meiryo UI"/>
          <w:sz w:val="20"/>
        </w:rPr>
        <w:t>BPO業務の直接代替：データ入力・印刷・封緘などの単純BPOはAIエージェントの普及で3〜5年以内に収縮が避けられない。売上構成の約10〜15%が影響圏</w:t>
      </w:r>
    </w:p>
    <w:p>
      <w:pPr>
        <w:pStyle w:val="ListNumber"/>
      </w:pPr>
      <w:r>
        <w:rPr>
          <w:rFonts w:ascii="Meiryo UI" w:hAnsi="Meiryo UI"/>
          <w:sz w:val="20"/>
        </w:rPr>
        <w:t>ガバメントクラウドの二面性：移行支援の新規案件は短期的プラスだが、自治体独自カスタム保守という長年の安定収益源が標準化で失われるリスクが存在</w:t>
      </w:r>
    </w:p>
    <w:p/>
    <w:p>
      <w:r>
        <w:rPr>
          <w:rFonts w:ascii="Meiryo UI" w:hAnsi="Meiryo UI"/>
          <w:sz w:val="20"/>
        </w:rPr>
        <w:t>一方で強みも明確だ：</w:t>
      </w:r>
    </w:p>
    <w:p>
      <w:pPr>
        <w:pStyle w:val="ListBullet"/>
      </w:pPr>
      <w:r>
        <w:rPr>
          <w:rFonts w:ascii="Meiryo UI" w:hAnsi="Meiryo UI"/>
          <w:sz w:val="20"/>
        </w:rPr>
        <w:t>規制障壁：金融機関・官公庁のITシステムは個人情報保護・金融規制により、AIが自律的に開発・運用することを当局が認可するには5年以上かかる現実的な時間軸</w:t>
      </w:r>
    </w:p>
    <w:p>
      <w:pPr>
        <w:pStyle w:val="ListBullet"/>
      </w:pPr>
      <w:r>
        <w:rPr>
          <w:rFonts w:ascii="Meiryo UI" w:hAnsi="Meiryo UI"/>
          <w:sz w:val="20"/>
        </w:rPr>
        <w:t>Tier-4 DC資産：さいたまiDCはAI/クラウド時代に需要が増すインフラであり、セキュアな環境での生成AI基盤として独自の市場ポジションを作る可能性</w:t>
      </w:r>
    </w:p>
    <w:p>
      <w:pPr>
        <w:pStyle w:val="ListBullet"/>
      </w:pPr>
      <w:r>
        <w:rPr>
          <w:rFonts w:ascii="Meiryo UI" w:hAnsi="Meiryo UI"/>
          <w:sz w:val="20"/>
        </w:rPr>
        <w:t>AI-Zanmai等の先手：遅まきながらAI活用サービスに転換を始めており、官公庁・金融という守られた顧客基盤へのアップセル余地は大きい</w:t>
      </w:r>
    </w:p>
    <w:p/>
    <w:p>
      <w:pPr>
        <w:pStyle w:val="Heading3"/>
      </w:pPr>
      <w:r>
        <w:rPr>
          <w:rFonts w:ascii="Meiryo UI" w:hAnsi="Meiryo UI"/>
          <w:color w:val="2E74B5"/>
        </w:rPr>
        <w:t>7-2. 格上げ・格下げ条件</w:t>
      </w:r>
    </w:p>
    <w:p/>
    <w:p>
      <w:r>
        <w:rPr>
          <w:rFonts w:ascii="Meiryo UI" w:hAnsi="Meiryo UI"/>
          <w:sz w:val="20"/>
        </w:rPr>
        <w:t>BUY格上げ条件（両方満たすこと）：</w:t>
      </w:r>
    </w:p>
    <w:p>
      <w:pPr>
        <w:pStyle w:val="ListBullet"/>
      </w:pPr>
      <w:r>
        <w:rPr>
          <w:rFonts w:ascii="Meiryo UI" w:hAnsi="Meiryo UI"/>
          <w:sz w:val="20"/>
        </w:rPr>
        <w:t>FY2026通期決算でAI関連サービス売上が具体的に開示され、前年比+50%以上の成長が確認できる</w:t>
      </w:r>
    </w:p>
    <w:p>
      <w:pPr>
        <w:pStyle w:val="ListBullet"/>
      </w:pPr>
      <w:r>
        <w:rPr>
          <w:rFonts w:ascii="Meiryo UI" w:hAnsi="Meiryo UI"/>
          <w:sz w:val="20"/>
        </w:rPr>
        <w:t>FY2027ガイダンスで売上+10%超かつOP利益率8%超が示される</w:t>
      </w:r>
    </w:p>
    <w:p/>
    <w:p>
      <w:r>
        <w:rPr>
          <w:rFonts w:ascii="Meiryo UI" w:hAnsi="Meiryo UI"/>
          <w:sz w:val="20"/>
        </w:rPr>
        <w:t>SELL格下げ条件（いずれか一つで格下げ）：</w:t>
      </w:r>
    </w:p>
    <w:p>
      <w:pPr>
        <w:pStyle w:val="ListBullet"/>
      </w:pPr>
      <w:r>
        <w:rPr>
          <w:rFonts w:ascii="Meiryo UI" w:hAnsi="Meiryo UI"/>
          <w:sz w:val="20"/>
        </w:rPr>
        <w:t>官公庁・自治体向けの大型案件において、AGSが外されるリスク（大手SIerや直接クラウド移行への切り替え）が複数件確認される</w:t>
      </w:r>
    </w:p>
    <w:p>
      <w:pPr>
        <w:pStyle w:val="ListBullet"/>
      </w:pPr>
      <w:r>
        <w:rPr>
          <w:rFonts w:ascii="Meiryo UI" w:hAnsi="Meiryo UI"/>
          <w:sz w:val="20"/>
        </w:rPr>
        <w:t>FY2026通期決算でガイダンスを大幅に下回り、人月単価下落の明確な兆候が現れる</w:t>
      </w:r>
    </w:p>
    <w:p/>
    <w:p>
      <w:pPr>
        <w:pStyle w:val="Heading3"/>
      </w:pPr>
      <w:r>
        <w:rPr>
          <w:rFonts w:ascii="Meiryo UI" w:hAnsi="Meiryo UI"/>
          <w:color w:val="2E74B5"/>
        </w:rPr>
        <w:t>7-3. 推奨エントリーゾーン</w:t>
      </w:r>
    </w:p>
    <w:p>
      <w:pPr>
        <w:pStyle w:val="ListBullet"/>
      </w:pPr>
      <w:r>
        <w:rPr>
          <w:rFonts w:ascii="Meiryo UI" w:hAnsi="Meiryo UI"/>
          <w:sz w:val="20"/>
        </w:rPr>
        <w:t>現値（¥1,205）：全力買いは避ける。DCF内在価値¥1,654に対しある程度の安全域があるが、AI代替リスクの不確実性が大きい</w:t>
      </w:r>
    </w:p>
    <w:p>
      <w:pPr>
        <w:pStyle w:val="ListBullet"/>
      </w:pPr>
      <w:r>
        <w:rPr>
          <w:rFonts w:ascii="Meiryo UI" w:hAnsi="Meiryo UI"/>
          <w:sz w:val="20"/>
        </w:rPr>
        <w:t>押し目¥1,050〜¥1,100：PBR1.1倍付近でBUY転換。この水準なら確率加重FV¥1,450に対し30%以上の安全域が確保される</w:t>
      </w:r>
    </w:p>
    <w:p>
      <w:pPr>
        <w:pStyle w:val="ListBullet"/>
      </w:pPr>
      <w:r>
        <w:rPr>
          <w:rFonts w:ascii="Meiryo UI" w:hAnsi="Meiryo UI"/>
          <w:sz w:val="20"/>
        </w:rPr>
        <w:t>損切りライン：¥880（FY2025/3実績PBR×0.93倍、Bear DCF¥950を下回るレベル）</w:t>
      </w:r>
    </w:p>
    <w:p/>
    <w:p>
      <w:r>
        <w:t>──────────────────────────────────────────────────</w:t>
      </w:r>
    </w:p>
    <w:p/>
    <w:p>
      <w:r>
        <w:rPr>
          <w:rFonts w:ascii="Meiryo UI" w:hAnsi="Meiryo UI"/>
          <w:sz w:val="20"/>
        </w:rPr>
        <w:t>本レポートは投資判断の参考情報であり、投資勧誘を目的とするものではありません。</w:t>
      </w:r>
    </w:p>
    <w:p>
      <w:r>
        <w:rPr>
          <w:rFonts w:ascii="Meiryo UI" w:hAnsi="Meiryo UI"/>
          <w:sz w:val="20"/>
        </w:rPr>
        <w:t>深井　竹村トレードカンパニー　2026年04月16日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