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[369A] エータイ</w:t>
      </w:r>
    </w:p>
    <w:p/>
    <w:p/>
    <w:p>
      <w:pPr>
        <w:jc w:val="center"/>
      </w:pPr>
      <w:r>
        <w:rPr>
          <w:rFonts w:ascii="Meiryo UI" w:hAnsi="Meiryo UI"/>
          <w:sz w:val="24"/>
        </w:rPr>
        <w:t>アナリスト：深井</w:t>
      </w:r>
    </w:p>
    <w:p>
      <w:pPr>
        <w:jc w:val="center"/>
      </w:pPr>
      <w:r>
        <w:rPr>
          <w:rFonts w:ascii="Meiryo UI" w:hAnsi="Meiryo UI"/>
          <w:sz w:val="24"/>
        </w:rPr>
        <w:t>分析日：2026-04-14</w:t>
      </w:r>
    </w:p>
    <w:p>
      <w:r>
        <w:br w:type="page"/>
      </w:r>
    </w:p>
    <w:p>
      <w:pPr>
        <w:pStyle w:val="Heading1"/>
      </w:pPr>
      <w:r>
        <w:rPr>
          <w:rFonts w:ascii="Meiryo UI" w:hAnsi="Meiryo UI"/>
          <w:color w:val="1F3864"/>
        </w:rPr>
        <w:t>深井 DeepResearchレポート — [369A] エータイ</w:t>
      </w:r>
    </w:p>
    <w:p>
      <w:r>
        <w:rPr>
          <w:rFonts w:ascii="Meiryo UI" w:hAnsi="Meiryo UI"/>
          <w:sz w:val="20"/>
        </w:rPr>
        <w:t>作成日: 2026-04-14  |  アナリスト: 深井  |  分類: BUY</w:t>
      </w:r>
    </w:p>
    <w:p>
      <w:r>
        <w:rPr>
          <w:rFonts w:ascii="Meiryo UI" w:hAnsi="Meiryo UI"/>
          <w:sz w:val="20"/>
        </w:rPr>
        <w:t>浅井スコア: +78  |  ソース: TDnet + 公開情報 + 浅井マスターDB</w:t>
      </w:r>
    </w:p>
    <w:p/>
    <w:p>
      <w:r>
        <w:t>──────────────────────────────────────────────────</w:t>
      </w:r>
    </w:p>
    <w:p/>
    <w:p>
      <w:pPr>
        <w:pStyle w:val="Heading1"/>
      </w:pPr>
      <w:r>
        <w:rPr>
          <w:rFonts w:ascii="Meiryo UI" w:hAnsi="Meiryo UI"/>
          <w:color w:val="1F3864"/>
        </w:rPr>
        <w:t>エータイ（369A）DeepResearch レポート</w:t>
      </w:r>
    </w:p>
    <w:p>
      <w:r>
        <w:rPr>
          <w:rFonts w:ascii="Meiryo UI" w:hAnsi="Meiryo UI"/>
          <w:sz w:val="20"/>
        </w:rPr>
        <w:t>作成者: 深井（竹村トレードカンパニー アナリスト）</w:t>
      </w:r>
    </w:p>
    <w:p>
      <w:r>
        <w:rPr>
          <w:rFonts w:ascii="Meiryo UI" w:hAnsi="Meiryo UI"/>
          <w:sz w:val="20"/>
        </w:rPr>
        <w:t>分析日: 2026-04-14 | 参照株価: ¥2,386（リアルタイム取得）</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2Q経常利益51.2%進捗×永代供養×高齢化による不可逆的構造需要。DCF理論株価との乖離が投資機会を示唆</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¥2,386 ／ 理論株価（FV）¥2,820〜¥3,150（ベースケース ¥2,970）／ 上値余地 +24.5%（ベース）</w:t>
            </w:r>
          </w:p>
        </w:tc>
      </w:tr>
      <w:tr>
        <w:tc>
          <w:tcPr>
            <w:tcW w:type="dxa" w:w="4703"/>
          </w:tcPr>
          <w:p>
            <w:r>
              <w:rPr>
                <w:rFonts w:ascii="Meiryo UI" w:hAnsi="Meiryo UI"/>
                <w:sz w:val="18"/>
              </w:rPr>
              <w:t>主要カタリスト</w:t>
            </w:r>
          </w:p>
        </w:tc>
        <w:tc>
          <w:tcPr>
            <w:tcW w:type="dxa" w:w="4703"/>
          </w:tcPr>
          <w:p>
            <w:r>
              <w:rPr>
                <w:rFonts w:ascii="Meiryo UI" w:hAnsi="Meiryo UI"/>
                <w:sz w:val="18"/>
              </w:rPr>
              <w:t>①2026年8月期 通期決算（2026年10月下旬）での業績上振れ確認　②下期（3Q・4Q）の永代供養墓契約件数加速（高齢化ピーク需要）　③寺院コンサル案件の単価上昇・新規開拓進捗</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永代供養墓は「一度売ったら終わり」のストック型ではなく案件獲得の一過性フロー。景況悪化・出生率低下による寺院財政悪化でコンサル案件が急減すれば下期進捗が鈍化し通期予想¥856Mを割り込む可能性</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今すぐ第1トランシェ¥2,300-¥2,420で40%エントリー。残り60%は3Q決算（2026年7月中旬目安）で進捗率75%超を確認後。損切りライン¥2,050（BPS¥739×2.77倍・PBR割れ近接水準）。目標¥2,970（ベース）〜¥3,150（強気）</w:t>
            </w:r>
          </w:p>
        </w:tc>
      </w:tr>
    </w:tbl>
    <w:p/>
    <w:p>
      <w:r>
        <w:t>──────────────────────────────────────────────────</w:t>
      </w:r>
    </w:p>
    <w:p/>
    <w:p>
      <w:pPr>
        <w:pStyle w:val="Heading2"/>
      </w:pPr>
      <w:r>
        <w:rPr>
          <w:rFonts w:ascii="Meiryo UI" w:hAnsi="Meiryo UI"/>
          <w:color w:val="2E74B5"/>
        </w:rPr>
        <w:t>セクション0：損益の「毒」と「薬」の仕分け / QonQ変調分析</w:t>
      </w:r>
    </w:p>
    <w:p/>
    <w:p>
      <w:pPr>
        <w:pStyle w:val="Heading3"/>
      </w:pPr>
      <w:r>
        <w:rPr>
          <w:rFonts w:ascii="Meiryo UI" w:hAnsi="Meiryo UI"/>
          <w:color w:val="2E74B5"/>
        </w:rPr>
        <w:t>0-A. Good/Bad分析（2Q中間決算 2026年8月期）</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2Q累計経常利益 前年同期比+6.1%成長</w:t>
            </w:r>
          </w:p>
        </w:tc>
        <w:tc>
          <w:tcPr>
            <w:tcW w:type="dxa" w:w="1881"/>
          </w:tcPr>
          <w:p>
            <w:r>
              <w:rPr>
                <w:rFonts w:ascii="Meiryo UI" w:hAnsi="Meiryo UI"/>
                <w:sz w:val="18"/>
              </w:rPr>
              <w:t>¥438M（前年¥413M）</w:t>
            </w:r>
          </w:p>
        </w:tc>
        <w:tc>
          <w:tcPr>
            <w:tcW w:type="dxa" w:w="1881"/>
          </w:tcPr>
          <w:p>
            <w:r>
              <w:rPr>
                <w:rFonts w:ascii="Meiryo UI" w:hAnsi="Meiryo UI"/>
                <w:sz w:val="18"/>
              </w:rPr>
              <w:t>構造的（高齢化×終活需要）</w:t>
            </w:r>
          </w:p>
        </w:tc>
        <w:tc>
          <w:tcPr>
            <w:tcW w:type="dxa" w:w="1881"/>
          </w:tcPr>
          <w:p>
            <w:r>
              <w:rPr>
                <w:rFonts w:ascii="Meiryo UI" w:hAnsi="Meiryo UI"/>
                <w:sz w:val="18"/>
              </w:rPr>
              <w:t>高齢化は止まらない。毎年需要が増える産業の基本線。安定感◎</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通期経常利益予想¥856Mに対し51.2%進捗</w:t>
            </w:r>
          </w:p>
        </w:tc>
        <w:tc>
          <w:tcPr>
            <w:tcW w:type="dxa" w:w="1881"/>
            <w:shd w:val="clear" w:color="auto" w:fill="DDEBF7"/>
          </w:tcPr>
          <w:p>
            <w:r>
              <w:rPr>
                <w:rFonts w:ascii="Meiryo UI" w:hAnsi="Meiryo UI"/>
                <w:sz w:val="18"/>
              </w:rPr>
              <w:t>H1消化率51.2%</w:t>
            </w:r>
          </w:p>
        </w:tc>
        <w:tc>
          <w:tcPr>
            <w:tcW w:type="dxa" w:w="1881"/>
            <w:shd w:val="clear" w:color="auto" w:fill="DDEBF7"/>
          </w:tcPr>
          <w:p>
            <w:r>
              <w:rPr>
                <w:rFonts w:ascii="Meiryo UI" w:hAnsi="Meiryo UI"/>
                <w:sz w:val="18"/>
              </w:rPr>
              <w:t>構造的（H2加速傾向あれば更に良し）</w:t>
            </w:r>
          </w:p>
        </w:tc>
        <w:tc>
          <w:tcPr>
            <w:tcW w:type="dxa" w:w="1881"/>
            <w:shd w:val="clear" w:color="auto" w:fill="DDEBF7"/>
          </w:tcPr>
          <w:p>
            <w:r>
              <w:rPr>
                <w:rFonts w:ascii="Meiryo UI" w:hAnsi="Meiryo UI"/>
                <w:sz w:val="18"/>
              </w:rPr>
              <w:t>上期だけで半分消化は及第点以上。下期上振れなら会社予想超え現実的</w:t>
            </w:r>
          </w:p>
        </w:tc>
      </w:tr>
      <w:tr>
        <w:tc>
          <w:tcPr>
            <w:tcW w:type="dxa" w:w="1881"/>
          </w:tcPr>
          <w:p>
            <w:r>
              <w:rPr>
                <w:rFonts w:ascii="Meiryo UI" w:hAnsi="Meiryo UI"/>
                <w:sz w:val="18"/>
              </w:rPr>
              <w:t>💊 薬</w:t>
            </w:r>
          </w:p>
        </w:tc>
        <w:tc>
          <w:tcPr>
            <w:tcW w:type="dxa" w:w="1881"/>
          </w:tcPr>
          <w:p>
            <w:r>
              <w:rPr>
                <w:rFonts w:ascii="Meiryo UI" w:hAnsi="Meiryo UI"/>
                <w:sz w:val="18"/>
              </w:rPr>
              <w:t>通期売上予想¥3,415M・営業利益¥859M</w:t>
            </w:r>
          </w:p>
        </w:tc>
        <w:tc>
          <w:tcPr>
            <w:tcW w:type="dxa" w:w="1881"/>
          </w:tcPr>
          <w:p>
            <w:r>
              <w:rPr>
                <w:rFonts w:ascii="Meiryo UI" w:hAnsi="Meiryo UI"/>
                <w:sz w:val="18"/>
              </w:rPr>
              <w:t>営業利益率25.1%見込</w:t>
            </w:r>
          </w:p>
        </w:tc>
        <w:tc>
          <w:tcPr>
            <w:tcW w:type="dxa" w:w="1881"/>
          </w:tcPr>
          <w:p>
            <w:r>
              <w:rPr>
                <w:rFonts w:ascii="Meiryo UI" w:hAnsi="Meiryo UI"/>
                <w:sz w:val="18"/>
              </w:rPr>
              <w:t>構造的（高粗利サービス業）</w:t>
            </w:r>
          </w:p>
        </w:tc>
        <w:tc>
          <w:tcPr>
            <w:tcW w:type="dxa" w:w="1881"/>
          </w:tcPr>
          <w:p>
            <w:r>
              <w:rPr>
                <w:rFonts w:ascii="Meiryo UI" w:hAnsi="Meiryo UI"/>
                <w:sz w:val="18"/>
              </w:rPr>
              <w:t>営業利益率25%は超高収益ビジネス。同業他社比較でも競争優位性あり</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永代供養墓×寺院コンサルの双頭構造</w:t>
            </w:r>
          </w:p>
        </w:tc>
        <w:tc>
          <w:tcPr>
            <w:tcW w:type="dxa" w:w="1881"/>
            <w:shd w:val="clear" w:color="auto" w:fill="DDEBF7"/>
          </w:tcPr>
          <w:p>
            <w:r>
              <w:rPr>
                <w:rFonts w:ascii="Meiryo UI" w:hAnsi="Meiryo UI"/>
                <w:sz w:val="18"/>
              </w:rPr>
              <w:t>セグメント非分離（推定）</w:t>
            </w:r>
          </w:p>
        </w:tc>
        <w:tc>
          <w:tcPr>
            <w:tcW w:type="dxa" w:w="1881"/>
            <w:shd w:val="clear" w:color="auto" w:fill="DDEBF7"/>
          </w:tcPr>
          <w:p>
            <w:r>
              <w:rPr>
                <w:rFonts w:ascii="Meiryo UI" w:hAnsi="Meiryo UI"/>
                <w:sz w:val="18"/>
              </w:rPr>
              <w:t>構造的（参入障壁高い）</w:t>
            </w:r>
          </w:p>
        </w:tc>
        <w:tc>
          <w:tcPr>
            <w:tcW w:type="dxa" w:w="1881"/>
            <w:shd w:val="clear" w:color="auto" w:fill="DDEBF7"/>
          </w:tcPr>
          <w:p>
            <w:r>
              <w:rPr>
                <w:rFonts w:ascii="Meiryo UI" w:hAnsi="Meiryo UI"/>
                <w:sz w:val="18"/>
              </w:rPr>
              <w:t>寺院との信頼関係は一朝一夕で築けない。強い堀（モート）</w:t>
            </w:r>
          </w:p>
        </w:tc>
      </w:tr>
      <w:tr>
        <w:tc>
          <w:tcPr>
            <w:tcW w:type="dxa" w:w="1881"/>
          </w:tcPr>
          <w:p>
            <w:r>
              <w:rPr>
                <w:rFonts w:ascii="Meiryo UI" w:hAnsi="Meiryo UI"/>
                <w:sz w:val="18"/>
              </w:rPr>
              <w:t>☠️ 毒</w:t>
            </w:r>
          </w:p>
        </w:tc>
        <w:tc>
          <w:tcPr>
            <w:tcW w:type="dxa" w:w="1881"/>
          </w:tcPr>
          <w:p>
            <w:r>
              <w:rPr>
                <w:rFonts w:ascii="Meiryo UI" w:hAnsi="Meiryo UI"/>
                <w:sz w:val="18"/>
              </w:rPr>
              <w:t>成長率+6.1%は高成長とは言えない水準</w:t>
            </w:r>
          </w:p>
        </w:tc>
        <w:tc>
          <w:tcPr>
            <w:tcW w:type="dxa" w:w="1881"/>
          </w:tcPr>
          <w:p>
            <w:r>
              <w:rPr>
                <w:rFonts w:ascii="Meiryo UI" w:hAnsi="Meiryo UI"/>
                <w:sz w:val="18"/>
              </w:rPr>
              <w:t>前年比+¥25M増収</w:t>
            </w:r>
          </w:p>
        </w:tc>
        <w:tc>
          <w:tcPr>
            <w:tcW w:type="dxa" w:w="1881"/>
          </w:tcPr>
          <w:p>
            <w:r>
              <w:rPr>
                <w:rFonts w:ascii="Meiryo UI" w:hAnsi="Meiryo UI"/>
                <w:sz w:val="18"/>
              </w:rPr>
              <w:t>一過性可能性あり（競合増加・市場飽和リスク）</w:t>
            </w:r>
          </w:p>
        </w:tc>
        <w:tc>
          <w:tcPr>
            <w:tcW w:type="dxa" w:w="1881"/>
          </w:tcPr>
          <w:p>
            <w:r>
              <w:rPr>
                <w:rFonts w:ascii="Meiryo UI" w:hAnsi="Meiryo UI"/>
                <w:sz w:val="18"/>
              </w:rPr>
              <w:t>6%成長は安定だが加速感なし。テンバガーは狙えない業種</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ROE取得失敗（未確認）</w:t>
            </w:r>
          </w:p>
        </w:tc>
        <w:tc>
          <w:tcPr>
            <w:tcW w:type="dxa" w:w="1881"/>
            <w:shd w:val="clear" w:color="auto" w:fill="DDEBF7"/>
          </w:tcPr>
          <w:p>
            <w:r>
              <w:rPr>
                <w:rFonts w:ascii="Meiryo UI" w:hAnsi="Meiryo UI"/>
                <w:sz w:val="18"/>
              </w:rPr>
              <w:t>要手動確認</w:t>
            </w:r>
          </w:p>
        </w:tc>
        <w:tc>
          <w:tcPr>
            <w:tcW w:type="dxa" w:w="1881"/>
            <w:shd w:val="clear" w:color="auto" w:fill="DDEBF7"/>
          </w:tcPr>
          <w:p>
            <w:r>
              <w:rPr>
                <w:rFonts w:ascii="Meiryo UI" w:hAnsi="Meiryo UI"/>
                <w:sz w:val="18"/>
              </w:rPr>
              <w:t>データリスク</w:t>
            </w:r>
          </w:p>
        </w:tc>
        <w:tc>
          <w:tcPr>
            <w:tcW w:type="dxa" w:w="1881"/>
            <w:shd w:val="clear" w:color="auto" w:fill="DDEBF7"/>
          </w:tcPr>
          <w:p>
            <w:r>
              <w:rPr>
                <w:rFonts w:ascii="Meiryo UI" w:hAnsi="Meiryo UI"/>
                <w:sz w:val="18"/>
              </w:rPr>
              <w:t>ROEが低い場合は資本効率に問題。PBR3.23倍の正当性が揺らぐ</w:t>
            </w:r>
          </w:p>
        </w:tc>
      </w:tr>
      <w:tr>
        <w:tc>
          <w:tcPr>
            <w:tcW w:type="dxa" w:w="1881"/>
          </w:tcPr>
          <w:p>
            <w:r>
              <w:rPr>
                <w:rFonts w:ascii="Meiryo UI" w:hAnsi="Meiryo UI"/>
                <w:sz w:val="18"/>
              </w:rPr>
              <w:t>☠️ 毒</w:t>
            </w:r>
          </w:p>
        </w:tc>
        <w:tc>
          <w:tcPr>
            <w:tcW w:type="dxa" w:w="1881"/>
          </w:tcPr>
          <w:p>
            <w:r>
              <w:rPr>
                <w:rFonts w:ascii="Meiryo UI" w:hAnsi="Meiryo UI"/>
                <w:sz w:val="18"/>
              </w:rPr>
              <w:t>フロービジネス依存（永代供養墓は単発売上）</w:t>
            </w:r>
          </w:p>
        </w:tc>
        <w:tc>
          <w:tcPr>
            <w:tcW w:type="dxa" w:w="1881"/>
          </w:tcPr>
          <w:p>
            <w:r>
              <w:rPr>
                <w:rFonts w:ascii="Meiryo UI" w:hAnsi="Meiryo UI"/>
                <w:sz w:val="18"/>
              </w:rPr>
              <w:t>継続収益比率不明</w:t>
            </w:r>
          </w:p>
        </w:tc>
        <w:tc>
          <w:tcPr>
            <w:tcW w:type="dxa" w:w="1881"/>
          </w:tcPr>
          <w:p>
            <w:r>
              <w:rPr>
                <w:rFonts w:ascii="Meiryo UI" w:hAnsi="Meiryo UI"/>
                <w:sz w:val="18"/>
              </w:rPr>
              <w:t>構造的リスク</w:t>
            </w:r>
          </w:p>
        </w:tc>
        <w:tc>
          <w:tcPr>
            <w:tcW w:type="dxa" w:w="1881"/>
          </w:tcPr>
          <w:p>
            <w:r>
              <w:rPr>
                <w:rFonts w:ascii="Meiryo UI" w:hAnsi="Meiryo UI"/>
                <w:sz w:val="18"/>
              </w:rPr>
              <w:t>毎年新規契約を取り続けなければ売上が立たない。ストック型ではない</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小型株流動性リスク（時価総額推定¥17〜18B規模）</w:t>
            </w:r>
          </w:p>
        </w:tc>
        <w:tc>
          <w:tcPr>
            <w:tcW w:type="dxa" w:w="1881"/>
            <w:shd w:val="clear" w:color="auto" w:fill="DDEBF7"/>
          </w:tcPr>
          <w:p>
            <w:r>
              <w:rPr>
                <w:rFonts w:ascii="Meiryo UI" w:hAnsi="Meiryo UI"/>
                <w:sz w:val="18"/>
              </w:rPr>
              <w:t>日次出来高が薄い可能性</w:t>
            </w:r>
          </w:p>
        </w:tc>
        <w:tc>
          <w:tcPr>
            <w:tcW w:type="dxa" w:w="1881"/>
            <w:shd w:val="clear" w:color="auto" w:fill="DDEBF7"/>
          </w:tcPr>
          <w:p>
            <w:r>
              <w:rPr>
                <w:rFonts w:ascii="Meiryo UI" w:hAnsi="Meiryo UI"/>
                <w:sz w:val="18"/>
              </w:rPr>
              <w:t>市場構造リスク</w:t>
            </w:r>
          </w:p>
        </w:tc>
        <w:tc>
          <w:tcPr>
            <w:tcW w:type="dxa" w:w="1881"/>
            <w:shd w:val="clear" w:color="auto" w:fill="DDEBF7"/>
          </w:tcPr>
          <w:p>
            <w:r>
              <w:rPr>
                <w:rFonts w:ascii="Meiryo UI" w:hAnsi="Meiryo UI"/>
                <w:sz w:val="18"/>
              </w:rPr>
              <w:t>大口では一気に買えない。分散エントリー必須</w:t>
            </w:r>
          </w:p>
        </w:tc>
      </w:tr>
    </w:tbl>
    <w:p/>
    <w:p>
      <w:r>
        <w:rPr>
          <w:rFonts w:ascii="Meiryo UI" w:hAnsi="Meiryo UI"/>
          <w:sz w:val="20"/>
        </w:rPr>
        <w:t>⚠️ 財務指標要確認: ROEは取得失敗。以下は利用可能データからの推計値。</w:t>
      </w:r>
    </w:p>
    <w:p/>
    <w:p>
      <w:r>
        <w:rPr>
          <w:rFonts w:ascii="Meiryo UI" w:hAnsi="Meiryo UI"/>
          <w:sz w:val="20"/>
        </w:rPr>
        <w:t>実力ベース純利益・EPSの確認（公表値ベース）:</w:t>
      </w:r>
    </w:p>
    <w:p>
      <w:pPr>
        <w:pStyle w:val="ListBullet"/>
      </w:pPr>
      <w:r>
        <w:rPr>
          <w:rFonts w:ascii="Meiryo UI" w:hAnsi="Meiryo UI"/>
          <w:sz w:val="20"/>
        </w:rPr>
        <w:t>通期純利益予想: ¥569M</w:t>
      </w:r>
    </w:p>
    <w:p>
      <w:pPr>
        <w:pStyle w:val="ListBullet"/>
      </w:pPr>
      <w:r>
        <w:rPr>
          <w:rFonts w:ascii="Meiryo UI" w:hAnsi="Meiryo UI"/>
          <w:sz w:val="20"/>
        </w:rPr>
        <w:t>発行済株数（BPS¥739・PBR3.23倍・現在株価¥2,386から逆算）:</w:t>
      </w:r>
    </w:p>
    <w:p>
      <w:pPr>
        <w:pStyle w:val="ListBullet"/>
      </w:pPr>
      <w:r>
        <w:rPr>
          <w:rFonts w:ascii="Meiryo UI" w:hAnsi="Meiryo UI"/>
          <w:sz w:val="20"/>
        </w:rPr>
        <w:t>PBR = 株価 ÷ BPS → 3.23 = ¥2,386 ÷ ¥739 ✅（一致確認）</w:t>
      </w:r>
    </w:p>
    <w:p>
      <w:pPr>
        <w:pStyle w:val="ListBullet"/>
      </w:pPr>
      <w:r>
        <w:rPr>
          <w:rFonts w:ascii="Meiryo UI" w:hAnsi="Meiryo UI"/>
          <w:sz w:val="20"/>
        </w:rPr>
        <w:t>発行済株数 = EPS¥111から: 純利益÷EPS = ¥569M ÷ ¥111 ≒ 約512万株</w:t>
      </w:r>
    </w:p>
    <w:p>
      <w:pPr>
        <w:pStyle w:val="ListBullet"/>
      </w:pPr>
      <w:r>
        <w:rPr>
          <w:rFonts w:ascii="Meiryo UI" w:hAnsi="Meiryo UI"/>
          <w:sz w:val="20"/>
        </w:rPr>
        <w:t>報告EPS: ¥111</w:t>
      </w:r>
    </w:p>
    <w:p>
      <w:pPr>
        <w:pStyle w:val="ListBullet"/>
      </w:pPr>
      <w:r>
        <w:rPr>
          <w:rFonts w:ascii="Meiryo UI" w:hAnsi="Meiryo UI"/>
          <w:sz w:val="20"/>
        </w:rPr>
        <w:t>一過性要因の開示なし → 実力EPS = ¥111（報告値と同値）</w:t>
      </w:r>
    </w:p>
    <w:p>
      <w:pPr>
        <w:pStyle w:val="ListBullet"/>
      </w:pPr>
      <w:r>
        <w:rPr>
          <w:rFonts w:ascii="Meiryo UI" w:hAnsi="Meiryo UI"/>
          <w:sz w:val="20"/>
        </w:rPr>
        <w:t>ROE推計（取得失敗のため参考計算）: EPS ¥111 ÷ BPS ¥739 ≒ 約15.0%（参考値・要公式確認）</w:t>
      </w:r>
    </w:p>
    <w:p/>
    <w:p>
      <w:r>
        <w:rPr>
          <w:rFonts w:ascii="Meiryo UI" w:hAnsi="Meiryo UI"/>
          <w:sz w:val="20"/>
        </w:rPr>
        <w:t>&gt; ⚠️ ROEは公式未取得のため「財務指標要確認」。上記は参考計算値であり独自推計。公式確認を強く推奨。</w:t>
      </w:r>
    </w:p>
    <w:p/>
    <w:p>
      <w:r>
        <w:t>──────────────────────────────────────────────────</w:t>
      </w:r>
    </w:p>
    <w:p/>
    <w:p>
      <w:pPr>
        <w:pStyle w:val="Heading3"/>
      </w:pPr>
      <w:r>
        <w:rPr>
          <w:rFonts w:ascii="Meiryo UI" w:hAnsi="Meiryo UI"/>
          <w:color w:val="2E74B5"/>
        </w:rPr>
        <w:t>0-B. 直近四半期（QonQ）変調分析</w:t>
      </w:r>
    </w:p>
    <w:p/>
    <w:p>
      <w:r>
        <w:rPr>
          <w:rFonts w:ascii="Meiryo UI" w:hAnsi="Meiryo UI"/>
          <w:sz w:val="20"/>
        </w:rPr>
        <w:t>&gt; ⚠️ 四半期別単独開示の制約: 369A（エータイ）は2026年8月期を通じた中間決算（H1累計値）を開示。単独Q2値は推定を含む。H1累計/前年H1比較を主軸とし、可能な範囲でQonQ推計を実施。</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1Q推計（H1の前半）</w:t>
            </w:r>
          </w:p>
        </w:tc>
        <w:tc>
          <w:tcPr>
            <w:tcW w:type="dxa" w:w="1881"/>
            <w:shd w:val="clear" w:color="auto" w:fill="2E74B5"/>
          </w:tcPr>
          <w:p>
            <w:r>
              <w:rPr>
                <w:rFonts w:ascii="Meiryo UI" w:hAnsi="Meiryo UI"/>
                <w:b/>
                <w:color w:val="FFFFFF"/>
                <w:sz w:val="18"/>
              </w:rPr>
              <w:t>2Q推計（H1の後半）</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売上高（H1累計推計）</w:t>
            </w:r>
          </w:p>
        </w:tc>
        <w:tc>
          <w:tcPr>
            <w:tcW w:type="dxa" w:w="1881"/>
          </w:tcPr>
          <w:p>
            <w:r>
              <w:rPr>
                <w:rFonts w:ascii="Meiryo UI" w:hAnsi="Meiryo UI"/>
                <w:sz w:val="18"/>
              </w:rPr>
              <w:t>~¥800M</w:t>
            </w:r>
          </w:p>
        </w:tc>
        <w:tc>
          <w:tcPr>
            <w:tcW w:type="dxa" w:w="1881"/>
          </w:tcPr>
          <w:p>
            <w:r>
              <w:rPr>
                <w:rFonts w:ascii="Meiryo UI" w:hAnsi="Meiryo UI"/>
                <w:sz w:val="18"/>
              </w:rPr>
              <w:t>~¥800M</w:t>
            </w:r>
          </w:p>
        </w:tc>
        <w:tc>
          <w:tcPr>
            <w:tcW w:type="dxa" w:w="1881"/>
          </w:tcPr>
          <w:p>
            <w:r>
              <w:rPr>
                <w:rFonts w:ascii="Meiryo UI" w:hAnsi="Meiryo UI"/>
                <w:sz w:val="18"/>
              </w:rPr>
              <w:t>横ばい（H1=¥1,600M前後推計）</w:t>
            </w:r>
          </w:p>
        </w:tc>
        <w:tc>
          <w:tcPr>
            <w:tcW w:type="dxa" w:w="1881"/>
          </w:tcPr>
          <w:p>
            <w:r>
              <w:rPr>
                <w:rFonts w:ascii="Meiryo UI" w:hAnsi="Meiryo UI"/>
                <w:sz w:val="18"/>
              </w:rPr>
              <w:t>季節性（春の法要・彼岸需要）が1Qに偏る可能性</w:t>
            </w:r>
          </w:p>
        </w:tc>
      </w:tr>
      <w:tr>
        <w:tc>
          <w:tcPr>
            <w:tcW w:type="dxa" w:w="1881"/>
            <w:shd w:val="clear" w:color="auto" w:fill="DDEBF7"/>
          </w:tcPr>
          <w:p>
            <w:r>
              <w:rPr>
                <w:rFonts w:ascii="Meiryo UI" w:hAnsi="Meiryo UI"/>
                <w:sz w:val="18"/>
              </w:rPr>
              <w:t>経常利益（H1）</w:t>
            </w:r>
          </w:p>
        </w:tc>
        <w:tc>
          <w:tcPr>
            <w:tcW w:type="dxa" w:w="1881"/>
            <w:shd w:val="clear" w:color="auto" w:fill="DDEBF7"/>
          </w:tcPr>
          <w:p>
            <w:r>
              <w:rPr>
                <w:rFonts w:ascii="Meiryo UI" w:hAnsi="Meiryo UI"/>
                <w:sz w:val="18"/>
              </w:rPr>
              <w:t>H1累計¥438M（前年¥413M）</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+6.1% YoY</w:t>
            </w:r>
          </w:p>
        </w:tc>
        <w:tc>
          <w:tcPr>
            <w:tcW w:type="dxa" w:w="1881"/>
            <w:shd w:val="clear" w:color="auto" w:fill="DDEBF7"/>
          </w:tcPr>
          <w:p>
            <w:r>
              <w:rPr>
                <w:rFonts w:ascii="Meiryo UI" w:hAnsi="Meiryo UI"/>
                <w:sz w:val="18"/>
              </w:rPr>
              <w:t>構造的（高齢化需要の底堅さ）</w:t>
            </w:r>
          </w:p>
        </w:tc>
      </w:tr>
      <w:tr>
        <w:tc>
          <w:tcPr>
            <w:tcW w:type="dxa" w:w="1881"/>
          </w:tcPr>
          <w:p>
            <w:r>
              <w:rPr>
                <w:rFonts w:ascii="Meiryo UI" w:hAnsi="Meiryo UI"/>
                <w:sz w:val="18"/>
              </w:rPr>
              <w:t>営業利益率（通期予想ベース）</w:t>
            </w:r>
          </w:p>
        </w:tc>
        <w:tc>
          <w:tcPr>
            <w:tcW w:type="dxa" w:w="1881"/>
          </w:tcPr>
          <w:p>
            <w:r>
              <w:rPr>
                <w:rFonts w:ascii="Meiryo UI" w:hAnsi="Meiryo UI"/>
                <w:sz w:val="18"/>
              </w:rPr>
              <w:t>~25%（通期¥859M÷¥3,415M）</w:t>
            </w:r>
          </w:p>
        </w:tc>
        <w:tc>
          <w:tcPr>
            <w:tcW w:type="dxa" w:w="1881"/>
          </w:tcPr>
          <w:p>
            <w:r>
              <w:rPr>
                <w:rFonts w:ascii="Meiryo UI" w:hAnsi="Meiryo UI"/>
                <w:sz w:val="18"/>
              </w:rPr>
              <w:t>上期は費用先行の可能性</w:t>
            </w:r>
          </w:p>
        </w:tc>
        <w:tc>
          <w:tcPr>
            <w:tcW w:type="dxa" w:w="1881"/>
          </w:tcPr>
          <w:p>
            <w:r>
              <w:rPr>
                <w:rFonts w:ascii="Meiryo UI" w:hAnsi="Meiryo UI"/>
                <w:sz w:val="18"/>
              </w:rPr>
              <w:t>下期拡大期待</w:t>
            </w:r>
          </w:p>
        </w:tc>
        <w:tc>
          <w:tcPr>
            <w:tcW w:type="dxa" w:w="1881"/>
          </w:tcPr>
          <w:p>
            <w:r>
              <w:rPr>
                <w:rFonts w:ascii="Meiryo UI" w:hAnsi="Meiryo UI"/>
                <w:sz w:val="18"/>
              </w:rPr>
              <w:t>構造的（固定費消化で下期利益率向上）</w:t>
            </w:r>
          </w:p>
        </w:tc>
      </w:tr>
      <w:tr>
        <w:tc>
          <w:tcPr>
            <w:tcW w:type="dxa" w:w="1881"/>
            <w:shd w:val="clear" w:color="auto" w:fill="DDEBF7"/>
          </w:tcPr>
          <w:p>
            <w:r>
              <w:rPr>
                <w:rFonts w:ascii="Meiryo UI" w:hAnsi="Meiryo UI"/>
                <w:sz w:val="18"/>
              </w:rPr>
              <w:t>通期進捗率（経常利益）</w:t>
            </w:r>
          </w:p>
        </w:tc>
        <w:tc>
          <w:tcPr>
            <w:tcW w:type="dxa" w:w="1881"/>
            <w:shd w:val="clear" w:color="auto" w:fill="DDEBF7"/>
          </w:tcPr>
          <w:p>
            <w:r>
              <w:rPr>
                <w:rFonts w:ascii="Meiryo UI" w:hAnsi="Meiryo UI"/>
                <w:sz w:val="18"/>
              </w:rPr>
              <w:t>H1終了時点51.2%</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目標¥856M対比</w:t>
            </w:r>
          </w:p>
        </w:tc>
        <w:tc>
          <w:tcPr>
            <w:tcW w:type="dxa" w:w="1881"/>
            <w:shd w:val="clear" w:color="auto" w:fill="DDEBF7"/>
          </w:tcPr>
          <w:p>
            <w:r>
              <w:rPr>
                <w:rFonts w:ascii="Meiryo UI" w:hAnsi="Meiryo UI"/>
                <w:sz w:val="18"/>
              </w:rPr>
              <w:t>順調（前年同期比改善）</w:t>
            </w:r>
          </w:p>
        </w:tc>
      </w:tr>
      <w:tr>
        <w:tc>
          <w:tcPr>
            <w:tcW w:type="dxa" w:w="1881"/>
          </w:tcPr>
          <w:p>
            <w:r>
              <w:rPr>
                <w:rFonts w:ascii="Meiryo UI" w:hAnsi="Meiryo UI"/>
                <w:sz w:val="18"/>
              </w:rPr>
              <w:t>顧客構成比変化</w:t>
            </w:r>
          </w:p>
        </w:tc>
        <w:tc>
          <w:tcPr>
            <w:tcW w:type="dxa" w:w="1881"/>
          </w:tcPr>
          <w:p>
            <w:r>
              <w:rPr>
                <w:rFonts w:ascii="Meiryo UI" w:hAnsi="Meiryo UI"/>
                <w:sz w:val="18"/>
              </w:rPr>
              <w:t>情報非公開</w:t>
            </w:r>
          </w:p>
        </w:tc>
        <w:tc>
          <w:tcPr>
            <w:tcW w:type="dxa" w:w="1881"/>
          </w:tcPr>
          <w:p>
            <w:r>
              <w:rPr>
                <w:rFonts w:ascii="Meiryo UI" w:hAnsi="Meiryo UI"/>
                <w:sz w:val="18"/>
              </w:rPr>
              <w:t>情報非公開</w:t>
            </w:r>
          </w:p>
        </w:tc>
        <w:tc>
          <w:tcPr>
            <w:tcW w:type="dxa" w:w="1881"/>
          </w:tcPr>
          <w:p>
            <w:r>
              <w:rPr>
                <w:rFonts w:ascii="Meiryo UI" w:hAnsi="Meiryo UI"/>
                <w:sz w:val="18"/>
              </w:rPr>
              <w:t>要確認</w:t>
            </w:r>
          </w:p>
        </w:tc>
        <w:tc>
          <w:tcPr>
            <w:tcW w:type="dxa" w:w="1881"/>
          </w:tcPr>
          <w:p>
            <w:r>
              <w:rPr>
                <w:rFonts w:ascii="Meiryo UI" w:hAnsi="Meiryo UI"/>
                <w:sz w:val="18"/>
              </w:rPr>
              <w:t>寺院コンサル vs 永代供養墓 比率変化に注目</w:t>
            </w:r>
          </w:p>
        </w:tc>
      </w:tr>
      <w:tr>
        <w:tc>
          <w:tcPr>
            <w:tcW w:type="dxa" w:w="1881"/>
            <w:shd w:val="clear" w:color="auto" w:fill="DDEBF7"/>
          </w:tcPr>
          <w:p>
            <w:r>
              <w:rPr>
                <w:rFonts w:ascii="Meiryo UI" w:hAnsi="Meiryo UI"/>
                <w:sz w:val="18"/>
              </w:rPr>
              <w:t>受注残高消化スピード</w:t>
            </w:r>
          </w:p>
        </w:tc>
        <w:tc>
          <w:tcPr>
            <w:tcW w:type="dxa" w:w="1881"/>
            <w:shd w:val="clear" w:color="auto" w:fill="DDEBF7"/>
          </w:tcPr>
          <w:p>
            <w:r>
              <w:rPr>
                <w:rFonts w:ascii="Meiryo UI" w:hAnsi="Meiryo UI"/>
                <w:sz w:val="18"/>
              </w:rPr>
              <w:t>非開示</w:t>
            </w:r>
          </w:p>
        </w:tc>
        <w:tc>
          <w:tcPr>
            <w:tcW w:type="dxa" w:w="1881"/>
            <w:shd w:val="clear" w:color="auto" w:fill="DDEBF7"/>
          </w:tcPr>
          <w:p>
            <w:r>
              <w:rPr>
                <w:rFonts w:ascii="Meiryo UI" w:hAnsi="Meiryo UI"/>
                <w:sz w:val="18"/>
              </w:rPr>
              <w:t>非開示</w:t>
            </w:r>
          </w:p>
        </w:tc>
        <w:tc>
          <w:tcPr>
            <w:tcW w:type="dxa" w:w="1881"/>
            <w:shd w:val="clear" w:color="auto" w:fill="DDEBF7"/>
          </w:tcPr>
          <w:p>
            <w:r>
              <w:rPr>
                <w:rFonts w:ascii="Meiryo UI" w:hAnsi="Meiryo UI"/>
                <w:sz w:val="18"/>
              </w:rPr>
              <w:t>要確認</w:t>
            </w:r>
          </w:p>
        </w:tc>
        <w:tc>
          <w:tcPr>
            <w:tcW w:type="dxa" w:w="1881"/>
            <w:shd w:val="clear" w:color="auto" w:fill="DDEBF7"/>
          </w:tcPr>
          <w:p>
            <w:r>
              <w:rPr>
                <w:rFonts w:ascii="Meiryo UI" w:hAnsi="Meiryo UI"/>
                <w:sz w:val="18"/>
              </w:rPr>
              <w:t>季節性あり（春・秋の彼岸・お盆周辺が繁忙期）</w:t>
            </w:r>
          </w:p>
        </w:tc>
      </w:tr>
      <w:tr>
        <w:tc>
          <w:tcPr>
            <w:tcW w:type="dxa" w:w="1881"/>
          </w:tcPr>
          <w:p>
            <w:r>
              <w:rPr>
                <w:rFonts w:ascii="Meiryo UI" w:hAnsi="Meiryo UI"/>
                <w:sz w:val="18"/>
              </w:rPr>
              <w:t>特記事項</w:t>
            </w:r>
          </w:p>
        </w:tc>
        <w:tc>
          <w:tcPr>
            <w:tcW w:type="dxa" w:w="1881"/>
          </w:tcPr>
          <w:p>
            <w:r>
              <w:rPr>
                <w:rFonts w:ascii="Meiryo UI" w:hAnsi="Meiryo UI"/>
                <w:sz w:val="18"/>
              </w:rPr>
              <w:t>2026年2月発表の中間決算</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下期（3-8月）で進捗加速なら通期上振れ射程</w:t>
            </w:r>
          </w:p>
        </w:tc>
      </w:tr>
    </w:tbl>
    <w:p/>
    <w:p>
      <w:r>
        <w:rPr>
          <w:rFonts w:ascii="Meiryo UI" w:hAnsi="Meiryo UI"/>
          <w:sz w:val="20"/>
        </w:rPr>
        <w:t>QonQ総括: H1で51.2%消化は「やや強め」。エータイのビジネスモデルは春（3月彼岸）・秋（9月彼岸）・お盆（8月）周辺に契約が集中しやすく、下期（3Q:3-5月、4Q:6-8月）にも繁忙期が来ることを考えると、通期予想達成の確度は高いと判断。</w:t>
      </w:r>
    </w:p>
    <w:p/>
    <w:p>
      <w:r>
        <w:t>──────────────────────────────────────────────────</w:t>
      </w:r>
    </w:p>
    <w:p/>
    <w:p>
      <w:pPr>
        <w:pStyle w:val="Heading2"/>
      </w:pPr>
      <w:r>
        <w:rPr>
          <w:rFonts w:ascii="Meiryo UI" w:hAnsi="Meiryo UI"/>
          <w:color w:val="2E74B5"/>
        </w:rPr>
        <w:t>セクション1：企業概要・事業分析</w:t>
      </w:r>
    </w:p>
    <w:p/>
    <w:p>
      <w:pPr>
        <w:pStyle w:val="Heading3"/>
      </w:pPr>
      <w:r>
        <w:rPr>
          <w:rFonts w:ascii="Meiryo UI" w:hAnsi="Meiryo UI"/>
          <w:color w:val="2E74B5"/>
        </w:rPr>
        <w:t>1-1. 企業プロファイル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w:t>
            </w:r>
          </w:p>
        </w:tc>
        <w:tc>
          <w:tcPr>
            <w:tcW w:type="dxa" w:w="4703"/>
          </w:tcPr>
          <w:p>
            <w:r>
              <w:rPr>
                <w:rFonts w:ascii="Meiryo UI" w:hAnsi="Meiryo UI"/>
                <w:sz w:val="18"/>
              </w:rPr>
              <w:t>エータイ（369A・東証グロース）</w:t>
            </w:r>
          </w:p>
        </w:tc>
      </w:tr>
      <w:tr>
        <w:tc>
          <w:tcPr>
            <w:tcW w:type="dxa" w:w="4703"/>
            <w:shd w:val="clear" w:color="auto" w:fill="DDEBF7"/>
          </w:tcPr>
          <w:p>
            <w:r>
              <w:rPr>
                <w:rFonts w:ascii="Meiryo UI" w:hAnsi="Meiryo UI"/>
                <w:sz w:val="18"/>
              </w:rPr>
              <w:t>設立・上場</w:t>
            </w:r>
          </w:p>
        </w:tc>
        <w:tc>
          <w:tcPr>
            <w:tcW w:type="dxa" w:w="4703"/>
            <w:shd w:val="clear" w:color="auto" w:fill="DDEBF7"/>
          </w:tcPr>
          <w:p>
            <w:r>
              <w:rPr>
                <w:rFonts w:ascii="Meiryo UI" w:hAnsi="Meiryo UI"/>
                <w:sz w:val="18"/>
              </w:rPr>
              <w:t>近年東証グロース上場（詳細要確認）</w:t>
            </w:r>
          </w:p>
        </w:tc>
      </w:tr>
      <w:tr>
        <w:tc>
          <w:tcPr>
            <w:tcW w:type="dxa" w:w="4703"/>
          </w:tcPr>
          <w:p>
            <w:r>
              <w:rPr>
                <w:rFonts w:ascii="Meiryo UI" w:hAnsi="Meiryo UI"/>
                <w:sz w:val="18"/>
              </w:rPr>
              <w:t>事業ドメイン</w:t>
            </w:r>
          </w:p>
        </w:tc>
        <w:tc>
          <w:tcPr>
            <w:tcW w:type="dxa" w:w="4703"/>
          </w:tcPr>
          <w:p>
            <w:r>
              <w:rPr>
                <w:rFonts w:ascii="Meiryo UI" w:hAnsi="Meiryo UI"/>
                <w:sz w:val="18"/>
              </w:rPr>
              <w:t>永代供養墓の販売仲介・寺院コンサルティング</w:t>
            </w:r>
          </w:p>
        </w:tc>
      </w:tr>
      <w:tr>
        <w:tc>
          <w:tcPr>
            <w:tcW w:type="dxa" w:w="4703"/>
            <w:shd w:val="clear" w:color="auto" w:fill="DDEBF7"/>
          </w:tcPr>
          <w:p>
            <w:r>
              <w:rPr>
                <w:rFonts w:ascii="Meiryo UI" w:hAnsi="Meiryo UI"/>
                <w:sz w:val="18"/>
              </w:rPr>
              <w:t>主要顧客</w:t>
            </w:r>
          </w:p>
        </w:tc>
        <w:tc>
          <w:tcPr>
            <w:tcW w:type="dxa" w:w="4703"/>
            <w:shd w:val="clear" w:color="auto" w:fill="DDEBF7"/>
          </w:tcPr>
          <w:p>
            <w:r>
              <w:rPr>
                <w:rFonts w:ascii="Meiryo UI" w:hAnsi="Meiryo UI"/>
                <w:sz w:val="18"/>
              </w:rPr>
              <w:t>①お墓・供養を検討する個人消費者（終活層）②収益改善を目指す寺院・霊園</w:t>
            </w:r>
          </w:p>
        </w:tc>
      </w:tr>
      <w:tr>
        <w:tc>
          <w:tcPr>
            <w:tcW w:type="dxa" w:w="4703"/>
          </w:tcPr>
          <w:p>
            <w:r>
              <w:rPr>
                <w:rFonts w:ascii="Meiryo UI" w:hAnsi="Meiryo UI"/>
                <w:sz w:val="18"/>
              </w:rPr>
              <w:t>ビジネスモデル</w:t>
            </w:r>
          </w:p>
        </w:tc>
        <w:tc>
          <w:tcPr>
            <w:tcW w:type="dxa" w:w="4703"/>
          </w:tcPr>
          <w:p>
            <w:r>
              <w:rPr>
                <w:rFonts w:ascii="Meiryo UI" w:hAnsi="Meiryo UI"/>
                <w:sz w:val="18"/>
              </w:rPr>
              <w:t>BtoC（永代供養墓紹介・販売仲介手数料）+ BtoB（寺院への経営コンサル料・運営支援）</w:t>
            </w:r>
          </w:p>
        </w:tc>
      </w:tr>
      <w:tr>
        <w:tc>
          <w:tcPr>
            <w:tcW w:type="dxa" w:w="4703"/>
            <w:shd w:val="clear" w:color="auto" w:fill="DDEBF7"/>
          </w:tcPr>
          <w:p>
            <w:r>
              <w:rPr>
                <w:rFonts w:ascii="Meiryo UI" w:hAnsi="Meiryo UI"/>
                <w:sz w:val="18"/>
              </w:rPr>
              <w:t>市場規模背景</w:t>
            </w:r>
          </w:p>
        </w:tc>
        <w:tc>
          <w:tcPr>
            <w:tcW w:type="dxa" w:w="4703"/>
            <w:shd w:val="clear" w:color="auto" w:fill="DDEBF7"/>
          </w:tcPr>
          <w:p>
            <w:r>
              <w:rPr>
                <w:rFonts w:ascii="Meiryo UI" w:hAnsi="Meiryo UI"/>
                <w:sz w:val="18"/>
              </w:rPr>
              <w:t>日本の高齢化率29%超・死亡数年160万人規模・永代供養市場拡大継続中</w:t>
            </w:r>
          </w:p>
        </w:tc>
      </w:tr>
    </w:tbl>
    <w:p/>
    <w:p>
      <w:pPr>
        <w:pStyle w:val="Heading3"/>
      </w:pPr>
      <w:r>
        <w:rPr>
          <w:rFonts w:ascii="Meiryo UI" w:hAnsi="Meiryo UI"/>
          <w:color w:val="2E74B5"/>
        </w:rPr>
        <w:t>1-2. 事業セグメント分析</w:t>
      </w:r>
    </w:p>
    <w:p/>
    <w:p>
      <w:r>
        <w:rPr>
          <w:rFonts w:ascii="Meiryo UI" w:hAnsi="Meiryo UI"/>
          <w:sz w:val="20"/>
        </w:rPr>
        <w:t>① 永代供養墓事業（推定メイン収益源）</w:t>
      </w:r>
    </w:p>
    <w:p>
      <w:pPr>
        <w:pStyle w:val="ListBullet"/>
      </w:pPr>
      <w:r>
        <w:rPr>
          <w:rFonts w:ascii="Meiryo UI" w:hAnsi="Meiryo UI"/>
          <w:sz w:val="20"/>
        </w:rPr>
        <w:t>少子化・核家族化により「お墓の管理者がいない」問題が深刻化</w:t>
      </w:r>
    </w:p>
    <w:p>
      <w:pPr>
        <w:pStyle w:val="ListBullet"/>
      </w:pPr>
      <w:r>
        <w:rPr>
          <w:rFonts w:ascii="Meiryo UI" w:hAnsi="Meiryo UI"/>
          <w:sz w:val="20"/>
        </w:rPr>
        <w:t>永代供養墓は寺院が永続管理するため後継者不要→構造的・不可逆的需要</w:t>
      </w:r>
    </w:p>
    <w:p>
      <w:pPr>
        <w:pStyle w:val="ListBullet"/>
      </w:pPr>
      <w:r>
        <w:rPr>
          <w:rFonts w:ascii="Meiryo UI" w:hAnsi="Meiryo UI"/>
          <w:sz w:val="20"/>
        </w:rPr>
        <w:t>エータイは寺院と消費者をマッチングするプラットフォーム型</w:t>
      </w:r>
    </w:p>
    <w:p>
      <w:pPr>
        <w:pStyle w:val="ListBullet"/>
      </w:pPr>
      <w:r>
        <w:rPr>
          <w:rFonts w:ascii="Meiryo UI" w:hAnsi="Meiryo UI"/>
          <w:sz w:val="20"/>
        </w:rPr>
        <w:t>単価: 数十万〜数百万円/件（霊園・立地・タイプにより幅大）</w:t>
      </w:r>
    </w:p>
    <w:p/>
    <w:p>
      <w:r>
        <w:rPr>
          <w:rFonts w:ascii="Meiryo UI" w:hAnsi="Meiryo UI"/>
          <w:sz w:val="20"/>
        </w:rPr>
        <w:t>② 寺院コンサルティング事業（高付加価値・高収益）</w:t>
      </w:r>
    </w:p>
    <w:p>
      <w:pPr>
        <w:pStyle w:val="ListBullet"/>
      </w:pPr>
      <w:r>
        <w:rPr>
          <w:rFonts w:ascii="Meiryo UI" w:hAnsi="Meiryo UI"/>
          <w:sz w:val="20"/>
        </w:rPr>
        <w:t>寺院の収益多様化（永代供養墓新設、檀家減少対策、デジタル化）を支援</w:t>
      </w:r>
    </w:p>
    <w:p>
      <w:pPr>
        <w:pStyle w:val="ListBullet"/>
      </w:pPr>
      <w:r>
        <w:rPr>
          <w:rFonts w:ascii="Meiryo UI" w:hAnsi="Meiryo UI"/>
          <w:sz w:val="20"/>
        </w:rPr>
        <w:t>リピート性・継続契約の可能性あり（ただし要確認）</w:t>
      </w:r>
    </w:p>
    <w:p>
      <w:pPr>
        <w:pStyle w:val="ListBullet"/>
      </w:pPr>
      <w:r>
        <w:rPr>
          <w:rFonts w:ascii="Meiryo UI" w:hAnsi="Meiryo UI"/>
          <w:sz w:val="20"/>
        </w:rPr>
        <w:t>競合参入障壁: 寺院は保守的。信頼関係構築に数年〜十数年を要する</w:t>
      </w:r>
    </w:p>
    <w:p/>
    <w:p>
      <w:pPr>
        <w:pStyle w:val="Heading3"/>
      </w:pPr>
      <w:r>
        <w:rPr>
          <w:rFonts w:ascii="Meiryo UI" w:hAnsi="Meiryo UI"/>
          <w:color w:val="2E74B5"/>
        </w:rPr>
        <w:t>1-3. 競合優位性（モート分析）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競合優位性</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ブランド・信頼性</w:t>
            </w:r>
          </w:p>
        </w:tc>
        <w:tc>
          <w:tcPr>
            <w:tcW w:type="dxa" w:w="3135"/>
          </w:tcPr>
          <w:p>
            <w:r>
              <w:rPr>
                <w:rFonts w:ascii="Meiryo UI" w:hAnsi="Meiryo UI"/>
                <w:sz w:val="18"/>
              </w:rPr>
              <w:t>★★★★☆</w:t>
            </w:r>
          </w:p>
        </w:tc>
        <w:tc>
          <w:tcPr>
            <w:tcW w:type="dxa" w:w="3135"/>
          </w:tcPr>
          <w:p>
            <w:r>
              <w:rPr>
                <w:rFonts w:ascii="Meiryo UI" w:hAnsi="Meiryo UI"/>
                <w:sz w:val="18"/>
              </w:rPr>
              <w:t>寺院との長期関係は簡単に複製できない</w:t>
            </w:r>
          </w:p>
        </w:tc>
      </w:tr>
      <w:tr>
        <w:tc>
          <w:tcPr>
            <w:tcW w:type="dxa" w:w="3135"/>
            <w:shd w:val="clear" w:color="auto" w:fill="DDEBF7"/>
          </w:tcPr>
          <w:p>
            <w:r>
              <w:rPr>
                <w:rFonts w:ascii="Meiryo UI" w:hAnsi="Meiryo UI"/>
                <w:sz w:val="18"/>
              </w:rPr>
              <w:t>ネットワーク効果</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提携寺院数が増えるほど消費者選択肢増→好循環</w:t>
            </w:r>
          </w:p>
        </w:tc>
      </w:tr>
      <w:tr>
        <w:tc>
          <w:tcPr>
            <w:tcW w:type="dxa" w:w="3135"/>
          </w:tcPr>
          <w:p>
            <w:r>
              <w:rPr>
                <w:rFonts w:ascii="Meiryo UI" w:hAnsi="Meiryo UI"/>
                <w:sz w:val="18"/>
              </w:rPr>
              <w:t>参入障壁</w:t>
            </w:r>
          </w:p>
        </w:tc>
        <w:tc>
          <w:tcPr>
            <w:tcW w:type="dxa" w:w="3135"/>
          </w:tcPr>
          <w:p>
            <w:r>
              <w:rPr>
                <w:rFonts w:ascii="Meiryo UI" w:hAnsi="Meiryo UI"/>
                <w:sz w:val="18"/>
              </w:rPr>
              <w:t>★★★★☆</w:t>
            </w:r>
          </w:p>
        </w:tc>
        <w:tc>
          <w:tcPr>
            <w:tcW w:type="dxa" w:w="3135"/>
          </w:tcPr>
          <w:p>
            <w:r>
              <w:rPr>
                <w:rFonts w:ascii="Meiryo UI" w:hAnsi="Meiryo UI"/>
                <w:sz w:val="18"/>
              </w:rPr>
              <w:t>宗教法人対応の専門知識・規制理解が必要</w:t>
            </w:r>
          </w:p>
        </w:tc>
      </w:tr>
      <w:tr>
        <w:tc>
          <w:tcPr>
            <w:tcW w:type="dxa" w:w="3135"/>
            <w:shd w:val="clear" w:color="auto" w:fill="DDEBF7"/>
          </w:tcPr>
          <w:p>
            <w:r>
              <w:rPr>
                <w:rFonts w:ascii="Meiryo UI" w:hAnsi="Meiryo UI"/>
                <w:sz w:val="18"/>
              </w:rPr>
              <w:t>スケーラビリティ</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人件費依存型（コンサル）→大規模拡張に限界</w:t>
            </w:r>
          </w:p>
        </w:tc>
      </w:tr>
      <w:tr>
        <w:tc>
          <w:tcPr>
            <w:tcW w:type="dxa" w:w="3135"/>
          </w:tcPr>
          <w:p>
            <w:r>
              <w:rPr>
                <w:rFonts w:ascii="Meiryo UI" w:hAnsi="Meiryo UI"/>
                <w:sz w:val="18"/>
              </w:rPr>
              <w:t>価格競争力</w:t>
            </w:r>
          </w:p>
        </w:tc>
        <w:tc>
          <w:tcPr>
            <w:tcW w:type="dxa" w:w="3135"/>
          </w:tcPr>
          <w:p>
            <w:r>
              <w:rPr>
                <w:rFonts w:ascii="Meiryo UI" w:hAnsi="Meiryo UI"/>
                <w:sz w:val="18"/>
              </w:rPr>
              <w:t>★★★☆☆</w:t>
            </w:r>
          </w:p>
        </w:tc>
        <w:tc>
          <w:tcPr>
            <w:tcW w:type="dxa" w:w="3135"/>
          </w:tcPr>
          <w:p>
            <w:r>
              <w:rPr>
                <w:rFonts w:ascii="Meiryo UI" w:hAnsi="Meiryo UI"/>
                <w:sz w:val="18"/>
              </w:rPr>
              <w:t>低価格競合台頭リスクあり（デジタル仲介業者）</w:t>
            </w:r>
          </w:p>
        </w:tc>
      </w:tr>
    </w:tbl>
    <w:p/>
    <w:p>
      <w:pPr>
        <w:pStyle w:val="Heading3"/>
      </w:pPr>
      <w:r>
        <w:rPr>
          <w:rFonts w:ascii="Meiryo UI" w:hAnsi="Meiryo UI"/>
          <w:color w:val="2E74B5"/>
        </w:rPr>
        <w:t>1-4. 直近カタリスト</w:t>
      </w:r>
    </w:p>
    <w:p/>
    <w:p>
      <w:pPr>
        <w:pStyle w:val="ListNumber"/>
      </w:pPr>
      <w:r>
        <w:rPr>
          <w:rFonts w:ascii="Meiryo UI" w:hAnsi="Meiryo UI"/>
          <w:sz w:val="20"/>
        </w:rPr>
        <w:t>2026-04-14 2Q中間決算発表: 経常利益¥438M（進捗51.2%・前年比+6.1%）→ 本レポートのトリガー</w:t>
      </w:r>
    </w:p>
    <w:p>
      <w:pPr>
        <w:pStyle w:val="ListNumber"/>
      </w:pPr>
      <w:r>
        <w:rPr>
          <w:rFonts w:ascii="Meiryo UI" w:hAnsi="Meiryo UI"/>
          <w:sz w:val="20"/>
        </w:rPr>
        <w:t>高齢化加速: 2025年以降、団塊世代（1947-1949年生まれ）の後期高齢者化ピーク到来</w:t>
      </w:r>
    </w:p>
    <w:p>
      <w:pPr>
        <w:pStyle w:val="ListNumber"/>
      </w:pPr>
      <w:r>
        <w:rPr>
          <w:rFonts w:ascii="Meiryo UI" w:hAnsi="Meiryo UI"/>
          <w:sz w:val="20"/>
        </w:rPr>
        <w:t>終活市場の社会的認知向上: メディア露出・行政の終活支援強化で需要底上げ</w:t>
      </w:r>
    </w:p>
    <w:p>
      <w:pPr>
        <w:pStyle w:val="ListNumber"/>
      </w:pPr>
      <w:r>
        <w:rPr>
          <w:rFonts w:ascii="Meiryo UI" w:hAnsi="Meiryo UI"/>
          <w:sz w:val="20"/>
        </w:rPr>
        <w:t>寺院の経営改革ニーズ拡大: 檀家数減少による寺院収益悪化→コンサル需要拡大</w:t>
      </w:r>
    </w:p>
    <w:p/>
    <w:p>
      <w:r>
        <w:t>──────────────────────────────────────────────────</w:t>
      </w:r>
    </w:p>
    <w:p/>
    <w:p>
      <w:pPr>
        <w:pStyle w:val="Heading2"/>
      </w:pPr>
      <w:r>
        <w:rPr>
          <w:rFonts w:ascii="Meiryo UI" w:hAnsi="Meiryo UI"/>
          <w:color w:val="2E74B5"/>
        </w:rPr>
        <w:t>セクション2：社長指示の重点分析（優先度1）</w:t>
      </w:r>
    </w:p>
    <w:p/>
    <w:p>
      <w:r>
        <w:rPr>
          <w:rFonts w:ascii="Meiryo UI" w:hAnsi="Meiryo UI"/>
          <w:sz w:val="20"/>
        </w:rPr>
        <w:t>&gt; 「今日の決算を反映してください。優先度1。買えるか判断せよ。」</w:t>
      </w:r>
    </w:p>
    <w:p/>
    <w:p>
      <w:pPr>
        <w:pStyle w:val="Heading3"/>
      </w:pPr>
      <w:r>
        <w:rPr>
          <w:rFonts w:ascii="Meiryo UI" w:hAnsi="Meiryo UI"/>
          <w:color w:val="2E74B5"/>
        </w:rPr>
        <w:t>2-1. 結論先行</w:t>
      </w:r>
    </w:p>
    <w:p/>
    <w:p>
      <w:r>
        <w:rPr>
          <w:rFonts w:ascii="Meiryo UI" w:hAnsi="Meiryo UI"/>
          <w:sz w:val="20"/>
        </w:rPr>
        <w:t>→ 買い（現時点エントリー推奨）。ただし小型株×流動性リスクを踏まえ分散エントリー。</w:t>
      </w:r>
    </w:p>
    <w:p/>
    <w:p>
      <w:pPr>
        <w:pStyle w:val="Heading3"/>
      </w:pPr>
      <w:r>
        <w:rPr>
          <w:rFonts w:ascii="Meiryo UI" w:hAnsi="Meiryo UI"/>
          <w:color w:val="2E74B5"/>
        </w:rPr>
        <w:t>2-2. 決算内容の質的評価</w:t>
      </w:r>
    </w:p>
    <w:p/>
    <w:p>
      <w:pPr>
        <w:pStyle w:val="Heading4"/>
      </w:pPr>
      <w:r>
        <w:rPr>
          <w:rFonts w:ascii="Meiryo UI" w:hAnsi="Meiryo UI"/>
          <w:color w:val="2E74B5"/>
        </w:rPr>
        <w:t>ポイント①: 進捗率51.2%（H1終了時点）</w:t>
      </w:r>
    </w:p>
    <w:p/>
    <w:p>
      <w:pPr>
        <w:shd w:val="clear" w:color="auto" w:fill="F2F2F2"/>
      </w:pPr>
      <w:r>
        <w:rPr>
          <w:rFonts w:ascii="Courier New" w:hAnsi="Courier New"/>
          <w:sz w:val="16"/>
        </w:rPr>
        <w:t>通期経常利益予想: ¥856M</w:t>
        <w:br/>
        <w:t>H1実績経常利益:   ¥438M</w:t>
        <w:br/>
        <w:t>進捗率:           51.2%  ← 上期で通期の"半分超え"を達成</w:t>
        <w:br/>
        <w:t>前年同期経常利益: ¥413M</w:t>
        <w:br/>
        <w:t>YoY成長率:        +6.1%</w:t>
      </w:r>
    </w:p>
    <w:p/>
    <w:p>
      <w:r>
        <w:rPr>
          <w:rFonts w:ascii="Meiryo UI" w:hAnsi="Meiryo UI"/>
          <w:sz w:val="20"/>
        </w:rPr>
        <w:t>評価: 「及第点以上・やや強め」</w:t>
      </w:r>
    </w:p>
    <w:p>
      <w:pPr>
        <w:pStyle w:val="ListBullet"/>
      </w:pPr>
      <w:r>
        <w:rPr>
          <w:rFonts w:ascii="Meiryo UI" w:hAnsi="Meiryo UI"/>
          <w:sz w:val="20"/>
        </w:rPr>
        <w:t>51%超の進捗率は通期達成の安心感を与える</w:t>
      </w:r>
    </w:p>
    <w:p>
      <w:pPr>
        <w:pStyle w:val="ListBullet"/>
      </w:pPr>
      <w:r>
        <w:rPr>
          <w:rFonts w:ascii="Meiryo UI" w:hAnsi="Meiryo UI"/>
          <w:sz w:val="20"/>
        </w:rPr>
        <w:t>前年比+6.1%は加速感こそないが、安定成長を証明</w:t>
      </w:r>
    </w:p>
    <w:p>
      <w:pPr>
        <w:pStyle w:val="ListBullet"/>
      </w:pPr>
      <w:r>
        <w:rPr>
          <w:rFonts w:ascii="Meiryo UI" w:hAnsi="Meiryo UI"/>
          <w:sz w:val="20"/>
        </w:rPr>
        <w:t>下期（8月期末）に向けてお盆・秋彼岸の繁忙期が控える→下期追加アップサイド期待</w:t>
      </w:r>
    </w:p>
    <w:p/>
    <w:p>
      <w:pPr>
        <w:pStyle w:val="Heading4"/>
      </w:pPr>
      <w:r>
        <w:rPr>
          <w:rFonts w:ascii="Meiryo UI" w:hAnsi="Meiryo UI"/>
          <w:color w:val="2E74B5"/>
        </w:rPr>
        <w:t>ポイント②: 通期予想（売上¥3,415M・営業利益¥859M・純利益¥569M）</w:t>
      </w:r>
    </w:p>
    <w:p/>
    <w:p>
      <w:pPr>
        <w:shd w:val="clear" w:color="auto" w:fill="F2F2F2"/>
      </w:pPr>
      <w:r>
        <w:rPr>
          <w:rFonts w:ascii="Courier New" w:hAnsi="Courier New"/>
          <w:sz w:val="16"/>
        </w:rPr>
        <w:t>通期営業利益率: ¥859M ÷ ¥3,415M = 25.1%  ← 超高収益</w:t>
        <w:br/>
        <w:t>通期純利益率:   ¥569M ÷ ¥3,415M = 16.7%</w:t>
        <w:br/>
        <w:t>PER（現在値）:  21.6倍（EPS¥111ベース）</w:t>
      </w:r>
    </w:p>
    <w:p/>
    <w:p>
      <w:r>
        <w:rPr>
          <w:rFonts w:ascii="Meiryo UI" w:hAnsi="Meiryo UI"/>
          <w:sz w:val="20"/>
        </w:rPr>
        <w:t>評価: 営業利益率25%は異常値に近い高収益性</w:t>
      </w:r>
    </w:p>
    <w:p>
      <w:pPr>
        <w:pStyle w:val="ListBullet"/>
      </w:pPr>
      <w:r>
        <w:rPr>
          <w:rFonts w:ascii="Meiryo UI" w:hAnsi="Meiryo UI"/>
          <w:sz w:val="20"/>
        </w:rPr>
        <w:t>仲介・コンサル業は固定資産少×人件費主体→高マージン構造</w:t>
      </w:r>
    </w:p>
    <w:p>
      <w:pPr>
        <w:pStyle w:val="ListBullet"/>
      </w:pPr>
      <w:r>
        <w:rPr>
          <w:rFonts w:ascii="Meiryo UI" w:hAnsi="Meiryo UI"/>
          <w:sz w:val="20"/>
        </w:rPr>
        <w:t>競合が増えると圧迫リスクあるが、現状は高水準維持</w:t>
      </w:r>
    </w:p>
    <w:p/>
    <w:p>
      <w:pPr>
        <w:pStyle w:val="Heading4"/>
      </w:pPr>
      <w:r>
        <w:rPr>
          <w:rFonts w:ascii="Meiryo UI" w:hAnsi="Meiryo UI"/>
          <w:color w:val="2E74B5"/>
        </w:rPr>
        <w:t>ポイント③: バリュエーション妥当性（現在株価¥2,386）</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現在値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PER</w:t>
            </w:r>
          </w:p>
        </w:tc>
        <w:tc>
          <w:tcPr>
            <w:tcW w:type="dxa" w:w="3135"/>
          </w:tcPr>
          <w:p>
            <w:r>
              <w:rPr>
                <w:rFonts w:ascii="Meiryo UI" w:hAnsi="Meiryo UI"/>
                <w:sz w:val="18"/>
              </w:rPr>
              <w:t>21.6倍</w:t>
            </w:r>
          </w:p>
        </w:tc>
        <w:tc>
          <w:tcPr>
            <w:tcW w:type="dxa" w:w="3135"/>
          </w:tcPr>
          <w:p>
            <w:r>
              <w:rPr>
                <w:rFonts w:ascii="Meiryo UI" w:hAnsi="Meiryo UI"/>
                <w:sz w:val="18"/>
              </w:rPr>
              <w:t>グロース株として適正〜やや割高ゾーン（成長率6%なら注意）</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3.23倍</w:t>
            </w:r>
          </w:p>
        </w:tc>
        <w:tc>
          <w:tcPr>
            <w:tcW w:type="dxa" w:w="3135"/>
            <w:shd w:val="clear" w:color="auto" w:fill="DDEBF7"/>
          </w:tcPr>
          <w:p>
            <w:r>
              <w:rPr>
                <w:rFonts w:ascii="Meiryo UI" w:hAnsi="Meiryo UI"/>
                <w:sz w:val="18"/>
              </w:rPr>
              <w:t>BPS¥739対比。ROE~15%なら正当化可能</w:t>
            </w:r>
          </w:p>
        </w:tc>
      </w:tr>
      <w:tr>
        <w:tc>
          <w:tcPr>
            <w:tcW w:type="dxa" w:w="3135"/>
          </w:tcPr>
          <w:p>
            <w:r>
              <w:rPr>
                <w:rFonts w:ascii="Meiryo UI" w:hAnsi="Meiryo UI"/>
                <w:sz w:val="18"/>
              </w:rPr>
              <w:t>配当利回り</w:t>
            </w:r>
          </w:p>
        </w:tc>
        <w:tc>
          <w:tcPr>
            <w:tcW w:type="dxa" w:w="3135"/>
          </w:tcPr>
          <w:p>
            <w:r>
              <w:rPr>
                <w:rFonts w:ascii="Meiryo UI" w:hAnsi="Meiryo UI"/>
                <w:sz w:val="18"/>
              </w:rPr>
              <w:t>非公開（要確認）</w:t>
            </w:r>
          </w:p>
        </w:tc>
        <w:tc>
          <w:tcPr>
            <w:tcW w:type="dxa" w:w="3135"/>
          </w:tcPr>
          <w:p>
            <w:r>
              <w:rPr>
                <w:rFonts w:ascii="Meiryo UI" w:hAnsi="Meiryo UI"/>
                <w:sz w:val="18"/>
              </w:rPr>
              <w:t>小型グロースは無配・低配当の可能性</w:t>
            </w:r>
          </w:p>
        </w:tc>
      </w:tr>
      <w:tr>
        <w:tc>
          <w:tcPr>
            <w:tcW w:type="dxa" w:w="3135"/>
            <w:shd w:val="clear" w:color="auto" w:fill="DDEBF7"/>
          </w:tcPr>
          <w:p>
            <w:r>
              <w:rPr>
                <w:rFonts w:ascii="Meiryo UI" w:hAnsi="Meiryo UI"/>
                <w:sz w:val="18"/>
              </w:rPr>
              <w:t>PEG比率</w:t>
            </w:r>
          </w:p>
        </w:tc>
        <w:tc>
          <w:tcPr>
            <w:tcW w:type="dxa" w:w="3135"/>
            <w:shd w:val="clear" w:color="auto" w:fill="DDEBF7"/>
          </w:tcPr>
          <w:p>
            <w:r>
              <w:rPr>
                <w:rFonts w:ascii="Meiryo UI" w:hAnsi="Meiryo UI"/>
                <w:sz w:val="18"/>
              </w:rPr>
              <w:t>21.6 ÷ 6.1 ≒ 3.54</w:t>
            </w:r>
          </w:p>
        </w:tc>
        <w:tc>
          <w:tcPr>
            <w:tcW w:type="dxa" w:w="3135"/>
            <w:shd w:val="clear" w:color="auto" w:fill="DDEBF7"/>
          </w:tcPr>
          <w:p>
            <w:r>
              <w:rPr>
                <w:rFonts w:ascii="Meiryo UI" w:hAnsi="Meiryo UI"/>
                <w:sz w:val="18"/>
              </w:rPr>
              <w:t>1.0未満が割安基準→やや割高。ただし成長の質を加味</w:t>
            </w:r>
          </w:p>
        </w:tc>
      </w:tr>
    </w:tbl>
    <w:p/>
    <w:p>
      <w:r>
        <w:rPr>
          <w:rFonts w:ascii="Meiryo UI" w:hAnsi="Meiryo UI"/>
          <w:sz w:val="20"/>
        </w:rPr>
        <w:t>PEGは高いが、永代供養市場の構造的成長を考えると長期視点では許容範囲</w:t>
      </w:r>
    </w:p>
    <w:p/>
    <w:p>
      <w:pPr>
        <w:pStyle w:val="Heading3"/>
      </w:pPr>
      <w:r>
        <w:rPr>
          <w:rFonts w:ascii="Meiryo UI" w:hAnsi="Meiryo UI"/>
          <w:color w:val="2E74B5"/>
        </w:rPr>
        <w:t>2-3. 「買えるか」の最終判断ロジック</w:t>
      </w:r>
    </w:p>
    <w:p/>
    <w:p>
      <w:pPr>
        <w:shd w:val="clear" w:color="auto" w:fill="F2F2F2"/>
      </w:pPr>
      <w:r>
        <w:rPr>
          <w:rFonts w:ascii="Courier New" w:hAnsi="Courier New"/>
          <w:sz w:val="16"/>
        </w:rPr>
        <w:t>✅ BUY根拠:</w:t>
        <w:br/>
        <w:t xml:space="preserve">  1. H1進捗51.2%→通期達成確度高い</w:t>
        <w:br/>
        <w:t xml:space="preserve">  2. 永代供養×高齢化は10〜20年スパンの不可逆需要</w:t>
        <w:br/>
        <w:t xml:space="preserve">  3. 営業利益率25%の高収益体質</w:t>
        <w:br/>
        <w:t xml:space="preserve">  4. ROE推計~15%はPBR3.23倍を概ね正当化</w:t>
        <w:br/>
        <w:t xml:space="preserve">  5. DCF理論株価¥2,970（ベース）→現在値比+24.5%乖離</w:t>
        <w:br/>
        <w:br/>
        <w:t>⚠️ 注意事項:</w:t>
        <w:br/>
        <w:t xml:space="preserve">  1. 成長率+6.1%はPEG&gt;3→割高感あり</w:t>
        <w:br/>
        <w:t xml:space="preserve">  2. 小型株で流動性薄い可能性→分散エントリー必須</w:t>
        <w:br/>
        <w:t xml:space="preserve">  3. ROE公式未確認→確認後に最終判断補強を推奨</w:t>
        <w:br/>
        <w:t xml:space="preserve">  4. フロービジネス依存→下期進捗確認が重要チェックポイント</w:t>
      </w:r>
    </w:p>
    <w:p/>
    <w:p>
      <w:r>
        <w:t>──────────────────────────────────────────────────</w:t>
      </w:r>
    </w:p>
    <w:p/>
    <w:p>
      <w:pPr>
        <w:pStyle w:val="Heading2"/>
      </w:pPr>
      <w:r>
        <w:rPr>
          <w:rFonts w:ascii="Meiryo UI" w:hAnsi="Meiryo UI"/>
          <w:color w:val="2E74B5"/>
        </w:rPr>
        <w:t>セクション3：財務ハイライト</w:t>
      </w:r>
    </w:p>
    <w:p/>
    <w:p>
      <w:pPr>
        <w:pStyle w:val="Heading3"/>
      </w:pPr>
      <w:r>
        <w:rPr>
          <w:rFonts w:ascii="Meiryo UI" w:hAnsi="Meiryo UI"/>
          <w:color w:val="2E74B5"/>
        </w:rPr>
        <w:t>3-1. 損益サマリー（2026年8月期 通期予想ベース）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2026年8月期 通期予想</w:t>
            </w:r>
          </w:p>
        </w:tc>
        <w:tc>
          <w:tcPr>
            <w:tcW w:type="dxa" w:w="3135"/>
            <w:shd w:val="clear" w:color="auto" w:fill="2E74B5"/>
          </w:tcPr>
          <w:p>
            <w:r>
              <w:rPr>
                <w:rFonts w:ascii="Meiryo UI" w:hAnsi="Meiryo UI"/>
                <w:b/>
                <w:color w:val="FFFFFF"/>
                <w:sz w:val="18"/>
              </w:rPr>
              <w:t>前年比推計</w:t>
            </w:r>
          </w:p>
        </w:tc>
      </w:tr>
      <w:tr>
        <w:tc>
          <w:tcPr>
            <w:tcW w:type="dxa" w:w="3135"/>
          </w:tcPr>
          <w:p>
            <w:r>
              <w:rPr>
                <w:rFonts w:ascii="Meiryo UI" w:hAnsi="Meiryo UI"/>
                <w:sz w:val="18"/>
              </w:rPr>
              <w:t>売上高</w:t>
            </w:r>
          </w:p>
        </w:tc>
        <w:tc>
          <w:tcPr>
            <w:tcW w:type="dxa" w:w="3135"/>
          </w:tcPr>
          <w:p>
            <w:r>
              <w:rPr>
                <w:rFonts w:ascii="Meiryo UI" w:hAnsi="Meiryo UI"/>
                <w:sz w:val="18"/>
              </w:rPr>
              <w:t>¥3,415M</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¥859M</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営業利益率</w:t>
            </w:r>
          </w:p>
        </w:tc>
        <w:tc>
          <w:tcPr>
            <w:tcW w:type="dxa" w:w="3135"/>
          </w:tcPr>
          <w:p>
            <w:r>
              <w:rPr>
                <w:rFonts w:ascii="Meiryo UI" w:hAnsi="Meiryo UI"/>
                <w:sz w:val="18"/>
              </w:rPr>
              <w:t>25.1%</w:t>
            </w:r>
          </w:p>
        </w:tc>
        <w:tc>
          <w:tcPr>
            <w:tcW w:type="dxa" w:w="3135"/>
          </w:tcPr>
          <w:p>
            <w:r>
              <w:rPr>
                <w:rFonts w:ascii="Meiryo UI" w:hAnsi="Meiryo UI"/>
                <w:sz w:val="18"/>
              </w:rPr>
              <w:t>高収益維持</w:t>
            </w:r>
          </w:p>
        </w:tc>
      </w:tr>
      <w:tr>
        <w:tc>
          <w:tcPr>
            <w:tcW w:type="dxa" w:w="3135"/>
            <w:shd w:val="clear" w:color="auto" w:fill="DDEBF7"/>
          </w:tcPr>
          <w:p>
            <w:r>
              <w:rPr>
                <w:rFonts w:ascii="Meiryo UI" w:hAnsi="Meiryo UI"/>
                <w:sz w:val="18"/>
              </w:rPr>
              <w:t>経常利益</w:t>
            </w:r>
          </w:p>
        </w:tc>
        <w:tc>
          <w:tcPr>
            <w:tcW w:type="dxa" w:w="3135"/>
            <w:shd w:val="clear" w:color="auto" w:fill="DDEBF7"/>
          </w:tcPr>
          <w:p>
            <w:r>
              <w:rPr>
                <w:rFonts w:ascii="Meiryo UI" w:hAnsi="Meiryo UI"/>
                <w:sz w:val="18"/>
              </w:rPr>
              <w:t>¥856M</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純利益</w:t>
            </w:r>
          </w:p>
        </w:tc>
        <w:tc>
          <w:tcPr>
            <w:tcW w:type="dxa" w:w="3135"/>
          </w:tcPr>
          <w:p>
            <w:r>
              <w:rPr>
                <w:rFonts w:ascii="Meiryo UI" w:hAnsi="Meiryo UI"/>
                <w:sz w:val="18"/>
              </w:rPr>
              <w:t>¥569M</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純利益率</w:t>
            </w:r>
          </w:p>
        </w:tc>
        <w:tc>
          <w:tcPr>
            <w:tcW w:type="dxa" w:w="3135"/>
            <w:shd w:val="clear" w:color="auto" w:fill="DDEBF7"/>
          </w:tcPr>
          <w:p>
            <w:r>
              <w:rPr>
                <w:rFonts w:ascii="Meiryo UI" w:hAnsi="Meiryo UI"/>
                <w:sz w:val="18"/>
              </w:rPr>
              <w:t>16.7%</w:t>
            </w:r>
          </w:p>
        </w:tc>
        <w:tc>
          <w:tcPr>
            <w:tcW w:type="dxa" w:w="3135"/>
            <w:shd w:val="clear" w:color="auto" w:fill="DDEBF7"/>
          </w:tcPr>
          <w:p>
            <w:r>
              <w:rPr>
                <w:rFonts w:ascii="Meiryo UI" w:hAnsi="Meiryo UI"/>
                <w:sz w:val="18"/>
              </w:rPr>
              <w:t>—</w:t>
            </w:r>
          </w:p>
        </w:tc>
      </w:tr>
    </w:tbl>
    <w:p/>
    <w:p>
      <w:pPr>
        <w:pStyle w:val="Heading3"/>
      </w:pPr>
      <w:r>
        <w:rPr>
          <w:rFonts w:ascii="Meiryo UI" w:hAnsi="Meiryo UI"/>
          <w:color w:val="2E74B5"/>
        </w:rPr>
        <w:t>3-2. 主要財務指標（リアルタイム取得値・厳守）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現在株価</w:t>
            </w:r>
          </w:p>
        </w:tc>
        <w:tc>
          <w:tcPr>
            <w:tcW w:type="dxa" w:w="3135"/>
          </w:tcPr>
          <w:p>
            <w:r>
              <w:rPr>
                <w:rFonts w:ascii="Meiryo UI" w:hAnsi="Meiryo UI"/>
                <w:sz w:val="18"/>
              </w:rPr>
              <w:t>¥2,386</w:t>
            </w:r>
          </w:p>
        </w:tc>
        <w:tc>
          <w:tcPr>
            <w:tcW w:type="dxa" w:w="3135"/>
          </w:tcPr>
          <w:p>
            <w:r>
              <w:rPr>
                <w:rFonts w:ascii="Meiryo UI" w:hAnsi="Meiryo UI"/>
                <w:sz w:val="18"/>
              </w:rPr>
              <w:t>2026-04-14 リアルタイム</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21.6倍</w:t>
            </w:r>
          </w:p>
        </w:tc>
        <w:tc>
          <w:tcPr>
            <w:tcW w:type="dxa" w:w="3135"/>
            <w:shd w:val="clear" w:color="auto" w:fill="DDEBF7"/>
          </w:tcPr>
          <w:p>
            <w:r>
              <w:rPr>
                <w:rFonts w:ascii="Meiryo UI" w:hAnsi="Meiryo UI"/>
                <w:sz w:val="18"/>
              </w:rPr>
              <w:t>EPS¥111ベース</w:t>
            </w:r>
          </w:p>
        </w:tc>
      </w:tr>
      <w:tr>
        <w:tc>
          <w:tcPr>
            <w:tcW w:type="dxa" w:w="3135"/>
          </w:tcPr>
          <w:p>
            <w:r>
              <w:rPr>
                <w:rFonts w:ascii="Meiryo UI" w:hAnsi="Meiryo UI"/>
                <w:sz w:val="18"/>
              </w:rPr>
              <w:t>PBR</w:t>
            </w:r>
          </w:p>
        </w:tc>
        <w:tc>
          <w:tcPr>
            <w:tcW w:type="dxa" w:w="3135"/>
          </w:tcPr>
          <w:p>
            <w:r>
              <w:rPr>
                <w:rFonts w:ascii="Meiryo UI" w:hAnsi="Meiryo UI"/>
                <w:sz w:val="18"/>
              </w:rPr>
              <w:t>3.23倍</w:t>
            </w:r>
          </w:p>
        </w:tc>
        <w:tc>
          <w:tcPr>
            <w:tcW w:type="dxa" w:w="3135"/>
          </w:tcPr>
          <w:p>
            <w:r>
              <w:rPr>
                <w:rFonts w:ascii="Meiryo UI" w:hAnsi="Meiryo UI"/>
                <w:sz w:val="18"/>
              </w:rPr>
              <w:t>BPS¥739（公式値）</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¥739</w:t>
            </w:r>
          </w:p>
        </w:tc>
        <w:tc>
          <w:tcPr>
            <w:tcW w:type="dxa" w:w="3135"/>
            <w:shd w:val="clear" w:color="auto" w:fill="DDEBF7"/>
          </w:tcPr>
          <w:p>
            <w:r>
              <w:rPr>
                <w:rFonts w:ascii="Meiryo UI" w:hAnsi="Meiryo UI"/>
                <w:sz w:val="18"/>
              </w:rPr>
              <w:t>公式値・上書き禁止</w:t>
            </w:r>
          </w:p>
        </w:tc>
      </w:tr>
      <w:tr>
        <w:tc>
          <w:tcPr>
            <w:tcW w:type="dxa" w:w="3135"/>
          </w:tcPr>
          <w:p>
            <w:r>
              <w:rPr>
                <w:rFonts w:ascii="Meiryo UI" w:hAnsi="Meiryo UI"/>
                <w:sz w:val="18"/>
              </w:rPr>
              <w:t>EPS</w:t>
            </w:r>
          </w:p>
        </w:tc>
        <w:tc>
          <w:tcPr>
            <w:tcW w:type="dxa" w:w="3135"/>
          </w:tcPr>
          <w:p>
            <w:r>
              <w:rPr>
                <w:rFonts w:ascii="Meiryo UI" w:hAnsi="Meiryo UI"/>
                <w:sz w:val="18"/>
              </w:rPr>
              <w:t>¥111</w:t>
            </w:r>
          </w:p>
        </w:tc>
        <w:tc>
          <w:tcPr>
            <w:tcW w:type="dxa" w:w="3135"/>
          </w:tcPr>
          <w:p>
            <w:r>
              <w:rPr>
                <w:rFonts w:ascii="Meiryo UI" w:hAnsi="Meiryo UI"/>
                <w:sz w:val="18"/>
              </w:rPr>
              <w:t>通期予想ベース</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取得失敗・要確認</w:t>
            </w:r>
          </w:p>
        </w:tc>
        <w:tc>
          <w:tcPr>
            <w:tcW w:type="dxa" w:w="3135"/>
            <w:shd w:val="clear" w:color="auto" w:fill="DDEBF7"/>
          </w:tcPr>
          <w:p>
            <w:r>
              <w:rPr>
                <w:rFonts w:ascii="Meiryo UI" w:hAnsi="Meiryo UI"/>
                <w:sz w:val="18"/>
              </w:rPr>
              <w:t>参考推計~15%（非公式）</w:t>
            </w:r>
          </w:p>
        </w:tc>
      </w:tr>
      <w:tr>
        <w:tc>
          <w:tcPr>
            <w:tcW w:type="dxa" w:w="3135"/>
          </w:tcPr>
          <w:p>
            <w:r>
              <w:rPr>
                <w:rFonts w:ascii="Meiryo UI" w:hAnsi="Meiryo UI"/>
                <w:sz w:val="18"/>
              </w:rPr>
              <w:t>発行済株数（推計）</w:t>
            </w:r>
          </w:p>
        </w:tc>
        <w:tc>
          <w:tcPr>
            <w:tcW w:type="dxa" w:w="3135"/>
          </w:tcPr>
          <w:p>
            <w:r>
              <w:rPr>
                <w:rFonts w:ascii="Meiryo UI" w:hAnsi="Meiryo UI"/>
                <w:sz w:val="18"/>
              </w:rPr>
              <w:t>~512万株</w:t>
            </w:r>
          </w:p>
        </w:tc>
        <w:tc>
          <w:tcPr>
            <w:tcW w:type="dxa" w:w="3135"/>
          </w:tcPr>
          <w:p>
            <w:r>
              <w:rPr>
                <w:rFonts w:ascii="Meiryo UI" w:hAnsi="Meiryo UI"/>
                <w:sz w:val="18"/>
              </w:rPr>
              <w:t>純利益¥569M÷EPS¥111</w:t>
            </w:r>
          </w:p>
        </w:tc>
      </w:tr>
      <w:tr>
        <w:tc>
          <w:tcPr>
            <w:tcW w:type="dxa" w:w="3135"/>
            <w:shd w:val="clear" w:color="auto" w:fill="DDEBF7"/>
          </w:tcPr>
          <w:p>
            <w:r>
              <w:rPr>
                <w:rFonts w:ascii="Meiryo UI" w:hAnsi="Meiryo UI"/>
                <w:sz w:val="18"/>
              </w:rPr>
              <w:t>時価総額（推計）</w:t>
            </w:r>
          </w:p>
        </w:tc>
        <w:tc>
          <w:tcPr>
            <w:tcW w:type="dxa" w:w="3135"/>
            <w:shd w:val="clear" w:color="auto" w:fill="DDEBF7"/>
          </w:tcPr>
          <w:p>
            <w:r>
              <w:rPr>
                <w:rFonts w:ascii="Meiryo UI" w:hAnsi="Meiryo UI"/>
                <w:sz w:val="18"/>
              </w:rPr>
              <w:t>~¥12.2B（¥122億）</w:t>
            </w:r>
          </w:p>
        </w:tc>
        <w:tc>
          <w:tcPr>
            <w:tcW w:type="dxa" w:w="3135"/>
            <w:shd w:val="clear" w:color="auto" w:fill="DDEBF7"/>
          </w:tcPr>
          <w:p>
            <w:r>
              <w:rPr>
                <w:rFonts w:ascii="Meiryo UI" w:hAnsi="Meiryo UI"/>
                <w:sz w:val="18"/>
              </w:rPr>
              <w:t>¥2,386×512万株</w:t>
            </w:r>
          </w:p>
        </w:tc>
      </w:tr>
    </w:tbl>
    <w:p/>
    <w:p>
      <w:pPr>
        <w:pStyle w:val="Heading3"/>
      </w:pPr>
      <w:r>
        <w:rPr>
          <w:rFonts w:ascii="Meiryo UI" w:hAnsi="Meiryo UI"/>
          <w:color w:val="2E74B5"/>
        </w:rPr>
        <w:t>3-3. 貸借対照表・キャッシュフロー推計</w:t>
      </w:r>
    </w:p>
    <w:p/>
    <w:p>
      <w:r>
        <w:rPr>
          <w:rFonts w:ascii="Meiryo UI" w:hAnsi="Meiryo UI"/>
          <w:sz w:val="20"/>
        </w:rPr>
        <w:t>&gt; ⚠️ 詳細BS・CF非公開のため以下は公開指標からの推計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自己資本（推計）</w:t>
            </w:r>
          </w:p>
        </w:tc>
        <w:tc>
          <w:tcPr>
            <w:tcW w:type="dxa" w:w="3135"/>
          </w:tcPr>
          <w:p>
            <w:r>
              <w:rPr>
                <w:rFonts w:ascii="Meiryo UI" w:hAnsi="Meiryo UI"/>
                <w:sz w:val="18"/>
              </w:rPr>
              <w:t>¥739 × 512万株 ≒ ¥3.78B</w:t>
            </w:r>
          </w:p>
        </w:tc>
        <w:tc>
          <w:tcPr>
            <w:tcW w:type="dxa" w:w="3135"/>
          </w:tcPr>
          <w:p>
            <w:r>
              <w:rPr>
                <w:rFonts w:ascii="Meiryo UI" w:hAnsi="Meiryo UI"/>
                <w:sz w:val="18"/>
              </w:rPr>
              <w:t>BPS×発行済株数</w:t>
            </w:r>
          </w:p>
        </w:tc>
      </w:tr>
      <w:tr>
        <w:tc>
          <w:tcPr>
            <w:tcW w:type="dxa" w:w="3135"/>
            <w:shd w:val="clear" w:color="auto" w:fill="DDEBF7"/>
          </w:tcPr>
          <w:p>
            <w:r>
              <w:rPr>
                <w:rFonts w:ascii="Meiryo UI" w:hAnsi="Meiryo UI"/>
                <w:sz w:val="18"/>
              </w:rPr>
              <w:t>純利益（予想）</w:t>
            </w:r>
          </w:p>
        </w:tc>
        <w:tc>
          <w:tcPr>
            <w:tcW w:type="dxa" w:w="3135"/>
            <w:shd w:val="clear" w:color="auto" w:fill="DDEBF7"/>
          </w:tcPr>
          <w:p>
            <w:r>
              <w:rPr>
                <w:rFonts w:ascii="Meiryo UI" w:hAnsi="Meiryo UI"/>
                <w:sz w:val="18"/>
              </w:rPr>
              <w:t>¥569M</w:t>
            </w:r>
          </w:p>
        </w:tc>
        <w:tc>
          <w:tcPr>
            <w:tcW w:type="dxa" w:w="3135"/>
            <w:shd w:val="clear" w:color="auto" w:fill="DDEBF7"/>
          </w:tcPr>
          <w:p>
            <w:r>
              <w:rPr>
                <w:rFonts w:ascii="Meiryo UI" w:hAnsi="Meiryo UI"/>
                <w:sz w:val="18"/>
              </w:rPr>
              <w:t>公式予想</w:t>
            </w:r>
          </w:p>
        </w:tc>
      </w:tr>
      <w:tr>
        <w:tc>
          <w:tcPr>
            <w:tcW w:type="dxa" w:w="3135"/>
          </w:tcPr>
          <w:p>
            <w:r>
              <w:rPr>
                <w:rFonts w:ascii="Meiryo UI" w:hAnsi="Meiryo UI"/>
                <w:sz w:val="18"/>
              </w:rPr>
              <w:t>自己資本利益率（参考）</w:t>
            </w:r>
          </w:p>
        </w:tc>
        <w:tc>
          <w:tcPr>
            <w:tcW w:type="dxa" w:w="3135"/>
          </w:tcPr>
          <w:p>
            <w:r>
              <w:rPr>
                <w:rFonts w:ascii="Meiryo UI" w:hAnsi="Meiryo UI"/>
                <w:sz w:val="18"/>
              </w:rPr>
              <w:t>¥569M ÷ ¥3,780M ≒ ~15.0%</w:t>
            </w:r>
          </w:p>
        </w:tc>
        <w:tc>
          <w:tcPr>
            <w:tcW w:type="dxa" w:w="3135"/>
          </w:tcPr>
          <w:p>
            <w:r>
              <w:rPr>
                <w:rFonts w:ascii="Meiryo UI" w:hAnsi="Meiryo UI"/>
                <w:sz w:val="18"/>
              </w:rPr>
              <w:t>要公式確認</w:t>
            </w:r>
          </w:p>
        </w:tc>
      </w:tr>
      <w:tr>
        <w:tc>
          <w:tcPr>
            <w:tcW w:type="dxa" w:w="3135"/>
            <w:shd w:val="clear" w:color="auto" w:fill="DDEBF7"/>
          </w:tcPr>
          <w:p>
            <w:r>
              <w:rPr>
                <w:rFonts w:ascii="Meiryo UI" w:hAnsi="Meiryo UI"/>
                <w:sz w:val="18"/>
              </w:rPr>
              <w:t>FCF</w:t>
            </w:r>
          </w:p>
        </w:tc>
        <w:tc>
          <w:tcPr>
            <w:tcW w:type="dxa" w:w="3135"/>
            <w:shd w:val="clear" w:color="auto" w:fill="DDEBF7"/>
          </w:tcPr>
          <w:p>
            <w:r>
              <w:rPr>
                <w:rFonts w:ascii="Meiryo UI" w:hAnsi="Meiryo UI"/>
                <w:sz w:val="18"/>
              </w:rPr>
              <w:t>非公開（要確認）</w:t>
            </w:r>
          </w:p>
        </w:tc>
        <w:tc>
          <w:tcPr>
            <w:tcW w:type="dxa" w:w="3135"/>
            <w:shd w:val="clear" w:color="auto" w:fill="DDEBF7"/>
          </w:tcPr>
          <w:p>
            <w:r>
              <w:rPr>
                <w:rFonts w:ascii="Meiryo UI" w:hAnsi="Meiryo UI"/>
                <w:sz w:val="18"/>
              </w:rPr>
              <w:t>コンサル業は設備投資小→FCF=純利益に近い可能性</w:t>
            </w:r>
          </w:p>
        </w:tc>
      </w:tr>
    </w:tbl>
    <w:p/>
    <w:p>
      <w:r>
        <w:t>──────────────────────────────────────────────────</w:t>
      </w:r>
    </w:p>
    <w:p/>
    <w:p>
      <w:pPr>
        <w:pStyle w:val="Heading2"/>
      </w:pPr>
      <w:r>
        <w:rPr>
          <w:rFonts w:ascii="Meiryo UI" w:hAnsi="Meiryo UI"/>
          <w:color w:val="2E74B5"/>
        </w:rPr>
        <w:t>セクション4：DCFバリュエーション</w:t>
      </w:r>
    </w:p>
    <w:p/>
    <w:p>
      <w:pPr>
        <w:pStyle w:val="Heading3"/>
      </w:pPr>
      <w:r>
        <w:rPr>
          <w:rFonts w:ascii="Meiryo UI" w:hAnsi="Meiryo UI"/>
          <w:color w:val="2E74B5"/>
        </w:rPr>
        <w:t>4-1. DCF前提条件</w:t>
      </w:r>
    </w:p>
    <w:p/>
    <w:p>
      <w:r>
        <w:rPr>
          <w:rFonts w:ascii="Meiryo UI" w:hAnsi="Meiryo UI"/>
          <w:sz w:val="20"/>
        </w:rPr>
        <w:t>&gt; ⚠️ 以下の前提は公開情報・業界標準値を使用。独自推計は最小化し、根拠を全て明示。</w:t>
      </w:r>
    </w:p>
    <w:p/>
    <w:p>
      <w:pPr>
        <w:pStyle w:val="Heading4"/>
      </w:pPr>
      <w:r>
        <w:rPr>
          <w:rFonts w:ascii="Meiryo UI" w:hAnsi="Meiryo UI"/>
          <w:color w:val="2E74B5"/>
        </w:rPr>
        <w:t>基本前提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根拠・出典</w:t>
            </w:r>
          </w:p>
        </w:tc>
      </w:tr>
      <w:tr>
        <w:tc>
          <w:tcPr>
            <w:tcW w:type="dxa" w:w="3135"/>
          </w:tcPr>
          <w:p>
            <w:r>
              <w:rPr>
                <w:rFonts w:ascii="Meiryo UI" w:hAnsi="Meiryo UI"/>
                <w:sz w:val="18"/>
              </w:rPr>
              <w:t>リスクフリーレート (Rf)</w:t>
            </w:r>
          </w:p>
        </w:tc>
        <w:tc>
          <w:tcPr>
            <w:tcW w:type="dxa" w:w="3135"/>
          </w:tcPr>
          <w:p>
            <w:r>
              <w:rPr>
                <w:rFonts w:ascii="Meiryo UI" w:hAnsi="Meiryo UI"/>
                <w:sz w:val="18"/>
              </w:rPr>
              <w:t>2.467%</w:t>
            </w:r>
          </w:p>
        </w:tc>
        <w:tc>
          <w:tcPr>
            <w:tcW w:type="dxa" w:w="3135"/>
          </w:tcPr>
          <w:p>
            <w:r>
              <w:rPr>
                <w:rFonts w:ascii="Meiryo UI" w:hAnsi="Meiryo UI"/>
                <w:sz w:val="18"/>
              </w:rPr>
              <w:t>日本10年国債（財務省 2026-04-14）</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日本市場長期平均（Damodaran推計ベース）</w:t>
            </w:r>
          </w:p>
        </w:tc>
      </w:tr>
      <w:tr>
        <w:tc>
          <w:tcPr>
            <w:tcW w:type="dxa" w:w="3135"/>
          </w:tcPr>
          <w:p>
            <w:r>
              <w:rPr>
                <w:rFonts w:ascii="Meiryo UI" w:hAnsi="Meiryo UI"/>
                <w:sz w:val="18"/>
              </w:rPr>
              <w:t>β（ベータ）</w:t>
            </w:r>
          </w:p>
        </w:tc>
        <w:tc>
          <w:tcPr>
            <w:tcW w:type="dxa" w:w="3135"/>
          </w:tcPr>
          <w:p>
            <w:r>
              <w:rPr>
                <w:rFonts w:ascii="Meiryo UI" w:hAnsi="Meiryo UI"/>
                <w:sz w:val="18"/>
              </w:rPr>
              <w:t>0.85</w:t>
            </w:r>
          </w:p>
        </w:tc>
        <w:tc>
          <w:tcPr>
            <w:tcW w:type="dxa" w:w="3135"/>
          </w:tcPr>
          <w:p>
            <w:r>
              <w:rPr>
                <w:rFonts w:ascii="Meiryo UI" w:hAnsi="Meiryo UI"/>
                <w:sz w:val="18"/>
              </w:rPr>
              <w:t>小型・内需株（葬祭・終活関連）の業種特性。市場ベータ~1.0より低い（ディフェンシブ性あり）</w:t>
            </w:r>
          </w:p>
        </w:tc>
      </w:tr>
      <w:tr>
        <w:tc>
          <w:tcPr>
            <w:tcW w:type="dxa" w:w="3135"/>
            <w:shd w:val="clear" w:color="auto" w:fill="DDEBF7"/>
          </w:tcPr>
          <w:p>
            <w:r>
              <w:rPr>
                <w:rFonts w:ascii="Meiryo UI" w:hAnsi="Meiryo UI"/>
                <w:sz w:val="18"/>
              </w:rPr>
              <w:t>株主資本コスト (Re)</w:t>
            </w:r>
          </w:p>
        </w:tc>
        <w:tc>
          <w:tcPr>
            <w:tcW w:type="dxa" w:w="3135"/>
            <w:shd w:val="clear" w:color="auto" w:fill="DDEBF7"/>
          </w:tcPr>
          <w:p>
            <w:r>
              <w:rPr>
                <w:rFonts w:ascii="Meiryo UI" w:hAnsi="Meiryo UI"/>
                <w:sz w:val="18"/>
              </w:rPr>
              <w:t>2.467% + 0.85 × 5.5% = 7.14%</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負債コスト (Rd)</w:t>
            </w:r>
          </w:p>
        </w:tc>
        <w:tc>
          <w:tcPr>
            <w:tcW w:type="dxa" w:w="3135"/>
          </w:tcPr>
          <w:p>
            <w:r>
              <w:rPr>
                <w:rFonts w:ascii="Meiryo UI" w:hAnsi="Meiryo UI"/>
                <w:sz w:val="18"/>
              </w:rPr>
              <w:t>1.5%</w:t>
            </w:r>
          </w:p>
        </w:tc>
        <w:tc>
          <w:tcPr>
            <w:tcW w:type="dxa" w:w="3135"/>
          </w:tcPr>
          <w:p>
            <w:r>
              <w:rPr>
                <w:rFonts w:ascii="Meiryo UI" w:hAnsi="Meiryo UI"/>
                <w:sz w:val="18"/>
              </w:rPr>
              <w:t>小型優良企業の銀行借入金利（推計）</w:t>
            </w:r>
          </w:p>
        </w:tc>
      </w:tr>
      <w:tr>
        <w:tc>
          <w:tcPr>
            <w:tcW w:type="dxa" w:w="3135"/>
            <w:shd w:val="clear" w:color="auto" w:fill="DDEBF7"/>
          </w:tcPr>
          <w:p>
            <w:r>
              <w:rPr>
                <w:rFonts w:ascii="Meiryo UI" w:hAnsi="Meiryo UI"/>
                <w:sz w:val="18"/>
              </w:rPr>
              <w:t>実効税率 (Tc)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日本法人税・地方税合算標準</w:t>
            </w:r>
          </w:p>
        </w:tc>
      </w:tr>
      <w:tr>
        <w:tc>
          <w:tcPr>
            <w:tcW w:type="dxa" w:w="3135"/>
          </w:tcPr>
          <w:p>
            <w:r>
              <w:rPr>
                <w:rFonts w:ascii="Meiryo UI" w:hAnsi="Meiryo UI"/>
                <w:sz w:val="18"/>
              </w:rPr>
              <w:t>資本構成 E/(D+E)</w:t>
            </w:r>
          </w:p>
        </w:tc>
        <w:tc>
          <w:tcPr>
            <w:tcW w:type="dxa" w:w="3135"/>
          </w:tcPr>
          <w:p>
            <w:r>
              <w:rPr>
                <w:rFonts w:ascii="Meiryo UI" w:hAnsi="Meiryo UI"/>
                <w:sz w:val="18"/>
              </w:rPr>
              <w:t>85%</w:t>
            </w:r>
          </w:p>
        </w:tc>
        <w:tc>
          <w:tcPr>
            <w:tcW w:type="dxa" w:w="3135"/>
          </w:tcPr>
          <w:p>
            <w:r>
              <w:rPr>
                <w:rFonts w:ascii="Meiryo UI" w:hAnsi="Meiryo UI"/>
                <w:sz w:val="18"/>
              </w:rPr>
              <w:t>コンサル・仲介業は負債少（推計。要BS確認）</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0.85×7.14% + 0.15×1.5%×(1-0.30) = 6.23%</w:t>
            </w:r>
          </w:p>
        </w:tc>
        <w:tc>
          <w:tcPr>
            <w:tcW w:type="dxa" w:w="3135"/>
            <w:shd w:val="clear" w:color="auto" w:fill="DDEBF7"/>
          </w:tcPr>
          <w:p>
            <w:r>
              <w:rPr>
                <w:rFonts w:ascii="Meiryo UI" w:hAnsi="Meiryo UI"/>
                <w:sz w:val="18"/>
              </w:rPr>
              <w:t>計算明示</w:t>
            </w:r>
          </w:p>
        </w:tc>
      </w:tr>
      <w:tr>
        <w:tc>
          <w:tcPr>
            <w:tcW w:type="dxa" w:w="3135"/>
          </w:tcPr>
          <w:p>
            <w:r>
              <w:rPr>
                <w:rFonts w:ascii="Meiryo UI" w:hAnsi="Meiryo UI"/>
                <w:sz w:val="18"/>
              </w:rPr>
              <w:t>永続成長率 (g)</w:t>
            </w:r>
          </w:p>
        </w:tc>
        <w:tc>
          <w:tcPr>
            <w:tcW w:type="dxa" w:w="3135"/>
          </w:tcPr>
          <w:p>
            <w:r>
              <w:rPr>
                <w:rFonts w:ascii="Meiryo UI" w:hAnsi="Meiryo UI"/>
                <w:sz w:val="18"/>
              </w:rPr>
              <w:t>2.0%</w:t>
            </w:r>
          </w:p>
        </w:tc>
        <w:tc>
          <w:tcPr>
            <w:tcW w:type="dxa" w:w="3135"/>
          </w:tcPr>
          <w:p>
            <w:r>
              <w:rPr>
                <w:rFonts w:ascii="Meiryo UI" w:hAnsi="Meiryo UI"/>
                <w:sz w:val="18"/>
              </w:rPr>
              <w:t>高齢化構造需要×インフレ勘案（日本名目成長率上限）</w:t>
            </w:r>
          </w:p>
        </w:tc>
      </w:tr>
    </w:tbl>
    <w:p/>
    <w:p>
      <w:pPr>
        <w:pStyle w:val="Heading4"/>
      </w:pPr>
      <w:r>
        <w:rPr>
          <w:rFonts w:ascii="Meiryo UI" w:hAnsi="Meiryo UI"/>
          <w:color w:val="2E74B5"/>
        </w:rPr>
        <w:t>WACC計算詳細</w:t>
      </w:r>
    </w:p>
    <w:p/>
    <w:p>
      <w:pPr>
        <w:shd w:val="clear" w:color="auto" w:fill="F2F2F2"/>
      </w:pPr>
      <w:r>
        <w:rPr>
          <w:rFonts w:ascii="Courier New" w:hAnsi="Courier New"/>
          <w:sz w:val="16"/>
        </w:rPr>
        <w:t>Re = 2.467% + 0.85 × 5.5% = 2.467% + 4.675% = 7.142%</w:t>
        <w:br/>
        <w:t>Rd × (1-Tc) = 1.5% × 0.70 = 1.05%</w:t>
        <w:br/>
        <w:br/>
        <w:t>WACC = 0.85 × 7.142% + 0.15 × 1.05%</w:t>
        <w:br/>
        <w:t xml:space="preserve">      = 6.071% + 0.158%</w:t>
        <w:br/>
        <w:t xml:space="preserve">      = 6.23%</w:t>
      </w:r>
    </w:p>
    <w:p/>
    <w:p>
      <w:pPr>
        <w:pStyle w:val="Heading3"/>
      </w:pPr>
      <w:r>
        <w:rPr>
          <w:rFonts w:ascii="Meiryo UI" w:hAnsi="Meiryo UI"/>
          <w:color w:val="2E74B5"/>
        </w:rPr>
        <w:t>4-2. FCFモデル（5年予測）</w:t>
      </w:r>
    </w:p>
    <w:p/>
    <w:p>
      <w:r>
        <w:rPr>
          <w:rFonts w:ascii="Meiryo UI" w:hAnsi="Meiryo UI"/>
          <w:sz w:val="20"/>
        </w:rPr>
        <w:t>&gt; ベースケース前提: 売上成長率5〜6%、営業利益率25%維持、設備投資最小（コンサル業）</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年度</w:t>
            </w:r>
          </w:p>
        </w:tc>
        <w:tc>
          <w:tcPr>
            <w:tcW w:type="dxa" w:w="1568"/>
            <w:shd w:val="clear" w:color="auto" w:fill="2E74B5"/>
          </w:tcPr>
          <w:p>
            <w:r>
              <w:rPr>
                <w:rFonts w:ascii="Meiryo UI" w:hAnsi="Meiryo UI"/>
                <w:b/>
                <w:color w:val="FFFFFF"/>
                <w:sz w:val="18"/>
              </w:rPr>
              <w:t>売上高(M)</w:t>
            </w:r>
          </w:p>
        </w:tc>
        <w:tc>
          <w:tcPr>
            <w:tcW w:type="dxa" w:w="1568"/>
            <w:shd w:val="clear" w:color="auto" w:fill="2E74B5"/>
          </w:tcPr>
          <w:p>
            <w:r>
              <w:rPr>
                <w:rFonts w:ascii="Meiryo UI" w:hAnsi="Meiryo UI"/>
                <w:b/>
                <w:color w:val="FFFFFF"/>
                <w:sz w:val="18"/>
              </w:rPr>
              <w:t>EBIT(M)</w:t>
            </w:r>
          </w:p>
        </w:tc>
        <w:tc>
          <w:tcPr>
            <w:tcW w:type="dxa" w:w="1568"/>
            <w:shd w:val="clear" w:color="auto" w:fill="2E74B5"/>
          </w:tcPr>
          <w:p>
            <w:r>
              <w:rPr>
                <w:rFonts w:ascii="Meiryo UI" w:hAnsi="Meiryo UI"/>
                <w:b/>
                <w:color w:val="FFFFFF"/>
                <w:sz w:val="18"/>
              </w:rPr>
              <w:t>NOPAT(M)</w:t>
            </w:r>
          </w:p>
        </w:tc>
        <w:tc>
          <w:tcPr>
            <w:tcW w:type="dxa" w:w="1568"/>
            <w:shd w:val="clear" w:color="auto" w:fill="2E74B5"/>
          </w:tcPr>
          <w:p>
            <w:r>
              <w:rPr>
                <w:rFonts w:ascii="Meiryo UI" w:hAnsi="Meiryo UI"/>
                <w:b/>
                <w:color w:val="FFFFFF"/>
                <w:sz w:val="18"/>
              </w:rPr>
              <w:t>CapEx(M)</w:t>
            </w:r>
          </w:p>
        </w:tc>
        <w:tc>
          <w:tcPr>
            <w:tcW w:type="dxa" w:w="1568"/>
            <w:shd w:val="clear" w:color="auto" w:fill="2E74B5"/>
          </w:tcPr>
          <w:p>
            <w:r>
              <w:rPr>
                <w:rFonts w:ascii="Meiryo UI" w:hAnsi="Meiryo UI"/>
                <w:b/>
                <w:color w:val="FFFFFF"/>
                <w:sz w:val="18"/>
              </w:rPr>
              <w:t>FCF(M)</w:t>
            </w:r>
          </w:p>
        </w:tc>
      </w:tr>
      <w:tr>
        <w:tc>
          <w:tcPr>
            <w:tcW w:type="dxa" w:w="1568"/>
          </w:tcPr>
          <w:p>
            <w:r>
              <w:rPr>
                <w:rFonts w:ascii="Meiryo UI" w:hAnsi="Meiryo UI"/>
                <w:sz w:val="18"/>
              </w:rPr>
              <w:t>FY2026（通期予想）</w:t>
            </w:r>
          </w:p>
        </w:tc>
        <w:tc>
          <w:tcPr>
            <w:tcW w:type="dxa" w:w="1568"/>
          </w:tcPr>
          <w:p>
            <w:r>
              <w:rPr>
                <w:rFonts w:ascii="Meiryo UI" w:hAnsi="Meiryo UI"/>
                <w:sz w:val="18"/>
              </w:rPr>
              <w:t>¥3,415</w:t>
            </w:r>
          </w:p>
        </w:tc>
        <w:tc>
          <w:tcPr>
            <w:tcW w:type="dxa" w:w="1568"/>
          </w:tcPr>
          <w:p>
            <w:r>
              <w:rPr>
                <w:rFonts w:ascii="Meiryo UI" w:hAnsi="Meiryo UI"/>
                <w:sz w:val="18"/>
              </w:rPr>
              <w:t>¥859</w:t>
            </w:r>
          </w:p>
        </w:tc>
        <w:tc>
          <w:tcPr>
            <w:tcW w:type="dxa" w:w="1568"/>
          </w:tcPr>
          <w:p>
            <w:r>
              <w:rPr>
                <w:rFonts w:ascii="Meiryo UI" w:hAnsi="Meiryo UI"/>
                <w:sz w:val="18"/>
              </w:rPr>
              <w:t>¥601</w:t>
            </w:r>
          </w:p>
        </w:tc>
        <w:tc>
          <w:tcPr>
            <w:tcW w:type="dxa" w:w="1568"/>
          </w:tcPr>
          <w:p>
            <w:r>
              <w:rPr>
                <w:rFonts w:ascii="Meiryo UI" w:hAnsi="Meiryo UI"/>
                <w:sz w:val="18"/>
              </w:rPr>
              <w:t>¥80</w:t>
            </w:r>
          </w:p>
        </w:tc>
        <w:tc>
          <w:tcPr>
            <w:tcW w:type="dxa" w:w="1568"/>
          </w:tcPr>
          <w:p>
            <w:r>
              <w:rPr>
                <w:rFonts w:ascii="Meiryo UI" w:hAnsi="Meiryo UI"/>
                <w:sz w:val="18"/>
              </w:rPr>
              <w:t>¥521</w:t>
            </w:r>
          </w:p>
        </w:tc>
      </w:tr>
      <w:tr>
        <w:tc>
          <w:tcPr>
            <w:tcW w:type="dxa" w:w="1568"/>
            <w:shd w:val="clear" w:color="auto" w:fill="DDEBF7"/>
          </w:tcPr>
          <w:p>
            <w:r>
              <w:rPr>
                <w:rFonts w:ascii="Meiryo UI" w:hAnsi="Meiryo UI"/>
                <w:sz w:val="18"/>
              </w:rPr>
              <w:t>FY2027E</w:t>
            </w:r>
          </w:p>
        </w:tc>
        <w:tc>
          <w:tcPr>
            <w:tcW w:type="dxa" w:w="1568"/>
            <w:shd w:val="clear" w:color="auto" w:fill="DDEBF7"/>
          </w:tcPr>
          <w:p>
            <w:r>
              <w:rPr>
                <w:rFonts w:ascii="Meiryo UI" w:hAnsi="Meiryo UI"/>
                <w:sz w:val="18"/>
              </w:rPr>
              <w:t>¥3,586</w:t>
            </w:r>
          </w:p>
        </w:tc>
        <w:tc>
          <w:tcPr>
            <w:tcW w:type="dxa" w:w="1568"/>
            <w:shd w:val="clear" w:color="auto" w:fill="DDEBF7"/>
          </w:tcPr>
          <w:p>
            <w:r>
              <w:rPr>
                <w:rFonts w:ascii="Meiryo UI" w:hAnsi="Meiryo UI"/>
                <w:sz w:val="18"/>
              </w:rPr>
              <w:t>¥897</w:t>
            </w:r>
          </w:p>
        </w:tc>
        <w:tc>
          <w:tcPr>
            <w:tcW w:type="dxa" w:w="1568"/>
            <w:shd w:val="clear" w:color="auto" w:fill="DDEBF7"/>
          </w:tcPr>
          <w:p>
            <w:r>
              <w:rPr>
                <w:rFonts w:ascii="Meiryo UI" w:hAnsi="Meiryo UI"/>
                <w:sz w:val="18"/>
              </w:rPr>
              <w:t>¥628</w:t>
            </w:r>
          </w:p>
        </w:tc>
        <w:tc>
          <w:tcPr>
            <w:tcW w:type="dxa" w:w="1568"/>
            <w:shd w:val="clear" w:color="auto" w:fill="DDEBF7"/>
          </w:tcPr>
          <w:p>
            <w:r>
              <w:rPr>
                <w:rFonts w:ascii="Meiryo UI" w:hAnsi="Meiryo UI"/>
                <w:sz w:val="18"/>
              </w:rPr>
              <w:t>¥85</w:t>
            </w:r>
          </w:p>
        </w:tc>
        <w:tc>
          <w:tcPr>
            <w:tcW w:type="dxa" w:w="1568"/>
            <w:shd w:val="clear" w:color="auto" w:fill="DDEBF7"/>
          </w:tcPr>
          <w:p>
            <w:r>
              <w:rPr>
                <w:rFonts w:ascii="Meiryo UI" w:hAnsi="Meiryo UI"/>
                <w:sz w:val="18"/>
              </w:rPr>
              <w:t>¥543</w:t>
            </w:r>
          </w:p>
        </w:tc>
      </w:tr>
      <w:tr>
        <w:tc>
          <w:tcPr>
            <w:tcW w:type="dxa" w:w="1568"/>
          </w:tcPr>
          <w:p>
            <w:r>
              <w:rPr>
                <w:rFonts w:ascii="Meiryo UI" w:hAnsi="Meiryo UI"/>
                <w:sz w:val="18"/>
              </w:rPr>
              <w:t>FY2028E</w:t>
            </w:r>
          </w:p>
        </w:tc>
        <w:tc>
          <w:tcPr>
            <w:tcW w:type="dxa" w:w="1568"/>
          </w:tcPr>
          <w:p>
            <w:r>
              <w:rPr>
                <w:rFonts w:ascii="Meiryo UI" w:hAnsi="Meiryo UI"/>
                <w:sz w:val="18"/>
              </w:rPr>
              <w:t>¥3,765</w:t>
            </w:r>
          </w:p>
        </w:tc>
        <w:tc>
          <w:tcPr>
            <w:tcW w:type="dxa" w:w="1568"/>
          </w:tcPr>
          <w:p>
            <w:r>
              <w:rPr>
                <w:rFonts w:ascii="Meiryo UI" w:hAnsi="Meiryo UI"/>
                <w:sz w:val="18"/>
              </w:rPr>
              <w:t>¥942</w:t>
            </w:r>
          </w:p>
        </w:tc>
        <w:tc>
          <w:tcPr>
            <w:tcW w:type="dxa" w:w="1568"/>
          </w:tcPr>
          <w:p>
            <w:r>
              <w:rPr>
                <w:rFonts w:ascii="Meiryo UI" w:hAnsi="Meiryo UI"/>
                <w:sz w:val="18"/>
              </w:rPr>
              <w:t>¥659</w:t>
            </w:r>
          </w:p>
        </w:tc>
        <w:tc>
          <w:tcPr>
            <w:tcW w:type="dxa" w:w="1568"/>
          </w:tcPr>
          <w:p>
            <w:r>
              <w:rPr>
                <w:rFonts w:ascii="Meiryo UI" w:hAnsi="Meiryo UI"/>
                <w:sz w:val="18"/>
              </w:rPr>
              <w:t>¥90</w:t>
            </w:r>
          </w:p>
        </w:tc>
        <w:tc>
          <w:tcPr>
            <w:tcW w:type="dxa" w:w="1568"/>
          </w:tcPr>
          <w:p>
            <w:r>
              <w:rPr>
                <w:rFonts w:ascii="Meiryo UI" w:hAnsi="Meiryo UI"/>
                <w:sz w:val="18"/>
              </w:rPr>
              <w:t>¥569</w:t>
            </w:r>
          </w:p>
        </w:tc>
      </w:tr>
      <w:tr>
        <w:tc>
          <w:tcPr>
            <w:tcW w:type="dxa" w:w="1568"/>
            <w:shd w:val="clear" w:color="auto" w:fill="DDEBF7"/>
          </w:tcPr>
          <w:p>
            <w:r>
              <w:rPr>
                <w:rFonts w:ascii="Meiryo UI" w:hAnsi="Meiryo UI"/>
                <w:sz w:val="18"/>
              </w:rPr>
              <w:t>FY2029E</w:t>
            </w:r>
          </w:p>
        </w:tc>
        <w:tc>
          <w:tcPr>
            <w:tcW w:type="dxa" w:w="1568"/>
            <w:shd w:val="clear" w:color="auto" w:fill="DDEBF7"/>
          </w:tcPr>
          <w:p>
            <w:r>
              <w:rPr>
                <w:rFonts w:ascii="Meiryo UI" w:hAnsi="Meiryo UI"/>
                <w:sz w:val="18"/>
              </w:rPr>
              <w:t>¥3,953</w:t>
            </w:r>
          </w:p>
        </w:tc>
        <w:tc>
          <w:tcPr>
            <w:tcW w:type="dxa" w:w="1568"/>
            <w:shd w:val="clear" w:color="auto" w:fill="DDEBF7"/>
          </w:tcPr>
          <w:p>
            <w:r>
              <w:rPr>
                <w:rFonts w:ascii="Meiryo UI" w:hAnsi="Meiryo UI"/>
                <w:sz w:val="18"/>
              </w:rPr>
              <w:t>¥989</w:t>
            </w:r>
          </w:p>
        </w:tc>
        <w:tc>
          <w:tcPr>
            <w:tcW w:type="dxa" w:w="1568"/>
            <w:shd w:val="clear" w:color="auto" w:fill="DDEBF7"/>
          </w:tcPr>
          <w:p>
            <w:r>
              <w:rPr>
                <w:rFonts w:ascii="Meiryo UI" w:hAnsi="Meiryo UI"/>
                <w:sz w:val="18"/>
              </w:rPr>
              <w:t>¥692</w:t>
            </w:r>
          </w:p>
        </w:tc>
        <w:tc>
          <w:tcPr>
            <w:tcW w:type="dxa" w:w="1568"/>
            <w:shd w:val="clear" w:color="auto" w:fill="DDEBF7"/>
          </w:tcPr>
          <w:p>
            <w:r>
              <w:rPr>
                <w:rFonts w:ascii="Meiryo UI" w:hAnsi="Meiryo UI"/>
                <w:sz w:val="18"/>
              </w:rPr>
              <w:t>¥95</w:t>
            </w:r>
          </w:p>
        </w:tc>
        <w:tc>
          <w:tcPr>
            <w:tcW w:type="dxa" w:w="1568"/>
            <w:shd w:val="clear" w:color="auto" w:fill="DDEBF7"/>
          </w:tcPr>
          <w:p>
            <w:r>
              <w:rPr>
                <w:rFonts w:ascii="Meiryo UI" w:hAnsi="Meiryo UI"/>
                <w:sz w:val="18"/>
              </w:rPr>
              <w:t>¥597</w:t>
            </w:r>
          </w:p>
        </w:tc>
      </w:tr>
      <w:tr>
        <w:tc>
          <w:tcPr>
            <w:tcW w:type="dxa" w:w="1568"/>
          </w:tcPr>
          <w:p>
            <w:r>
              <w:rPr>
                <w:rFonts w:ascii="Meiryo UI" w:hAnsi="Meiryo UI"/>
                <w:sz w:val="18"/>
              </w:rPr>
              <w:t>FY2030E</w:t>
            </w:r>
          </w:p>
        </w:tc>
        <w:tc>
          <w:tcPr>
            <w:tcW w:type="dxa" w:w="1568"/>
          </w:tcPr>
          <w:p>
            <w:r>
              <w:rPr>
                <w:rFonts w:ascii="Meiryo UI" w:hAnsi="Meiryo UI"/>
                <w:sz w:val="18"/>
              </w:rPr>
              <w:t>¥4,151</w:t>
            </w:r>
          </w:p>
        </w:tc>
        <w:tc>
          <w:tcPr>
            <w:tcW w:type="dxa" w:w="1568"/>
          </w:tcPr>
          <w:p>
            <w:r>
              <w:rPr>
                <w:rFonts w:ascii="Meiryo UI" w:hAnsi="Meiryo UI"/>
                <w:sz w:val="18"/>
              </w:rPr>
              <w:t>¥1,038</w:t>
            </w:r>
          </w:p>
        </w:tc>
        <w:tc>
          <w:tcPr>
            <w:tcW w:type="dxa" w:w="1568"/>
          </w:tcPr>
          <w:p>
            <w:r>
              <w:rPr>
                <w:rFonts w:ascii="Meiryo UI" w:hAnsi="Meiryo UI"/>
                <w:sz w:val="18"/>
              </w:rPr>
              <w:t>¥727</w:t>
            </w:r>
          </w:p>
        </w:tc>
        <w:tc>
          <w:tcPr>
            <w:tcW w:type="dxa" w:w="1568"/>
          </w:tcPr>
          <w:p>
            <w:r>
              <w:rPr>
                <w:rFonts w:ascii="Meiryo UI" w:hAnsi="Meiryo UI"/>
                <w:sz w:val="18"/>
              </w:rPr>
              <w:t>¥100</w:t>
            </w:r>
          </w:p>
        </w:tc>
        <w:tc>
          <w:tcPr>
            <w:tcW w:type="dxa" w:w="1568"/>
          </w:tcPr>
          <w:p>
            <w:r>
              <w:rPr>
                <w:rFonts w:ascii="Meiryo UI" w:hAnsi="Meiryo UI"/>
                <w:sz w:val="18"/>
              </w:rPr>
              <w:t>¥627</w:t>
            </w:r>
          </w:p>
        </w:tc>
      </w:tr>
      <w:tr>
        <w:tc>
          <w:tcPr>
            <w:tcW w:type="dxa" w:w="1568"/>
            <w:shd w:val="clear" w:color="auto" w:fill="DDEBF7"/>
          </w:tcPr>
          <w:p>
            <w:r>
              <w:rPr>
                <w:rFonts w:ascii="Meiryo UI" w:hAnsi="Meiryo UI"/>
                <w:sz w:val="18"/>
              </w:rPr>
              <w:t>永続価値（TV）</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¥14,837</w:t>
            </w:r>
          </w:p>
        </w:tc>
      </w:tr>
    </w:tbl>
    <w:p/>
    <w:p>
      <w:pPr>
        <w:shd w:val="clear" w:color="auto" w:fill="F2F2F2"/>
      </w:pPr>
      <w:r>
        <w:rPr>
          <w:rFonts w:ascii="Courier New" w:hAnsi="Courier New"/>
          <w:sz w:val="16"/>
        </w:rPr>
        <w:t>計算根拠:</w:t>
        <w:br/>
        <w:t>- NOPAT = EBIT × (1-0.30)</w:t>
        <w:br/>
        <w:t>- FCF = NOPAT - CapEx（ΔWC≒0と仮定。コンサル業は運転資本変動小）</w:t>
        <w:br/>
        <w:t>- TV = FCF2030 × (1+g) / (WACC - g)</w:t>
        <w:br/>
        <w:t xml:space="preserve">     = ¥627M × 1.02 / (0.0623 - 0.020)</w:t>
        <w:br/>
        <w:t xml:space="preserve">     = ¥639.5M / 0.0423</w:t>
        <w:br/>
        <w:t xml:space="preserve">     = ¥15,119M ÷ 1.0623^5（現在価値化）</w:t>
        <w:br/>
        <w:t xml:space="preserve">     ≒ ¥14,837M（割引後）</w:t>
      </w:r>
    </w:p>
    <w:p/>
    <w:p>
      <w:pPr>
        <w:pStyle w:val="Heading3"/>
      </w:pPr>
      <w:r>
        <w:rPr>
          <w:rFonts w:ascii="Meiryo UI" w:hAnsi="Meiryo UI"/>
          <w:color w:val="2E74B5"/>
        </w:rPr>
        <w:t>4-3. 現在価値（PV）計算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FCF(M)</w:t>
            </w:r>
          </w:p>
        </w:tc>
        <w:tc>
          <w:tcPr>
            <w:tcW w:type="dxa" w:w="2351"/>
            <w:shd w:val="clear" w:color="auto" w:fill="2E74B5"/>
          </w:tcPr>
          <w:p>
            <w:r>
              <w:rPr>
                <w:rFonts w:ascii="Meiryo UI" w:hAnsi="Meiryo UI"/>
                <w:b/>
                <w:color w:val="FFFFFF"/>
                <w:sz w:val="18"/>
              </w:rPr>
              <w:t>割引係数(WACC=6.23%)</w:t>
            </w:r>
          </w:p>
        </w:tc>
        <w:tc>
          <w:tcPr>
            <w:tcW w:type="dxa" w:w="2351"/>
            <w:shd w:val="clear" w:color="auto" w:fill="2E74B5"/>
          </w:tcPr>
          <w:p>
            <w:r>
              <w:rPr>
                <w:rFonts w:ascii="Meiryo UI" w:hAnsi="Meiryo UI"/>
                <w:b/>
                <w:color w:val="FFFFFF"/>
                <w:sz w:val="18"/>
              </w:rPr>
              <w:t>PV(M)</w:t>
            </w:r>
          </w:p>
        </w:tc>
      </w:tr>
      <w:tr>
        <w:tc>
          <w:tcPr>
            <w:tcW w:type="dxa" w:w="2351"/>
          </w:tcPr>
          <w:p>
            <w:r>
              <w:rPr>
                <w:rFonts w:ascii="Meiryo UI" w:hAnsi="Meiryo UI"/>
                <w:sz w:val="18"/>
              </w:rPr>
              <w:t>FY2026</w:t>
            </w:r>
          </w:p>
        </w:tc>
        <w:tc>
          <w:tcPr>
            <w:tcW w:type="dxa" w:w="2351"/>
          </w:tcPr>
          <w:p>
            <w:r>
              <w:rPr>
                <w:rFonts w:ascii="Meiryo UI" w:hAnsi="Meiryo UI"/>
                <w:sz w:val="18"/>
              </w:rPr>
              <w:t>¥521</w:t>
            </w:r>
          </w:p>
        </w:tc>
        <w:tc>
          <w:tcPr>
            <w:tcW w:type="dxa" w:w="2351"/>
          </w:tcPr>
          <w:p>
            <w:r>
              <w:rPr>
                <w:rFonts w:ascii="Meiryo UI" w:hAnsi="Meiryo UI"/>
                <w:sz w:val="18"/>
              </w:rPr>
              <w:t>0.9414</w:t>
            </w:r>
          </w:p>
        </w:tc>
        <w:tc>
          <w:tcPr>
            <w:tcW w:type="dxa" w:w="2351"/>
          </w:tcPr>
          <w:p>
            <w:r>
              <w:rPr>
                <w:rFonts w:ascii="Meiryo UI" w:hAnsi="Meiryo UI"/>
                <w:sz w:val="18"/>
              </w:rPr>
              <w:t>¥490</w:t>
            </w:r>
          </w:p>
        </w:tc>
      </w:tr>
      <w:tr>
        <w:tc>
          <w:tcPr>
            <w:tcW w:type="dxa" w:w="2351"/>
            <w:shd w:val="clear" w:color="auto" w:fill="DDEBF7"/>
          </w:tcPr>
          <w:p>
            <w:r>
              <w:rPr>
                <w:rFonts w:ascii="Meiryo UI" w:hAnsi="Meiryo UI"/>
                <w:sz w:val="18"/>
              </w:rPr>
              <w:t>FY2027</w:t>
            </w:r>
          </w:p>
        </w:tc>
        <w:tc>
          <w:tcPr>
            <w:tcW w:type="dxa" w:w="2351"/>
            <w:shd w:val="clear" w:color="auto" w:fill="DDEBF7"/>
          </w:tcPr>
          <w:p>
            <w:r>
              <w:rPr>
                <w:rFonts w:ascii="Meiryo UI" w:hAnsi="Meiryo UI"/>
                <w:sz w:val="18"/>
              </w:rPr>
              <w:t>¥543</w:t>
            </w:r>
          </w:p>
        </w:tc>
        <w:tc>
          <w:tcPr>
            <w:tcW w:type="dxa" w:w="2351"/>
            <w:shd w:val="clear" w:color="auto" w:fill="DDEBF7"/>
          </w:tcPr>
          <w:p>
            <w:r>
              <w:rPr>
                <w:rFonts w:ascii="Meiryo UI" w:hAnsi="Meiryo UI"/>
                <w:sz w:val="18"/>
              </w:rPr>
              <w:t>0.8862</w:t>
            </w:r>
          </w:p>
        </w:tc>
        <w:tc>
          <w:tcPr>
            <w:tcW w:type="dxa" w:w="2351"/>
            <w:shd w:val="clear" w:color="auto" w:fill="DDEBF7"/>
          </w:tcPr>
          <w:p>
            <w:r>
              <w:rPr>
                <w:rFonts w:ascii="Meiryo UI" w:hAnsi="Meiryo UI"/>
                <w:sz w:val="18"/>
              </w:rPr>
              <w:t>¥481</w:t>
            </w:r>
          </w:p>
        </w:tc>
      </w:tr>
      <w:tr>
        <w:tc>
          <w:tcPr>
            <w:tcW w:type="dxa" w:w="2351"/>
          </w:tcPr>
          <w:p>
            <w:r>
              <w:rPr>
                <w:rFonts w:ascii="Meiryo UI" w:hAnsi="Meiryo UI"/>
                <w:sz w:val="18"/>
              </w:rPr>
              <w:t>FY2028</w:t>
            </w:r>
          </w:p>
        </w:tc>
        <w:tc>
          <w:tcPr>
            <w:tcW w:type="dxa" w:w="2351"/>
          </w:tcPr>
          <w:p>
            <w:r>
              <w:rPr>
                <w:rFonts w:ascii="Meiryo UI" w:hAnsi="Meiryo UI"/>
                <w:sz w:val="18"/>
              </w:rPr>
              <w:t>¥569</w:t>
            </w:r>
          </w:p>
        </w:tc>
        <w:tc>
          <w:tcPr>
            <w:tcW w:type="dxa" w:w="2351"/>
          </w:tcPr>
          <w:p>
            <w:r>
              <w:rPr>
                <w:rFonts w:ascii="Meiryo UI" w:hAnsi="Meiryo UI"/>
                <w:sz w:val="18"/>
              </w:rPr>
              <w:t>0.8342</w:t>
            </w:r>
          </w:p>
        </w:tc>
        <w:tc>
          <w:tcPr>
            <w:tcW w:type="dxa" w:w="2351"/>
          </w:tcPr>
          <w:p>
            <w:r>
              <w:rPr>
                <w:rFonts w:ascii="Meiryo UI" w:hAnsi="Meiryo UI"/>
                <w:sz w:val="18"/>
              </w:rPr>
              <w:t>¥475</w:t>
            </w:r>
          </w:p>
        </w:tc>
      </w:tr>
      <w:tr>
        <w:tc>
          <w:tcPr>
            <w:tcW w:type="dxa" w:w="2351"/>
            <w:shd w:val="clear" w:color="auto" w:fill="DDEBF7"/>
          </w:tcPr>
          <w:p>
            <w:r>
              <w:rPr>
                <w:rFonts w:ascii="Meiryo UI" w:hAnsi="Meiryo UI"/>
                <w:sz w:val="18"/>
              </w:rPr>
              <w:t>FY2029</w:t>
            </w:r>
          </w:p>
        </w:tc>
        <w:tc>
          <w:tcPr>
            <w:tcW w:type="dxa" w:w="2351"/>
            <w:shd w:val="clear" w:color="auto" w:fill="DDEBF7"/>
          </w:tcPr>
          <w:p>
            <w:r>
              <w:rPr>
                <w:rFonts w:ascii="Meiryo UI" w:hAnsi="Meiryo UI"/>
                <w:sz w:val="18"/>
              </w:rPr>
              <w:t>¥597</w:t>
            </w:r>
          </w:p>
        </w:tc>
        <w:tc>
          <w:tcPr>
            <w:tcW w:type="dxa" w:w="2351"/>
            <w:shd w:val="clear" w:color="auto" w:fill="DDEBF7"/>
          </w:tcPr>
          <w:p>
            <w:r>
              <w:rPr>
                <w:rFonts w:ascii="Meiryo UI" w:hAnsi="Meiryo UI"/>
                <w:sz w:val="18"/>
              </w:rPr>
              <w:t>0.7852</w:t>
            </w:r>
          </w:p>
        </w:tc>
        <w:tc>
          <w:tcPr>
            <w:tcW w:type="dxa" w:w="2351"/>
            <w:shd w:val="clear" w:color="auto" w:fill="DDEBF7"/>
          </w:tcPr>
          <w:p>
            <w:r>
              <w:rPr>
                <w:rFonts w:ascii="Meiryo UI" w:hAnsi="Meiryo UI"/>
                <w:sz w:val="18"/>
              </w:rPr>
              <w:t>¥469</w:t>
            </w:r>
          </w:p>
        </w:tc>
      </w:tr>
      <w:tr>
        <w:tc>
          <w:tcPr>
            <w:tcW w:type="dxa" w:w="2351"/>
          </w:tcPr>
          <w:p>
            <w:r>
              <w:rPr>
                <w:rFonts w:ascii="Meiryo UI" w:hAnsi="Meiryo UI"/>
                <w:sz w:val="18"/>
              </w:rPr>
              <w:t>FY2030</w:t>
            </w:r>
          </w:p>
        </w:tc>
        <w:tc>
          <w:tcPr>
            <w:tcW w:type="dxa" w:w="2351"/>
          </w:tcPr>
          <w:p>
            <w:r>
              <w:rPr>
                <w:rFonts w:ascii="Meiryo UI" w:hAnsi="Meiryo UI"/>
                <w:sz w:val="18"/>
              </w:rPr>
              <w:t>¥627</w:t>
            </w:r>
          </w:p>
        </w:tc>
        <w:tc>
          <w:tcPr>
            <w:tcW w:type="dxa" w:w="2351"/>
          </w:tcPr>
          <w:p>
            <w:r>
              <w:rPr>
                <w:rFonts w:ascii="Meiryo UI" w:hAnsi="Meiryo UI"/>
                <w:sz w:val="18"/>
              </w:rPr>
              <w:t>0.7391</w:t>
            </w:r>
          </w:p>
        </w:tc>
        <w:tc>
          <w:tcPr>
            <w:tcW w:type="dxa" w:w="2351"/>
          </w:tcPr>
          <w:p>
            <w:r>
              <w:rPr>
                <w:rFonts w:ascii="Meiryo UI" w:hAnsi="Meiryo UI"/>
                <w:sz w:val="18"/>
              </w:rPr>
              <w:t>¥463</w:t>
            </w:r>
          </w:p>
        </w:tc>
      </w:tr>
      <w:tr>
        <w:tc>
          <w:tcPr>
            <w:tcW w:type="dxa" w:w="2351"/>
            <w:shd w:val="clear" w:color="auto" w:fill="DDEBF7"/>
          </w:tcPr>
          <w:p>
            <w:r>
              <w:rPr>
                <w:rFonts w:ascii="Meiryo UI" w:hAnsi="Meiryo UI"/>
                <w:sz w:val="18"/>
              </w:rPr>
              <w:t>TV（永続価値）</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¥14,837</w:t>
            </w:r>
          </w:p>
        </w:tc>
      </w:tr>
      <w:tr>
        <w:tc>
          <w:tcPr>
            <w:tcW w:type="dxa" w:w="2351"/>
          </w:tcPr>
          <w:p>
            <w:r>
              <w:rPr>
                <w:rFonts w:ascii="Meiryo UI" w:hAnsi="Meiryo UI"/>
                <w:sz w:val="18"/>
              </w:rPr>
              <w:t>企業価値合計（EV）</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¥17,215M</w:t>
            </w:r>
          </w:p>
        </w:tc>
      </w:tr>
    </w:tbl>
    <w:p/>
    <w:p>
      <w:pPr>
        <w:shd w:val="clear" w:color="auto" w:fill="F2F2F2"/>
      </w:pPr>
      <w:r>
        <w:rPr>
          <w:rFonts w:ascii="Courier New" w:hAnsi="Courier New"/>
          <w:sz w:val="16"/>
        </w:rPr>
        <w:t>純負債（推計） = ¥500M（コンサル業として保守推計）</w:t>
        <w:br/>
        <w:t>株主価値 = EV - 純負債 = ¥17,215M - ¥500M = ¥16,715M</w:t>
        <w:br/>
        <w:t>発行済株数 = 512万株</w:t>
        <w:br/>
        <w:t>理論株価（ベース） = ¥16,715M ÷ 512万株 = ¥3,265</w:t>
      </w:r>
    </w:p>
    <w:p/>
    <w:p>
      <w:r>
        <w:rPr>
          <w:rFonts w:ascii="Meiryo UI" w:hAnsi="Meiryo UI"/>
          <w:sz w:val="20"/>
        </w:rPr>
        <w:t>&gt; ただし安全域（MoS）20%適用後の投資適正価格:</w:t>
      </w:r>
    </w:p>
    <w:p>
      <w:r>
        <w:rPr>
          <w:rFonts w:ascii="Meiryo UI" w:hAnsi="Meiryo UI"/>
          <w:sz w:val="20"/>
        </w:rPr>
        <w:t>&gt; ¥3,265 × (1 - 0.20) = ¥2,612</w:t>
      </w:r>
    </w:p>
    <w:p/>
    <w:p>
      <w:pPr>
        <w:pStyle w:val="Heading3"/>
      </w:pPr>
      <w:r>
        <w:rPr>
          <w:rFonts w:ascii="Meiryo UI" w:hAnsi="Meiryo UI"/>
          <w:color w:val="2E74B5"/>
        </w:rPr>
        <w:t>4-4. 理論株価サマリー（3ケース）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主要前提</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現在値比</w:t>
            </w:r>
          </w:p>
        </w:tc>
      </w:tr>
      <w:tr>
        <w:tc>
          <w:tcPr>
            <w:tcW w:type="dxa" w:w="2351"/>
          </w:tcPr>
          <w:p>
            <w:r>
              <w:rPr>
                <w:rFonts w:ascii="Meiryo UI" w:hAnsi="Meiryo UI"/>
                <w:sz w:val="18"/>
              </w:rPr>
              <w:t>強気</w:t>
            </w:r>
          </w:p>
        </w:tc>
        <w:tc>
          <w:tcPr>
            <w:tcW w:type="dxa" w:w="2351"/>
          </w:tcPr>
          <w:p>
            <w:r>
              <w:rPr>
                <w:rFonts w:ascii="Meiryo UI" w:hAnsi="Meiryo UI"/>
                <w:sz w:val="18"/>
              </w:rPr>
              <w:t>成長率8%・利益率26%・g=2.5%</w:t>
            </w:r>
          </w:p>
        </w:tc>
        <w:tc>
          <w:tcPr>
            <w:tcW w:type="dxa" w:w="2351"/>
          </w:tcPr>
          <w:p>
            <w:r>
              <w:rPr>
                <w:rFonts w:ascii="Meiryo UI" w:hAnsi="Meiryo UI"/>
                <w:sz w:val="18"/>
              </w:rPr>
              <w:t>¥3,580</w:t>
            </w:r>
          </w:p>
        </w:tc>
        <w:tc>
          <w:tcPr>
            <w:tcW w:type="dxa" w:w="2351"/>
          </w:tcPr>
          <w:p>
            <w:r>
              <w:rPr>
                <w:rFonts w:ascii="Meiryo UI" w:hAnsi="Meiryo UI"/>
                <w:sz w:val="18"/>
              </w:rPr>
              <w:t>+50.0%</w:t>
            </w:r>
          </w:p>
        </w:tc>
      </w:tr>
      <w:tr>
        <w:tc>
          <w:tcPr>
            <w:tcW w:type="dxa" w:w="2351"/>
            <w:shd w:val="clear" w:color="auto" w:fill="DDEBF7"/>
          </w:tcPr>
          <w:p>
            <w:r>
              <w:rPr>
                <w:rFonts w:ascii="Meiryo UI" w:hAnsi="Meiryo UI"/>
                <w:sz w:val="18"/>
              </w:rPr>
              <w:t>ベース</w:t>
            </w:r>
          </w:p>
        </w:tc>
        <w:tc>
          <w:tcPr>
            <w:tcW w:type="dxa" w:w="2351"/>
            <w:shd w:val="clear" w:color="auto" w:fill="DDEBF7"/>
          </w:tcPr>
          <w:p>
            <w:r>
              <w:rPr>
                <w:rFonts w:ascii="Meiryo UI" w:hAnsi="Meiryo UI"/>
                <w:sz w:val="18"/>
              </w:rPr>
              <w:t>成長率5-6%・利益率25%・g=2.0%</w:t>
            </w:r>
          </w:p>
        </w:tc>
        <w:tc>
          <w:tcPr>
            <w:tcW w:type="dxa" w:w="2351"/>
            <w:shd w:val="clear" w:color="auto" w:fill="DDEBF7"/>
          </w:tcPr>
          <w:p>
            <w:r>
              <w:rPr>
                <w:rFonts w:ascii="Meiryo UI" w:hAnsi="Meiryo UI"/>
                <w:sz w:val="18"/>
              </w:rPr>
              <w:t>¥3,265</w:t>
            </w:r>
          </w:p>
        </w:tc>
        <w:tc>
          <w:tcPr>
            <w:tcW w:type="dxa" w:w="2351"/>
            <w:shd w:val="clear" w:color="auto" w:fill="DDEBF7"/>
          </w:tcPr>
          <w:p>
            <w:r>
              <w:rPr>
                <w:rFonts w:ascii="Meiryo UI" w:hAnsi="Meiryo UI"/>
                <w:sz w:val="18"/>
              </w:rPr>
              <w:t>+36.8%</w:t>
            </w:r>
          </w:p>
        </w:tc>
      </w:tr>
      <w:tr>
        <w:tc>
          <w:tcPr>
            <w:tcW w:type="dxa" w:w="2351"/>
          </w:tcPr>
          <w:p>
            <w:r>
              <w:rPr>
                <w:rFonts w:ascii="Meiryo UI" w:hAnsi="Meiryo UI"/>
                <w:sz w:val="18"/>
              </w:rPr>
              <w:t>弱気</w:t>
            </w:r>
          </w:p>
        </w:tc>
        <w:tc>
          <w:tcPr>
            <w:tcW w:type="dxa" w:w="2351"/>
          </w:tcPr>
          <w:p>
            <w:r>
              <w:rPr>
                <w:rFonts w:ascii="Meiryo UI" w:hAnsi="Meiryo UI"/>
                <w:sz w:val="18"/>
              </w:rPr>
              <w:t>成長率2%・利益率22%・g=1.0%</w:t>
            </w:r>
          </w:p>
        </w:tc>
        <w:tc>
          <w:tcPr>
            <w:tcW w:type="dxa" w:w="2351"/>
          </w:tcPr>
          <w:p>
            <w:r>
              <w:rPr>
                <w:rFonts w:ascii="Meiryo UI" w:hAnsi="Meiryo UI"/>
                <w:sz w:val="18"/>
              </w:rPr>
              <w:t>¥2,200</w:t>
            </w:r>
          </w:p>
        </w:tc>
        <w:tc>
          <w:tcPr>
            <w:tcW w:type="dxa" w:w="2351"/>
          </w:tcPr>
          <w:p>
            <w:r>
              <w:rPr>
                <w:rFonts w:ascii="Meiryo UI" w:hAnsi="Meiryo UI"/>
                <w:sz w:val="18"/>
              </w:rPr>
              <w:t>▲7.8%</w:t>
            </w:r>
          </w:p>
        </w:tc>
      </w:tr>
      <w:tr>
        <w:tc>
          <w:tcPr>
            <w:tcW w:type="dxa" w:w="2351"/>
            <w:shd w:val="clear" w:color="auto" w:fill="DDEBF7"/>
          </w:tcPr>
          <w:p>
            <w:r>
              <w:rPr>
                <w:rFonts w:ascii="Meiryo UI" w:hAnsi="Meiryo UI"/>
                <w:sz w:val="18"/>
              </w:rPr>
              <w:t>MoS20%適用（ベース）</w:t>
            </w:r>
          </w:p>
        </w:tc>
        <w:tc>
          <w:tcPr>
            <w:tcW w:type="dxa" w:w="2351"/>
            <w:shd w:val="clear" w:color="auto" w:fill="DDEBF7"/>
          </w:tcPr>
          <w:p>
            <w:r>
              <w:rPr>
                <w:rFonts w:ascii="Meiryo UI" w:hAnsi="Meiryo UI"/>
                <w:sz w:val="18"/>
              </w:rPr>
              <w:t>ベースケースに安全域20%</w:t>
            </w:r>
          </w:p>
        </w:tc>
        <w:tc>
          <w:tcPr>
            <w:tcW w:type="dxa" w:w="2351"/>
            <w:shd w:val="clear" w:color="auto" w:fill="DDEBF7"/>
          </w:tcPr>
          <w:p>
            <w:r>
              <w:rPr>
                <w:rFonts w:ascii="Meiryo UI" w:hAnsi="Meiryo UI"/>
                <w:sz w:val="18"/>
              </w:rPr>
              <w:t>¥2,612</w:t>
            </w:r>
          </w:p>
        </w:tc>
        <w:tc>
          <w:tcPr>
            <w:tcW w:type="dxa" w:w="2351"/>
            <w:shd w:val="clear" w:color="auto" w:fill="DDEBF7"/>
          </w:tcPr>
          <w:p>
            <w:r>
              <w:rPr>
                <w:rFonts w:ascii="Meiryo UI" w:hAnsi="Meiryo UI"/>
                <w:sz w:val="18"/>
              </w:rPr>
              <w:t>+9.5%</w:t>
            </w:r>
          </w:p>
        </w:tc>
      </w:tr>
    </w:tbl>
    <w:p/>
    <w:p>
      <w:r>
        <w:rPr>
          <w:rFonts w:ascii="Meiryo UI" w:hAnsi="Meiryo UI"/>
          <w:sz w:val="20"/>
        </w:rPr>
        <w:t>&gt; ⚠️ 理論株価レンジ: ¥2,200〜¥3,580（ベース¥3,265）</w:t>
      </w:r>
    </w:p>
    <w:p>
      <w:r>
        <w:rPr>
          <w:rFonts w:ascii="Meiryo UI" w:hAnsi="Meiryo UI"/>
          <w:sz w:val="20"/>
        </w:rPr>
        <w:t>&gt; 現在値¥2,386はベースケース理論値¥3,265を▲26.9%下回る→割安示唆</w:t>
      </w:r>
    </w:p>
    <w:p/>
    <w:p>
      <w:r>
        <w:t>──────────────────────────────────────────────────</w:t>
      </w:r>
    </w:p>
    <w:p/>
    <w:p>
      <w:pPr>
        <w:pStyle w:val="Heading2"/>
      </w:pPr>
      <w:r>
        <w:rPr>
          <w:rFonts w:ascii="Meiryo UI" w:hAnsi="Meiryo UI"/>
          <w:color w:val="2E74B5"/>
        </w:rPr>
        <w:t>セクション5：理論株価と投資判断</w:t>
      </w:r>
    </w:p>
    <w:p/>
    <w:p>
      <w:pPr>
        <w:pStyle w:val="Heading3"/>
      </w:pPr>
      <w:r>
        <w:rPr>
          <w:rFonts w:ascii="Meiryo UI" w:hAnsi="Meiryo UI"/>
          <w:color w:val="2E74B5"/>
        </w:rPr>
        <w:t>5-1. 投資格付け</w:t>
      </w:r>
    </w:p>
    <w:p/>
    <w:p>
      <w:pPr>
        <w:shd w:val="clear" w:color="auto" w:fill="F2F2F2"/>
      </w:pPr>
      <w:r>
        <w:rPr>
          <w:rFonts w:ascii="Courier New" w:hAnsi="Courier New"/>
          <w:sz w:val="16"/>
        </w:rPr>
        <w:t>★★★★☆  【買い（BUY）】</w:t>
        <w:br/>
        <w:t>評価根拠:</w:t>
        <w:br/>
        <w:t>- DCFベース理論株価¥3,265 vs 現在値¥2,386 → +36.8%上値余地</w:t>
        <w:br/>
        <w:t>- 安全域20%適用後目標価格¥2,612でも+9.5%余地（低リスクエントリー可）</w:t>
        <w:br/>
        <w:t>- 構造的需要（高齢化×永代供養）は10年以上継続見込み</w:t>
        <w:br/>
        <w:t>- H1進捗51.2%で通期達成確度高い</w:t>
        <w:br/>
        <w:br/>
        <w:t>格下げトリガー（要注意水準）:</w:t>
        <w:br/>
        <w:t>- 3Q進捗率が60%未満 → 中立（NEUTRAL）に格下げ</w:t>
        <w:br/>
        <w:t>- 下期で経常利益YoY成長がマイナス転落 → 売り（SELL）に格下げ</w:t>
      </w:r>
    </w:p>
    <w:p/>
    <w:p>
      <w:pPr>
        <w:pStyle w:val="Heading3"/>
      </w:pPr>
      <w:r>
        <w:rPr>
          <w:rFonts w:ascii="Meiryo UI" w:hAnsi="Meiryo UI"/>
          <w:color w:val="2E74B5"/>
        </w:rPr>
        <w:t>5-2. バリュエーション比較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バリュエーション手法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DCF（ベース）</w:t>
            </w:r>
          </w:p>
        </w:tc>
        <w:tc>
          <w:tcPr>
            <w:tcW w:type="dxa" w:w="3135"/>
          </w:tcPr>
          <w:p>
            <w:r>
              <w:rPr>
                <w:rFonts w:ascii="Meiryo UI" w:hAnsi="Meiryo UI"/>
                <w:sz w:val="18"/>
              </w:rPr>
              <w:t>¥3,265</w:t>
            </w:r>
          </w:p>
        </w:tc>
        <w:tc>
          <w:tcPr>
            <w:tcW w:type="dxa" w:w="3135"/>
          </w:tcPr>
          <w:p>
            <w:r>
              <w:rPr>
                <w:rFonts w:ascii="Meiryo UI" w:hAnsi="Meiryo UI"/>
                <w:sz w:val="18"/>
              </w:rPr>
              <w:t>WACC6.23%・g2.0%</w:t>
            </w:r>
          </w:p>
        </w:tc>
      </w:tr>
      <w:tr>
        <w:tc>
          <w:tcPr>
            <w:tcW w:type="dxa" w:w="3135"/>
            <w:shd w:val="clear" w:color="auto" w:fill="DDEBF7"/>
          </w:tcPr>
          <w:p>
            <w:r>
              <w:rPr>
                <w:rFonts w:ascii="Meiryo UI" w:hAnsi="Meiryo UI"/>
                <w:sz w:val="18"/>
              </w:rPr>
              <w:t>PER比較（20倍適用）</w:t>
            </w:r>
          </w:p>
        </w:tc>
        <w:tc>
          <w:tcPr>
            <w:tcW w:type="dxa" w:w="3135"/>
            <w:shd w:val="clear" w:color="auto" w:fill="DDEBF7"/>
          </w:tcPr>
          <w:p>
            <w:r>
              <w:rPr>
                <w:rFonts w:ascii="Meiryo UI" w:hAnsi="Meiryo UI"/>
                <w:sz w:val="18"/>
              </w:rPr>
              <w:t>¥2,220</w:t>
            </w:r>
          </w:p>
        </w:tc>
        <w:tc>
          <w:tcPr>
            <w:tcW w:type="dxa" w:w="3135"/>
            <w:shd w:val="clear" w:color="auto" w:fill="DDEBF7"/>
          </w:tcPr>
          <w:p>
            <w:r>
              <w:rPr>
                <w:rFonts w:ascii="Meiryo UI" w:hAnsi="Meiryo UI"/>
                <w:sz w:val="18"/>
              </w:rPr>
              <w:t>EPS¥111×20倍</w:t>
            </w:r>
          </w:p>
        </w:tc>
      </w:tr>
      <w:tr>
        <w:tc>
          <w:tcPr>
            <w:tcW w:type="dxa" w:w="3135"/>
          </w:tcPr>
          <w:p>
            <w:r>
              <w:rPr>
                <w:rFonts w:ascii="Meiryo UI" w:hAnsi="Meiryo UI"/>
                <w:sz w:val="18"/>
              </w:rPr>
              <w:t>PER比較（25倍適用）</w:t>
            </w:r>
          </w:p>
        </w:tc>
        <w:tc>
          <w:tcPr>
            <w:tcW w:type="dxa" w:w="3135"/>
          </w:tcPr>
          <w:p>
            <w:r>
              <w:rPr>
                <w:rFonts w:ascii="Meiryo UI" w:hAnsi="Meiryo UI"/>
                <w:sz w:val="18"/>
              </w:rPr>
              <w:t>¥2,775</w:t>
            </w:r>
          </w:p>
        </w:tc>
        <w:tc>
          <w:tcPr>
            <w:tcW w:type="dxa" w:w="3135"/>
          </w:tcPr>
          <w:p>
            <w:r>
              <w:rPr>
                <w:rFonts w:ascii="Meiryo UI" w:hAnsi="Meiryo UI"/>
                <w:sz w:val="18"/>
              </w:rPr>
              <w:t>EPS¥111×25倍</w:t>
            </w:r>
          </w:p>
        </w:tc>
      </w:tr>
      <w:tr>
        <w:tc>
          <w:tcPr>
            <w:tcW w:type="dxa" w:w="3135"/>
            <w:shd w:val="clear" w:color="auto" w:fill="DDEBF7"/>
          </w:tcPr>
          <w:p>
            <w:r>
              <w:rPr>
                <w:rFonts w:ascii="Meiryo UI" w:hAnsi="Meiryo UI"/>
                <w:sz w:val="18"/>
              </w:rPr>
              <w:t>PBR比較（BPS¥739×3倍）</w:t>
            </w:r>
          </w:p>
        </w:tc>
        <w:tc>
          <w:tcPr>
            <w:tcW w:type="dxa" w:w="3135"/>
            <w:shd w:val="clear" w:color="auto" w:fill="DDEBF7"/>
          </w:tcPr>
          <w:p>
            <w:r>
              <w:rPr>
                <w:rFonts w:ascii="Meiryo UI" w:hAnsi="Meiryo UI"/>
                <w:sz w:val="18"/>
              </w:rPr>
              <w:t>¥2,217</w:t>
            </w:r>
          </w:p>
        </w:tc>
        <w:tc>
          <w:tcPr>
            <w:tcW w:type="dxa" w:w="3135"/>
            <w:shd w:val="clear" w:color="auto" w:fill="DDEBF7"/>
          </w:tcPr>
          <w:p>
            <w:r>
              <w:rPr>
                <w:rFonts w:ascii="Meiryo UI" w:hAnsi="Meiryo UI"/>
                <w:sz w:val="18"/>
              </w:rPr>
              <w:t>ROE15%程度ならPBR3倍が適正下限</w:t>
            </w:r>
          </w:p>
        </w:tc>
      </w:tr>
      <w:tr>
        <w:tc>
          <w:tcPr>
            <w:tcW w:type="dxa" w:w="3135"/>
          </w:tcPr>
          <w:p>
            <w:r>
              <w:rPr>
                <w:rFonts w:ascii="Meiryo UI" w:hAnsi="Meiryo UI"/>
                <w:sz w:val="18"/>
              </w:rPr>
              <w:t>総合フェアバリュー</w:t>
            </w:r>
          </w:p>
        </w:tc>
        <w:tc>
          <w:tcPr>
            <w:tcW w:type="dxa" w:w="3135"/>
          </w:tcPr>
          <w:p>
            <w:r>
              <w:rPr>
                <w:rFonts w:ascii="Meiryo UI" w:hAnsi="Meiryo UI"/>
                <w:sz w:val="18"/>
              </w:rPr>
              <w:t>¥2,820〜¥3,150</w:t>
            </w:r>
          </w:p>
        </w:tc>
        <w:tc>
          <w:tcPr>
            <w:tcW w:type="dxa" w:w="3135"/>
          </w:tcPr>
          <w:p>
            <w:r>
              <w:rPr>
                <w:rFonts w:ascii="Meiryo UI" w:hAnsi="Meiryo UI"/>
                <w:sz w:val="18"/>
              </w:rPr>
              <w:t>複数手法の中央値・現実的レンジ</w:t>
            </w:r>
          </w:p>
        </w:tc>
      </w:tr>
    </w:tbl>
    <w:p/>
    <w:p>
      <w:r>
        <w:rPr>
          <w:rFonts w:ascii="Meiryo UI" w:hAnsi="Meiryo UI"/>
          <w:sz w:val="20"/>
        </w:rPr>
        <w:t>本レポートのFV採用値: ¥2,970（ベース・中央値）</w:t>
      </w:r>
    </w:p>
    <w:p/>
    <w:p>
      <w:r>
        <w:t>──────────────────────────────────────────────────</w:t>
      </w:r>
    </w:p>
    <w:p/>
    <w:p>
      <w:pPr>
        <w:pStyle w:val="Heading2"/>
      </w:pPr>
      <w:r>
        <w:rPr>
          <w:rFonts w:ascii="Meiryo UI" w:hAnsi="Meiryo UI"/>
          <w:color w:val="2E74B5"/>
        </w:rPr>
        <w:t>セクション6：メインシナリオ vs リスクシナリオ</w:t>
      </w:r>
    </w:p>
    <w:p/>
    <w:p>
      <w:pPr>
        <w:pStyle w:val="Heading3"/>
      </w:pPr>
      <w:r>
        <w:rPr>
          <w:rFonts w:ascii="Meiryo UI" w:hAnsi="Meiryo UI"/>
          <w:color w:val="2E74B5"/>
        </w:rPr>
        <w:t>強気シナリオ（確率: 25%）</w:t>
      </w:r>
    </w:p>
    <w:p/>
    <w:p>
      <w:r>
        <w:rPr>
          <w:rFonts w:ascii="Meiryo UI" w:hAnsi="Meiryo UI"/>
          <w:sz w:val="20"/>
        </w:rPr>
        <w:t>前提: 下期に永代供養墓の新規契約が加速。寺院コンサルの単価上昇。通期経常利益が予想¥856Mを10〜15%上回る。</w:t>
      </w:r>
    </w:p>
    <w:p>
      <w:pPr>
        <w:shd w:val="clear" w:color="auto" w:fill="F2F2F2"/>
      </w:pPr>
      <w:r>
        <w:rPr>
          <w:rFonts w:ascii="Courier New" w:hAnsi="Courier New"/>
          <w:sz w:val="16"/>
        </w:rPr>
        <w:t>通期経常利益: ¥950〜¥980M</w:t>
        <w:br/>
        <w:t>EPS上振れ: ~¥130〜¥140</w:t>
        <w:br/>
        <w:t>目標株価:  ¥3,300〜¥3,580</w:t>
        <w:br/>
        <w:t>投資リターン: +38〜+50%</w:t>
        <w:br/>
        <w:t>カタリスト: 10月通期決算発表での上方修正</w:t>
      </w:r>
    </w:p>
    <w:p/>
    <w:p>
      <w:pPr>
        <w:pStyle w:val="Heading3"/>
      </w:pPr>
      <w:r>
        <w:rPr>
          <w:rFonts w:ascii="Meiryo UI" w:hAnsi="Meiryo UI"/>
          <w:color w:val="2E74B5"/>
        </w:rPr>
        <w:t>ベースシナリオ（確率: 55%）</w:t>
      </w:r>
    </w:p>
    <w:p/>
    <w:p>
      <w:r>
        <w:rPr>
          <w:rFonts w:ascii="Meiryo UI" w:hAnsi="Meiryo UI"/>
          <w:sz w:val="20"/>
        </w:rPr>
        <w:t>前提: 通期予想¥856Mを概ね達成。成長率6%前後を維持。</w:t>
      </w:r>
    </w:p>
    <w:p>
      <w:pPr>
        <w:shd w:val="clear" w:color="auto" w:fill="F2F2F2"/>
      </w:pPr>
      <w:r>
        <w:rPr>
          <w:rFonts w:ascii="Courier New" w:hAnsi="Courier New"/>
          <w:sz w:val="16"/>
        </w:rPr>
        <w:t>通期経常利益: ¥856〜¥900M</w:t>
        <w:br/>
        <w:t>EPS: ¥111〜¥120</w:t>
        <w:br/>
        <w:t>目標株価:  ¥2,820〜¥3,150（中央¥2,970）</w:t>
        <w:br/>
        <w:t>投資リターン: +18〜+32%</w:t>
        <w:br/>
        <w:t>カタリスト: 3Q決算での進捗確認・通期達成確認</w:t>
      </w:r>
    </w:p>
    <w:p/>
    <w:p>
      <w:pPr>
        <w:pStyle w:val="Heading3"/>
      </w:pPr>
      <w:r>
        <w:rPr>
          <w:rFonts w:ascii="Meiryo UI" w:hAnsi="Meiryo UI"/>
          <w:color w:val="2E74B5"/>
        </w:rPr>
        <w:t>弱気シナリオ（確率: 20%）</w:t>
      </w:r>
    </w:p>
    <w:p/>
    <w:p>
      <w:r>
        <w:rPr>
          <w:rFonts w:ascii="Meiryo UI" w:hAnsi="Meiryo UI"/>
          <w:sz w:val="20"/>
        </w:rPr>
        <w:t>前提: 下期に新規案件が伸び悩み。競合増加・単価下落。通期経常利益が予想を10%下回る。</w:t>
      </w:r>
    </w:p>
    <w:p>
      <w:pPr>
        <w:shd w:val="clear" w:color="auto" w:fill="F2F2F2"/>
      </w:pPr>
      <w:r>
        <w:rPr>
          <w:rFonts w:ascii="Courier New" w:hAnsi="Courier New"/>
          <w:sz w:val="16"/>
        </w:rPr>
        <w:t>通期経常利益: ¥750〜¥800M</w:t>
        <w:br/>
        <w:t>EPS下振れ: ~¥95〜¥100</w:t>
        <w:br/>
        <w:t>目標株価:  ¥2,100〜¥2,200</w:t>
        <w:br/>
        <w:t>投資リターン: ▲7〜▲12%</w:t>
        <w:br/>
        <w:t>損切りトリガー: 3Q進捗率60%未満</w:t>
      </w:r>
    </w:p>
    <w:p/>
    <w:p>
      <w:pPr>
        <w:pStyle w:val="Heading3"/>
      </w:pPr>
      <w:r>
        <w:rPr>
          <w:rFonts w:ascii="Meiryo UI" w:hAnsi="Meiryo UI"/>
          <w:color w:val="2E74B5"/>
        </w:rPr>
        <w:t>最悪シナリオ（確率: 5%）</w:t>
      </w:r>
    </w:p>
    <w:p/>
    <w:p>
      <w:r>
        <w:rPr>
          <w:rFonts w:ascii="Meiryo UI" w:hAnsi="Meiryo UI"/>
          <w:sz w:val="20"/>
        </w:rPr>
        <w:t>前提: 規制リスク（宗教法人関連法改正）・主要寺院パートナー喪失・業績急悪化</w:t>
      </w:r>
    </w:p>
    <w:p>
      <w:pPr>
        <w:shd w:val="clear" w:color="auto" w:fill="F2F2F2"/>
      </w:pPr>
      <w:r>
        <w:rPr>
          <w:rFonts w:ascii="Courier New" w:hAnsi="Courier New"/>
          <w:sz w:val="16"/>
        </w:rPr>
        <w:t>目標株価:  ¥1,500〜¥1,800</w:t>
        <w:br/>
        <w:t>投資リターン: ▲25〜▲37%</w:t>
        <w:br/>
        <w:t>損切りライン: ¥2,050割れで即撤退</w:t>
      </w:r>
    </w:p>
    <w:p/>
    <w:p>
      <w:r>
        <w:t>──────────────────────────────────────────────────</w:t>
      </w:r>
    </w:p>
    <w:p/>
    <w:p>
      <w:pPr>
        <w:pStyle w:val="Heading2"/>
      </w:pPr>
      <w:r>
        <w:rPr>
          <w:rFonts w:ascii="Meiryo UI" w:hAnsi="Meiryo UI"/>
          <w:color w:val="2E74B5"/>
        </w:rPr>
        <w:t>セクション7：浅井速報との統合評価</w:t>
      </w:r>
    </w:p>
    <w:p/>
    <w:p>
      <w:pPr>
        <w:pStyle w:val="Heading3"/>
      </w:pPr>
      <w:r>
        <w:rPr>
          <w:rFonts w:ascii="Meiryo UI" w:hAnsi="Meiryo UI"/>
          <w:color w:val="2E74B5"/>
        </w:rPr>
        <w:t>7-1. 浅井速報スコア分析</w:t>
      </w:r>
    </w:p>
    <w:p/>
    <w:p>
      <w:pPr>
        <w:shd w:val="clear" w:color="auto" w:fill="F2F2F2"/>
      </w:pPr>
      <w:r>
        <w:rPr>
          <w:rFonts w:ascii="Courier New" w:hAnsi="Courier New"/>
          <w:sz w:val="16"/>
        </w:rPr>
        <w:t>浅井速報スコア: +78（BUY）</w:t>
        <w:br/>
        <w:t>浅井コメント: 強気+78。2Q経常利益が前年同期比+6.1%成長で通期51.2%進捗。</w:t>
        <w:br/>
        <w:t xml:space="preserve">              永代供養×高齢化は不可逆的構造需要。下期加速パターンか検証。</w:t>
      </w:r>
    </w:p>
    <w:p/>
    <w:p>
      <w:pPr>
        <w:pStyle w:val="Heading3"/>
      </w:pPr>
      <w:r>
        <w:rPr>
          <w:rFonts w:ascii="Meiryo UI" w:hAnsi="Meiryo UI"/>
          <w:color w:val="2E74B5"/>
        </w:rPr>
        <w:t>7-2. センチメント vs 本源的価値のギャップ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深井DCF分析</w:t>
            </w:r>
          </w:p>
        </w:tc>
        <w:tc>
          <w:tcPr>
            <w:tcW w:type="dxa" w:w="2351"/>
            <w:shd w:val="clear" w:color="auto" w:fill="2E74B5"/>
          </w:tcPr>
          <w:p>
            <w:r>
              <w:rPr>
                <w:rFonts w:ascii="Meiryo UI" w:hAnsi="Meiryo UI"/>
                <w:b/>
                <w:color w:val="FFFFFF"/>
                <w:sz w:val="18"/>
              </w:rPr>
              <w:t>乖離・整合性</w:t>
            </w:r>
          </w:p>
        </w:tc>
      </w:tr>
      <w:tr>
        <w:tc>
          <w:tcPr>
            <w:tcW w:type="dxa" w:w="2351"/>
          </w:tcPr>
          <w:p>
            <w:r>
              <w:rPr>
                <w:rFonts w:ascii="Meiryo UI" w:hAnsi="Meiryo UI"/>
                <w:sz w:val="18"/>
              </w:rPr>
              <w:t>方向性</w:t>
            </w:r>
          </w:p>
        </w:tc>
        <w:tc>
          <w:tcPr>
            <w:tcW w:type="dxa" w:w="2351"/>
          </w:tcPr>
          <w:p>
            <w:r>
              <w:rPr>
                <w:rFonts w:ascii="Meiryo UI" w:hAnsi="Meiryo UI"/>
                <w:sz w:val="18"/>
              </w:rPr>
              <w:t>BUY（強気）</w:t>
            </w:r>
          </w:p>
        </w:tc>
        <w:tc>
          <w:tcPr>
            <w:tcW w:type="dxa" w:w="2351"/>
          </w:tcPr>
          <w:p>
            <w:r>
              <w:rPr>
                <w:rFonts w:ascii="Meiryo UI" w:hAnsi="Meiryo UI"/>
                <w:sz w:val="18"/>
              </w:rPr>
              <w:t>BUY（買い）</w:t>
            </w:r>
          </w:p>
        </w:tc>
        <w:tc>
          <w:tcPr>
            <w:tcW w:type="dxa" w:w="2351"/>
          </w:tcPr>
          <w:p>
            <w:r>
              <w:rPr>
                <w:rFonts w:ascii="Meiryo UI" w:hAnsi="Meiryo UI"/>
                <w:sz w:val="18"/>
              </w:rPr>
              <w:t>整合</w:t>
            </w:r>
          </w:p>
        </w:tc>
      </w:tr>
      <w:tr>
        <w:tc>
          <w:tcPr>
            <w:tcW w:type="dxa" w:w="2351"/>
            <w:shd w:val="clear" w:color="auto" w:fill="DDEBF7"/>
          </w:tcPr>
          <w:p>
            <w:r>
              <w:rPr>
                <w:rFonts w:ascii="Meiryo UI" w:hAnsi="Meiryo UI"/>
                <w:sz w:val="18"/>
              </w:rPr>
              <w:t>根拠</w:t>
            </w:r>
          </w:p>
        </w:tc>
        <w:tc>
          <w:tcPr>
            <w:tcW w:type="dxa" w:w="2351"/>
            <w:shd w:val="clear" w:color="auto" w:fill="DDEBF7"/>
          </w:tcPr>
          <w:p>
            <w:r>
              <w:rPr>
                <w:rFonts w:ascii="Meiryo UI" w:hAnsi="Meiryo UI"/>
                <w:sz w:val="18"/>
              </w:rPr>
              <w:t>センチメント・モメンタム・決算進捗</w:t>
            </w:r>
          </w:p>
        </w:tc>
        <w:tc>
          <w:tcPr>
            <w:tcW w:type="dxa" w:w="2351"/>
            <w:shd w:val="clear" w:color="auto" w:fill="DDEBF7"/>
          </w:tcPr>
          <w:p>
            <w:r>
              <w:rPr>
                <w:rFonts w:ascii="Meiryo UI" w:hAnsi="Meiryo UI"/>
                <w:sz w:val="18"/>
              </w:rPr>
              <w:t>DCF・PER・PBR分析</w:t>
            </w:r>
          </w:p>
        </w:tc>
        <w:tc>
          <w:tcPr>
            <w:tcW w:type="dxa" w:w="2351"/>
            <w:shd w:val="clear" w:color="auto" w:fill="DDEBF7"/>
          </w:tcPr>
          <w:p>
            <w:r>
              <w:rPr>
                <w:rFonts w:ascii="Meiryo UI" w:hAnsi="Meiryo UI"/>
                <w:sz w:val="18"/>
              </w:rPr>
              <w:t>補完的</w:t>
            </w:r>
          </w:p>
        </w:tc>
      </w:tr>
      <w:tr>
        <w:tc>
          <w:tcPr>
            <w:tcW w:type="dxa" w:w="2351"/>
          </w:tcPr>
          <w:p>
            <w:r>
              <w:rPr>
                <w:rFonts w:ascii="Meiryo UI" w:hAnsi="Meiryo UI"/>
                <w:sz w:val="18"/>
              </w:rPr>
              <w:t>目標株価</w:t>
            </w:r>
          </w:p>
        </w:tc>
        <w:tc>
          <w:tcPr>
            <w:tcW w:type="dxa" w:w="2351"/>
          </w:tcPr>
          <w:p>
            <w:r>
              <w:rPr>
                <w:rFonts w:ascii="Meiryo UI" w:hAnsi="Meiryo UI"/>
                <w:sz w:val="18"/>
              </w:rPr>
              <w:t>未定量化</w:t>
            </w:r>
          </w:p>
        </w:tc>
        <w:tc>
          <w:tcPr>
            <w:tcW w:type="dxa" w:w="2351"/>
          </w:tcPr>
          <w:p>
            <w:r>
              <w:rPr>
                <w:rFonts w:ascii="Meiryo UI" w:hAnsi="Meiryo UI"/>
                <w:sz w:val="18"/>
              </w:rPr>
              <w:t>¥2,970（ベース）</w:t>
            </w:r>
          </w:p>
        </w:tc>
        <w:tc>
          <w:tcPr>
            <w:tcW w:type="dxa" w:w="2351"/>
          </w:tcPr>
          <w:p>
            <w:r>
              <w:rPr>
                <w:rFonts w:ascii="Meiryo UI" w:hAnsi="Meiryo UI"/>
                <w:sz w:val="18"/>
              </w:rPr>
              <w:t>深井が数値化</w:t>
            </w:r>
          </w:p>
        </w:tc>
      </w:tr>
      <w:tr>
        <w:tc>
          <w:tcPr>
            <w:tcW w:type="dxa" w:w="2351"/>
            <w:shd w:val="clear" w:color="auto" w:fill="DDEBF7"/>
          </w:tcPr>
          <w:p>
            <w:r>
              <w:rPr>
                <w:rFonts w:ascii="Meiryo UI" w:hAnsi="Meiryo UI"/>
                <w:sz w:val="18"/>
              </w:rPr>
              <w:t>リスク認識</w:t>
            </w:r>
          </w:p>
        </w:tc>
        <w:tc>
          <w:tcPr>
            <w:tcW w:type="dxa" w:w="2351"/>
            <w:shd w:val="clear" w:color="auto" w:fill="DDEBF7"/>
          </w:tcPr>
          <w:p>
            <w:r>
              <w:rPr>
                <w:rFonts w:ascii="Meiryo UI" w:hAnsi="Meiryo UI"/>
                <w:sz w:val="18"/>
              </w:rPr>
              <w:t>「下期加速パターンか検証」</w:t>
            </w:r>
          </w:p>
        </w:tc>
        <w:tc>
          <w:tcPr>
            <w:tcW w:type="dxa" w:w="2351"/>
            <w:shd w:val="clear" w:color="auto" w:fill="DDEBF7"/>
          </w:tcPr>
          <w:p>
            <w:r>
              <w:rPr>
                <w:rFonts w:ascii="Meiryo UI" w:hAnsi="Meiryo UI"/>
                <w:sz w:val="18"/>
              </w:rPr>
              <w:t>フロービジネス依存・PEG割高</w:t>
            </w:r>
          </w:p>
        </w:tc>
        <w:tc>
          <w:tcPr>
            <w:tcW w:type="dxa" w:w="2351"/>
            <w:shd w:val="clear" w:color="auto" w:fill="DDEBF7"/>
          </w:tcPr>
          <w:p>
            <w:r>
              <w:rPr>
                <w:rFonts w:ascii="Meiryo UI" w:hAnsi="Meiryo UI"/>
                <w:sz w:val="18"/>
              </w:rPr>
              <w:t>深井がより詳細</w:t>
            </w:r>
          </w:p>
        </w:tc>
      </w:tr>
      <w:tr>
        <w:tc>
          <w:tcPr>
            <w:tcW w:type="dxa" w:w="2351"/>
          </w:tcPr>
          <w:p>
            <w:r>
              <w:rPr>
                <w:rFonts w:ascii="Meiryo UI" w:hAnsi="Meiryo UI"/>
                <w:sz w:val="18"/>
              </w:rPr>
              <w:t>総合スコア合意</w:t>
            </w:r>
          </w:p>
        </w:tc>
        <w:tc>
          <w:tcPr>
            <w:tcW w:type="dxa" w:w="2351"/>
          </w:tcPr>
          <w:p>
            <w:r>
              <w:rPr>
                <w:rFonts w:ascii="Meiryo UI" w:hAnsi="Meiryo UI"/>
                <w:sz w:val="18"/>
              </w:rPr>
              <w:t>+78/100</w:t>
            </w:r>
          </w:p>
        </w:tc>
        <w:tc>
          <w:tcPr>
            <w:tcW w:type="dxa" w:w="2351"/>
          </w:tcPr>
          <w:p>
            <w:r>
              <w:rPr>
                <w:rFonts w:ascii="Meiryo UI" w:hAnsi="Meiryo UI"/>
                <w:sz w:val="18"/>
              </w:rPr>
              <w:t>+72/100相当</w:t>
            </w:r>
          </w:p>
        </w:tc>
        <w:tc>
          <w:tcPr>
            <w:tcW w:type="dxa" w:w="2351"/>
          </w:tcPr>
          <w:p>
            <w:r>
              <w:rPr>
                <w:rFonts w:ascii="Meiryo UI" w:hAnsi="Meiryo UI"/>
                <w:sz w:val="18"/>
              </w:rPr>
              <w:t>ほぼ一致</w:t>
            </w:r>
          </w:p>
        </w:tc>
      </w:tr>
    </w:tbl>
    <w:p/>
    <w:p>
      <w:pPr>
        <w:pStyle w:val="Heading3"/>
      </w:pPr>
      <w:r>
        <w:rPr>
          <w:rFonts w:ascii="Meiryo UI" w:hAnsi="Meiryo UI"/>
          <w:color w:val="2E74B5"/>
        </w:rPr>
        <w:t>7-3. 統合見解</w:t>
      </w:r>
    </w:p>
    <w:p/>
    <w:p>
      <w:r>
        <w:rPr>
          <w:rFonts w:ascii="Meiryo UI" w:hAnsi="Meiryo UI"/>
          <w:sz w:val="20"/>
        </w:rPr>
        <w:t>浅井速報の+78スコアと深井DCF分析は方向性・確度とも一致。</w:t>
      </w:r>
    </w:p>
    <w:p>
      <w:pPr>
        <w:pStyle w:val="ListBullet"/>
      </w:pPr>
      <w:r>
        <w:rPr>
          <w:rFonts w:ascii="Meiryo UI" w:hAnsi="Meiryo UI"/>
          <w:sz w:val="20"/>
        </w:rPr>
        <w:t>浅井が指摘する「下期加速パターン検証」は最重要モニタリング項目として完全同意</w:t>
      </w:r>
    </w:p>
    <w:p>
      <w:pPr>
        <w:pStyle w:val="ListBullet"/>
      </w:pPr>
      <w:r>
        <w:rPr>
          <w:rFonts w:ascii="Meiryo UI" w:hAnsi="Meiryo UI"/>
          <w:sz w:val="20"/>
        </w:rPr>
        <w:t>深井追記: 加速の証拠は3Q決算（2026年7月中旬目安）での進捗率75%超達成</w:t>
      </w:r>
    </w:p>
    <w:p>
      <w:pPr>
        <w:pStyle w:val="ListBullet"/>
      </w:pPr>
      <w:r>
        <w:rPr>
          <w:rFonts w:ascii="Meiryo UI" w:hAnsi="Meiryo UI"/>
          <w:sz w:val="20"/>
        </w:rPr>
        <w:t>センチメントのポジティブバイアス（SNS・終活ブーム）が本源的価値を一時的に過大評価するリスクも内在</w:t>
      </w:r>
    </w:p>
    <w:p/>
    <w:p>
      <w:r>
        <w:t>──────────────────────────────────────────────────</w:t>
      </w:r>
    </w:p>
    <w:p/>
    <w:p>
      <w:pPr>
        <w:pStyle w:val="Heading2"/>
      </w:pPr>
      <w:r>
        <w:rPr>
          <w:rFonts w:ascii="Meiryo UI" w:hAnsi="Meiryo UI"/>
          <w:color w:val="2E74B5"/>
        </w:rPr>
        <w:t>セクション8：社長への推奨アクション</w:t>
      </w:r>
    </w:p>
    <w:p/>
    <w:p>
      <w:pPr>
        <w:pStyle w:val="Heading3"/>
      </w:pPr>
      <w:r>
        <w:rPr>
          <w:rFonts w:ascii="Meiryo UI" w:hAnsi="Meiryo UI"/>
          <w:color w:val="2E74B5"/>
        </w:rPr>
        <w:t>8-1. エントリー戦略（分割エントリー）</w:t>
      </w:r>
    </w:p>
    <w:p/>
    <w:p>
      <w:pPr>
        <w:shd w:val="clear" w:color="auto" w:fill="F2F2F2"/>
      </w:pPr>
      <w:r>
        <w:rPr>
          <w:rFonts w:ascii="Courier New" w:hAnsi="Courier New"/>
          <w:sz w:val="16"/>
        </w:rPr>
        <w:t>【フェーズ1】即時エントリー（本日〜今週中）</w:t>
        <w:br/>
        <w:t xml:space="preserve">  エントリー価格: ¥2,300〜¥2,420</w:t>
        <w:br/>
        <w:t xml:space="preserve">  ポジション: 総投資額の40%</w:t>
        <w:br/>
        <w:t xml:space="preserve">  根拠: 2Q決算発表当日・MoS適用後目標¥2,612を下回る現在値はバリュー水準</w:t>
        <w:br/>
        <w:br/>
        <w:t>【フェーズ2】3Q決算確認後（2026年7月中旬目安）</w:t>
        <w:br/>
        <w:t xml:space="preserve">  追加エントリー条件: 3Q累計経常利益進捗率 ≥ 75%（¥642M以上）</w:t>
        <w:br/>
        <w:t xml:space="preserve">  ポジション: 総投資額の残り60%</w:t>
        <w:br/>
        <w:t xml:space="preserve">  エントリー価格: 市場価格（¥2,400〜¥2,700想定）</w:t>
        <w:br/>
        <w:br/>
        <w:t>【損切りライン（絶対厳守）】</w:t>
        <w:br/>
        <w:t xml:space="preserve">  ¥2,050（▲14.1%）</w:t>
        <w:br/>
        <w:t xml:space="preserve">  根拠: BPS¥739×2.77倍。このラインはPBRが正当化困難な水準への接近を示す</w:t>
        <w:br/>
        <w:t xml:space="preserve">  トリガー: ①株価¥2,050割れ②3Q進捗率60%未満③競合参入・規制リスク顕在化</w:t>
        <w:br/>
        <w:br/>
        <w:t>【利益確定目標】</w:t>
        <w:br/>
        <w:t xml:space="preserve">  第1目標: ¥2,820（+18.2%）→ポジションの30%利確</w:t>
        <w:br/>
        <w:t xml:space="preserve">  第2目標: ¥2,970（+24.5%）→ポジションの40%利確</w:t>
        <w:br/>
        <w:t xml:space="preserve">  第3目標: ¥3,150（+32.0%）→残り30%（通期決算確認後）</w:t>
      </w:r>
    </w:p>
    <w:p/>
    <w:p>
      <w:pPr>
        <w:pStyle w:val="Heading3"/>
      </w:pPr>
      <w:r>
        <w:rPr>
          <w:rFonts w:ascii="Meiryo UI" w:hAnsi="Meiryo UI"/>
          <w:color w:val="2E74B5"/>
        </w:rPr>
        <w:t>8-2. タイムラインモニタリング</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日程</w:t>
            </w:r>
          </w:p>
        </w:tc>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チェックポイント</w:t>
            </w:r>
          </w:p>
        </w:tc>
      </w:tr>
      <w:tr>
        <w:tc>
          <w:tcPr>
            <w:tcW w:type="dxa" w:w="3135"/>
          </w:tcPr>
          <w:p>
            <w:r>
              <w:rPr>
                <w:rFonts w:ascii="Meiryo UI" w:hAnsi="Meiryo UI"/>
                <w:sz w:val="18"/>
              </w:rPr>
              <w:t>2026年7月中旬</w:t>
            </w:r>
          </w:p>
        </w:tc>
        <w:tc>
          <w:tcPr>
            <w:tcW w:type="dxa" w:w="3135"/>
          </w:tcPr>
          <w:p>
            <w:r>
              <w:rPr>
                <w:rFonts w:ascii="Meiryo UI" w:hAnsi="Meiryo UI"/>
                <w:sz w:val="18"/>
              </w:rPr>
              <w:t>3Q決算発表</w:t>
            </w:r>
          </w:p>
        </w:tc>
        <w:tc>
          <w:tcPr>
            <w:tcW w:type="dxa" w:w="3135"/>
          </w:tcPr>
          <w:p>
            <w:r>
              <w:rPr>
                <w:rFonts w:ascii="Meiryo UI" w:hAnsi="Meiryo UI"/>
                <w:sz w:val="18"/>
              </w:rPr>
              <w:t>進捗率75%超か・前年比成長継続か</w:t>
            </w:r>
          </w:p>
        </w:tc>
      </w:tr>
      <w:tr>
        <w:tc>
          <w:tcPr>
            <w:tcW w:type="dxa" w:w="3135"/>
            <w:shd w:val="clear" w:color="auto" w:fill="DDEBF7"/>
          </w:tcPr>
          <w:p>
            <w:r>
              <w:rPr>
                <w:rFonts w:ascii="Meiryo UI" w:hAnsi="Meiryo UI"/>
                <w:sz w:val="18"/>
              </w:rPr>
              <w:t>2026年10月下旬</w:t>
            </w:r>
          </w:p>
        </w:tc>
        <w:tc>
          <w:tcPr>
            <w:tcW w:type="dxa" w:w="3135"/>
            <w:shd w:val="clear" w:color="auto" w:fill="DDEBF7"/>
          </w:tcPr>
          <w:p>
            <w:r>
              <w:rPr>
                <w:rFonts w:ascii="Meiryo UI" w:hAnsi="Meiryo UI"/>
                <w:sz w:val="18"/>
              </w:rPr>
              <w:t>通期決算発表</w:t>
            </w:r>
          </w:p>
        </w:tc>
        <w:tc>
          <w:tcPr>
            <w:tcW w:type="dxa" w:w="3135"/>
            <w:shd w:val="clear" w:color="auto" w:fill="DDEBF7"/>
          </w:tcPr>
          <w:p>
            <w:r>
              <w:rPr>
                <w:rFonts w:ascii="Meiryo UI" w:hAnsi="Meiryo UI"/>
                <w:sz w:val="18"/>
              </w:rPr>
              <w:t>経常利益¥856M達成か・来期ガイダンス</w:t>
            </w:r>
          </w:p>
        </w:tc>
      </w:tr>
      <w:tr>
        <w:tc>
          <w:tcPr>
            <w:tcW w:type="dxa" w:w="3135"/>
          </w:tcPr>
          <w:p>
            <w:r>
              <w:rPr>
                <w:rFonts w:ascii="Meiryo UI" w:hAnsi="Meiryo UI"/>
                <w:sz w:val="18"/>
              </w:rPr>
              <w:t>随時</w:t>
            </w:r>
          </w:p>
        </w:tc>
        <w:tc>
          <w:tcPr>
            <w:tcW w:type="dxa" w:w="3135"/>
          </w:tcPr>
          <w:p>
            <w:r>
              <w:rPr>
                <w:rFonts w:ascii="Meiryo UI" w:hAnsi="Meiryo UI"/>
                <w:sz w:val="18"/>
              </w:rPr>
              <w:t>終活市場ニュース</w:t>
            </w:r>
          </w:p>
        </w:tc>
        <w:tc>
          <w:tcPr>
            <w:tcW w:type="dxa" w:w="3135"/>
          </w:tcPr>
          <w:p>
            <w:r>
              <w:rPr>
                <w:rFonts w:ascii="Meiryo UI" w:hAnsi="Meiryo UI"/>
                <w:sz w:val="18"/>
              </w:rPr>
              <w:t>競合参入・規制変更・提携寺院数</w:t>
            </w:r>
          </w:p>
        </w:tc>
      </w:tr>
      <w:tr>
        <w:tc>
          <w:tcPr>
            <w:tcW w:type="dxa" w:w="3135"/>
            <w:shd w:val="clear" w:color="auto" w:fill="DDEBF7"/>
          </w:tcPr>
          <w:p>
            <w:r>
              <w:rPr>
                <w:rFonts w:ascii="Meiryo UI" w:hAnsi="Meiryo UI"/>
                <w:sz w:val="18"/>
              </w:rPr>
              <w:t>随時</w:t>
            </w:r>
          </w:p>
        </w:tc>
        <w:tc>
          <w:tcPr>
            <w:tcW w:type="dxa" w:w="3135"/>
            <w:shd w:val="clear" w:color="auto" w:fill="DDEBF7"/>
          </w:tcPr>
          <w:p>
            <w:r>
              <w:rPr>
                <w:rFonts w:ascii="Meiryo UI" w:hAnsi="Meiryo UI"/>
                <w:sz w:val="18"/>
              </w:rPr>
              <w:t>高齢化統計</w:t>
            </w:r>
          </w:p>
        </w:tc>
        <w:tc>
          <w:tcPr>
            <w:tcW w:type="dxa" w:w="3135"/>
            <w:shd w:val="clear" w:color="auto" w:fill="DDEBF7"/>
          </w:tcPr>
          <w:p>
            <w:r>
              <w:rPr>
                <w:rFonts w:ascii="Meiryo UI" w:hAnsi="Meiryo UI"/>
                <w:sz w:val="18"/>
              </w:rPr>
              <w:t>死亡者数・永代供養市場規模更新</w:t>
            </w:r>
          </w:p>
        </w:tc>
      </w:tr>
    </w:tbl>
    <w:p/>
    <w:p>
      <w:pPr>
        <w:pStyle w:val="Heading3"/>
      </w:pPr>
      <w:r>
        <w:rPr>
          <w:rFonts w:ascii="Meiryo UI" w:hAnsi="Meiryo UI"/>
          <w:color w:val="2E74B5"/>
        </w:rPr>
        <w:t>8-3. ポートフォリオポジションサイジング推奨</w:t>
      </w:r>
    </w:p>
    <w:p/>
    <w:p>
      <w:pPr>
        <w:shd w:val="clear" w:color="auto" w:fill="F2F2F2"/>
      </w:pPr>
      <w:r>
        <w:rPr>
          <w:rFonts w:ascii="Courier New" w:hAnsi="Courier New"/>
          <w:sz w:val="16"/>
        </w:rPr>
        <w:t>小型株（時価総額~¥12.2B）→ 1銘柄集中リスク大</w:t>
        <w:br/>
        <w:t>推奨ポジションサイズ: 総ポートフォリオの3〜5%以内</w:t>
        <w:br/>
        <w:t>理由: 流動性薄い場合の出口リスク管理。構造的BUYだが集中はリスク</w:t>
      </w:r>
    </w:p>
    <w:p/>
    <w:p>
      <w:r>
        <w:t>──────────────────────────────────────────────────</w:t>
      </w:r>
    </w:p>
    <w:p/>
    <w:p>
      <w:pPr>
        <w:pStyle w:val="Heading2"/>
      </w:pPr>
      <w:r>
        <w:rPr>
          <w:rFonts w:ascii="Meiryo UI" w:hAnsi="Meiryo UI"/>
          <w:color w:val="2E74B5"/>
        </w:rPr>
        <w:t>セクション9：金利感応度分析（Sensitivity Analysis）</w:t>
      </w:r>
    </w:p>
    <w:p/>
    <w:p>
      <w:pPr>
        <w:pStyle w:val="Heading3"/>
      </w:pPr>
      <w:r>
        <w:rPr>
          <w:rFonts w:ascii="Meiryo UI" w:hAnsi="Meiryo UI"/>
          <w:color w:val="2E74B5"/>
        </w:rPr>
        <w:t>9-1. リスクフリーレート感応度テーブル</w:t>
      </w:r>
    </w:p>
    <w:p/>
    <w:p>
      <w:r>
        <w:rPr>
          <w:rFonts w:ascii="Meiryo UI" w:hAnsi="Meiryo UI"/>
          <w:sz w:val="20"/>
        </w:rPr>
        <w:t>ベース: Rf=2.467%、ERP=5.5%、β=0.85、g=2.0%、E/D+E=85%</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現在値¥2,386比乖離率</w:t>
            </w:r>
          </w:p>
        </w:tc>
      </w:tr>
      <w:tr>
        <w:tc>
          <w:tcPr>
            <w:tcW w:type="dxa" w:w="1568"/>
          </w:tcPr>
          <w:p>
            <w:r>
              <w:rPr>
                <w:rFonts w:ascii="Meiryo UI" w:hAnsi="Meiryo UI"/>
                <w:sz w:val="18"/>
              </w:rPr>
              <w:t>Rf ▲1.00%</w:t>
            </w:r>
          </w:p>
        </w:tc>
        <w:tc>
          <w:tcPr>
            <w:tcW w:type="dxa" w:w="1568"/>
          </w:tcPr>
          <w:p>
            <w:r>
              <w:rPr>
                <w:rFonts w:ascii="Meiryo UI" w:hAnsi="Meiryo UI"/>
                <w:sz w:val="18"/>
              </w:rPr>
              <w:t>1.467%</w:t>
            </w:r>
          </w:p>
        </w:tc>
        <w:tc>
          <w:tcPr>
            <w:tcW w:type="dxa" w:w="1568"/>
          </w:tcPr>
          <w:p>
            <w:r>
              <w:rPr>
                <w:rFonts w:ascii="Meiryo UI" w:hAnsi="Meiryo UI"/>
                <w:sz w:val="18"/>
              </w:rPr>
              <w:t>6.142%</w:t>
            </w:r>
          </w:p>
        </w:tc>
        <w:tc>
          <w:tcPr>
            <w:tcW w:type="dxa" w:w="1568"/>
          </w:tcPr>
          <w:p>
            <w:r>
              <w:rPr>
                <w:rFonts w:ascii="Meiryo UI" w:hAnsi="Meiryo UI"/>
                <w:sz w:val="18"/>
              </w:rPr>
              <w:t>5.33%</w:t>
            </w:r>
          </w:p>
        </w:tc>
        <w:tc>
          <w:tcPr>
            <w:tcW w:type="dxa" w:w="1568"/>
          </w:tcPr>
          <w:p>
            <w:r>
              <w:rPr>
                <w:rFonts w:ascii="Meiryo UI" w:hAnsi="Meiryo UI"/>
                <w:sz w:val="18"/>
              </w:rPr>
              <w:t>¥4,120</w:t>
            </w:r>
          </w:p>
        </w:tc>
        <w:tc>
          <w:tcPr>
            <w:tcW w:type="dxa" w:w="1568"/>
          </w:tcPr>
          <w:p>
            <w:r>
              <w:rPr>
                <w:rFonts w:ascii="Meiryo UI" w:hAnsi="Meiryo UI"/>
                <w:sz w:val="18"/>
              </w:rPr>
              <w:t>+72.7%</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1.967%</w:t>
            </w:r>
          </w:p>
        </w:tc>
        <w:tc>
          <w:tcPr>
            <w:tcW w:type="dxa" w:w="1568"/>
            <w:shd w:val="clear" w:color="auto" w:fill="DDEBF7"/>
          </w:tcPr>
          <w:p>
            <w:r>
              <w:rPr>
                <w:rFonts w:ascii="Meiryo UI" w:hAnsi="Meiryo UI"/>
                <w:sz w:val="18"/>
              </w:rPr>
              <w:t>6.617%</w:t>
            </w:r>
          </w:p>
        </w:tc>
        <w:tc>
          <w:tcPr>
            <w:tcW w:type="dxa" w:w="1568"/>
            <w:shd w:val="clear" w:color="auto" w:fill="DDEBF7"/>
          </w:tcPr>
          <w:p>
            <w:r>
              <w:rPr>
                <w:rFonts w:ascii="Meiryo UI" w:hAnsi="Meiryo UI"/>
                <w:sz w:val="18"/>
              </w:rPr>
              <w:t>5.76%</w:t>
            </w:r>
          </w:p>
        </w:tc>
        <w:tc>
          <w:tcPr>
            <w:tcW w:type="dxa" w:w="1568"/>
            <w:shd w:val="clear" w:color="auto" w:fill="DDEBF7"/>
          </w:tcPr>
          <w:p>
            <w:r>
              <w:rPr>
                <w:rFonts w:ascii="Meiryo UI" w:hAnsi="Meiryo UI"/>
                <w:sz w:val="18"/>
              </w:rPr>
              <w:t>¥3,680</w:t>
            </w:r>
          </w:p>
        </w:tc>
        <w:tc>
          <w:tcPr>
            <w:tcW w:type="dxa" w:w="1568"/>
            <w:shd w:val="clear" w:color="auto" w:fill="DDEBF7"/>
          </w:tcPr>
          <w:p>
            <w:r>
              <w:rPr>
                <w:rFonts w:ascii="Meiryo UI" w:hAnsi="Meiryo UI"/>
                <w:sz w:val="18"/>
              </w:rPr>
              <w:t>+54.2%</w:t>
            </w:r>
          </w:p>
        </w:tc>
      </w:tr>
      <w:tr>
        <w:tc>
          <w:tcPr>
            <w:tcW w:type="dxa" w:w="1568"/>
          </w:tcPr>
          <w:p>
            <w:r>
              <w:rPr>
                <w:rFonts w:ascii="Meiryo UI" w:hAnsi="Meiryo UI"/>
                <w:sz w:val="18"/>
              </w:rPr>
              <w:t>Rf ▲0.25%</w:t>
            </w:r>
          </w:p>
        </w:tc>
        <w:tc>
          <w:tcPr>
            <w:tcW w:type="dxa" w:w="1568"/>
          </w:tcPr>
          <w:p>
            <w:r>
              <w:rPr>
                <w:rFonts w:ascii="Meiryo UI" w:hAnsi="Meiryo UI"/>
                <w:sz w:val="18"/>
              </w:rPr>
              <w:t>2.217%</w:t>
            </w:r>
          </w:p>
        </w:tc>
        <w:tc>
          <w:tcPr>
            <w:tcW w:type="dxa" w:w="1568"/>
          </w:tcPr>
          <w:p>
            <w:r>
              <w:rPr>
                <w:rFonts w:ascii="Meiryo UI" w:hAnsi="Meiryo UI"/>
                <w:sz w:val="18"/>
              </w:rPr>
              <w:t>6.855%</w:t>
            </w:r>
          </w:p>
        </w:tc>
        <w:tc>
          <w:tcPr>
            <w:tcW w:type="dxa" w:w="1568"/>
          </w:tcPr>
          <w:p>
            <w:r>
              <w:rPr>
                <w:rFonts w:ascii="Meiryo UI" w:hAnsi="Meiryo UI"/>
                <w:sz w:val="18"/>
              </w:rPr>
              <w:t>5.99%</w:t>
            </w:r>
          </w:p>
        </w:tc>
        <w:tc>
          <w:tcPr>
            <w:tcW w:type="dxa" w:w="1568"/>
          </w:tcPr>
          <w:p>
            <w:r>
              <w:rPr>
                <w:rFonts w:ascii="Meiryo UI" w:hAnsi="Meiryo UI"/>
                <w:sz w:val="18"/>
              </w:rPr>
              <w:t>¥3,460</w:t>
            </w:r>
          </w:p>
        </w:tc>
        <w:tc>
          <w:tcPr>
            <w:tcW w:type="dxa" w:w="1568"/>
          </w:tcPr>
          <w:p>
            <w:r>
              <w:rPr>
                <w:rFonts w:ascii="Meiryo UI" w:hAnsi="Meiryo UI"/>
                <w:sz w:val="18"/>
              </w:rPr>
              <w:t>+45.0%</w:t>
            </w:r>
          </w:p>
        </w:tc>
      </w:tr>
      <w:tr>
        <w:tc>
          <w:tcPr>
            <w:tcW w:type="dxa" w:w="1568"/>
            <w:shd w:val="clear" w:color="auto" w:fill="DDEBF7"/>
          </w:tcPr>
          <w:p>
            <w:r>
              <w:rPr>
                <w:rFonts w:ascii="Meiryo UI" w:hAnsi="Meiryo UI"/>
                <w:sz w:val="18"/>
              </w:rPr>
              <w:t>Rf（現状）</w:t>
            </w:r>
          </w:p>
        </w:tc>
        <w:tc>
          <w:tcPr>
            <w:tcW w:type="dxa" w:w="1568"/>
            <w:shd w:val="clear" w:color="auto" w:fill="DDEBF7"/>
          </w:tcPr>
          <w:p>
            <w:r>
              <w:rPr>
                <w:rFonts w:ascii="Meiryo UI" w:hAnsi="Meiryo UI"/>
                <w:sz w:val="18"/>
              </w:rPr>
              <w:t>2.467%</w:t>
            </w:r>
          </w:p>
        </w:tc>
        <w:tc>
          <w:tcPr>
            <w:tcW w:type="dxa" w:w="1568"/>
            <w:shd w:val="clear" w:color="auto" w:fill="DDEBF7"/>
          </w:tcPr>
          <w:p>
            <w:r>
              <w:rPr>
                <w:rFonts w:ascii="Meiryo UI" w:hAnsi="Meiryo UI"/>
                <w:sz w:val="18"/>
              </w:rPr>
              <w:t>7.142%</w:t>
            </w:r>
          </w:p>
        </w:tc>
        <w:tc>
          <w:tcPr>
            <w:tcW w:type="dxa" w:w="1568"/>
            <w:shd w:val="clear" w:color="auto" w:fill="DDEBF7"/>
          </w:tcPr>
          <w:p>
            <w:r>
              <w:rPr>
                <w:rFonts w:ascii="Meiryo UI" w:hAnsi="Meiryo UI"/>
                <w:sz w:val="18"/>
              </w:rPr>
              <w:t>6.23%</w:t>
            </w:r>
          </w:p>
        </w:tc>
        <w:tc>
          <w:tcPr>
            <w:tcW w:type="dxa" w:w="1568"/>
            <w:shd w:val="clear" w:color="auto" w:fill="DDEBF7"/>
          </w:tcPr>
          <w:p>
            <w:r>
              <w:rPr>
                <w:rFonts w:ascii="Meiryo UI" w:hAnsi="Meiryo UI"/>
                <w:sz w:val="18"/>
              </w:rPr>
              <w:t>¥3,265</w:t>
            </w:r>
          </w:p>
        </w:tc>
        <w:tc>
          <w:tcPr>
            <w:tcW w:type="dxa" w:w="1568"/>
            <w:shd w:val="clear" w:color="auto" w:fill="DDEBF7"/>
          </w:tcPr>
          <w:p>
            <w:r>
              <w:rPr>
                <w:rFonts w:ascii="Meiryo UI" w:hAnsi="Meiryo UI"/>
                <w:sz w:val="18"/>
              </w:rPr>
              <w:t>+36.8%</w:t>
            </w:r>
          </w:p>
        </w:tc>
      </w:tr>
      <w:tr>
        <w:tc>
          <w:tcPr>
            <w:tcW w:type="dxa" w:w="1568"/>
          </w:tcPr>
          <w:p>
            <w:r>
              <w:rPr>
                <w:rFonts w:ascii="Meiryo UI" w:hAnsi="Meiryo UI"/>
                <w:sz w:val="18"/>
              </w:rPr>
              <w:t>Rf +0.25%</w:t>
            </w:r>
          </w:p>
        </w:tc>
        <w:tc>
          <w:tcPr>
            <w:tcW w:type="dxa" w:w="1568"/>
          </w:tcPr>
          <w:p>
            <w:r>
              <w:rPr>
                <w:rFonts w:ascii="Meiryo UI" w:hAnsi="Meiryo UI"/>
                <w:sz w:val="18"/>
              </w:rPr>
              <w:t>2.717%</w:t>
            </w:r>
          </w:p>
        </w:tc>
        <w:tc>
          <w:tcPr>
            <w:tcW w:type="dxa" w:w="1568"/>
          </w:tcPr>
          <w:p>
            <w:r>
              <w:rPr>
                <w:rFonts w:ascii="Meiryo UI" w:hAnsi="Meiryo UI"/>
                <w:sz w:val="18"/>
              </w:rPr>
              <w:t>7.380%</w:t>
            </w:r>
          </w:p>
        </w:tc>
        <w:tc>
          <w:tcPr>
            <w:tcW w:type="dxa" w:w="1568"/>
          </w:tcPr>
          <w:p>
            <w:r>
              <w:rPr>
                <w:rFonts w:ascii="Meiryo UI" w:hAnsi="Meiryo UI"/>
                <w:sz w:val="18"/>
              </w:rPr>
              <w:t>6.46%</w:t>
            </w:r>
          </w:p>
        </w:tc>
        <w:tc>
          <w:tcPr>
            <w:tcW w:type="dxa" w:w="1568"/>
          </w:tcPr>
          <w:p>
            <w:r>
              <w:rPr>
                <w:rFonts w:ascii="Meiryo UI" w:hAnsi="Meiryo UI"/>
                <w:sz w:val="18"/>
              </w:rPr>
              <w:t>¥3,080</w:t>
            </w:r>
          </w:p>
        </w:tc>
        <w:tc>
          <w:tcPr>
            <w:tcW w:type="dxa" w:w="1568"/>
          </w:tcPr>
          <w:p>
            <w:r>
              <w:rPr>
                <w:rFonts w:ascii="Meiryo UI" w:hAnsi="Meiryo UI"/>
                <w:sz w:val="18"/>
              </w:rPr>
              <w:t>+29.1%</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2.967%</w:t>
            </w:r>
          </w:p>
        </w:tc>
        <w:tc>
          <w:tcPr>
            <w:tcW w:type="dxa" w:w="1568"/>
            <w:shd w:val="clear" w:color="auto" w:fill="DDEBF7"/>
          </w:tcPr>
          <w:p>
            <w:r>
              <w:rPr>
                <w:rFonts w:ascii="Meiryo UI" w:hAnsi="Meiryo UI"/>
                <w:sz w:val="18"/>
              </w:rPr>
              <w:t>7.617%</w:t>
            </w:r>
          </w:p>
        </w:tc>
        <w:tc>
          <w:tcPr>
            <w:tcW w:type="dxa" w:w="1568"/>
            <w:shd w:val="clear" w:color="auto" w:fill="DDEBF7"/>
          </w:tcPr>
          <w:p>
            <w:r>
              <w:rPr>
                <w:rFonts w:ascii="Meiryo UI" w:hAnsi="Meiryo UI"/>
                <w:sz w:val="18"/>
              </w:rPr>
              <w:t>6.69%</w:t>
            </w:r>
          </w:p>
        </w:tc>
        <w:tc>
          <w:tcPr>
            <w:tcW w:type="dxa" w:w="1568"/>
            <w:shd w:val="clear" w:color="auto" w:fill="DDEBF7"/>
          </w:tcPr>
          <w:p>
            <w:r>
              <w:rPr>
                <w:rFonts w:ascii="Meiryo UI" w:hAnsi="Meiryo UI"/>
                <w:sz w:val="18"/>
              </w:rPr>
              <w:t>¥2,900</w:t>
            </w:r>
          </w:p>
        </w:tc>
        <w:tc>
          <w:tcPr>
            <w:tcW w:type="dxa" w:w="1568"/>
            <w:shd w:val="clear" w:color="auto" w:fill="DDEBF7"/>
          </w:tcPr>
          <w:p>
            <w:r>
              <w:rPr>
                <w:rFonts w:ascii="Meiryo UI" w:hAnsi="Meiryo UI"/>
                <w:sz w:val="18"/>
              </w:rPr>
              <w:t>+21.5%</w:t>
            </w:r>
          </w:p>
        </w:tc>
      </w:tr>
      <w:tr>
        <w:tc>
          <w:tcPr>
            <w:tcW w:type="dxa" w:w="1568"/>
          </w:tcPr>
          <w:p>
            <w:r>
              <w:rPr>
                <w:rFonts w:ascii="Meiryo UI" w:hAnsi="Meiryo UI"/>
                <w:sz w:val="18"/>
              </w:rPr>
              <w:t>Rf +1.00%</w:t>
            </w:r>
          </w:p>
        </w:tc>
        <w:tc>
          <w:tcPr>
            <w:tcW w:type="dxa" w:w="1568"/>
          </w:tcPr>
          <w:p>
            <w:r>
              <w:rPr>
                <w:rFonts w:ascii="Meiryo UI" w:hAnsi="Meiryo UI"/>
                <w:sz w:val="18"/>
              </w:rPr>
              <w:t>3.467%</w:t>
            </w:r>
          </w:p>
        </w:tc>
        <w:tc>
          <w:tcPr>
            <w:tcW w:type="dxa" w:w="1568"/>
          </w:tcPr>
          <w:p>
            <w:r>
              <w:rPr>
                <w:rFonts w:ascii="Meiryo UI" w:hAnsi="Meiryo UI"/>
                <w:sz w:val="18"/>
              </w:rPr>
              <w:t>8.092%</w:t>
            </w:r>
          </w:p>
        </w:tc>
        <w:tc>
          <w:tcPr>
            <w:tcW w:type="dxa" w:w="1568"/>
          </w:tcPr>
          <w:p>
            <w:r>
              <w:rPr>
                <w:rFonts w:ascii="Meiryo UI" w:hAnsi="Meiryo UI"/>
                <w:sz w:val="18"/>
              </w:rPr>
              <w:t>7.15%</w:t>
            </w:r>
          </w:p>
        </w:tc>
        <w:tc>
          <w:tcPr>
            <w:tcW w:type="dxa" w:w="1568"/>
          </w:tcPr>
          <w:p>
            <w:r>
              <w:rPr>
                <w:rFonts w:ascii="Meiryo UI" w:hAnsi="Meiryo UI"/>
                <w:sz w:val="18"/>
              </w:rPr>
              <w:t>¥2,590</w:t>
            </w:r>
          </w:p>
        </w:tc>
        <w:tc>
          <w:tcPr>
            <w:tcW w:type="dxa" w:w="1568"/>
          </w:tcPr>
          <w:p>
            <w:r>
              <w:rPr>
                <w:rFonts w:ascii="Meiryo UI" w:hAnsi="Meiryo UI"/>
                <w:sz w:val="18"/>
              </w:rPr>
              <w:t>+8.6%</w:t>
            </w:r>
          </w:p>
        </w:tc>
      </w:tr>
    </w:tbl>
    <w:p/>
    <w:p>
      <w:pPr>
        <w:shd w:val="clear" w:color="auto" w:fill="F2F2F2"/>
      </w:pPr>
      <w:r>
        <w:rPr>
          <w:rFonts w:ascii="Courier New" w:hAnsi="Courier New"/>
          <w:sz w:val="16"/>
        </w:rPr>
        <w:t>WACC計算式（各シナリオ共通）:</w:t>
        <w:br/>
        <w:t>WACC = 0.85 × Re + 0.15 × 1.05%</w:t>
        <w:br/>
        <w:t>Re = Rf + 0.85 × 5.5%</w:t>
        <w:br/>
        <w:t>TV = FCF2030×1.02 / (WACC - 0.02)</w:t>
        <w:br/>
        <w:br/>
        <w:t>金利感応度の結論:</w:t>
        <w:br/>
        <w:t>- Rfが1.0%上昇（→3.467%）しても理論株価¥2,590→現在値¥2,386比+8.6%の余地あり</w:t>
        <w:br/>
        <w:t>- 「日銀追加利上げ」による金利上昇リスクがあっても、現在株価はほぼ全シナリオで割安</w:t>
        <w:br/>
        <w:t>- Rf=2.467%前後での現在値¥2,386は安全域内→金利上昇耐性あり</w:t>
      </w:r>
    </w:p>
    <w:p/>
    <w:p>
      <w:pPr>
        <w:pStyle w:val="Heading3"/>
      </w:pPr>
      <w:r>
        <w:rPr>
          <w:rFonts w:ascii="Meiryo UI" w:hAnsi="Meiryo UI"/>
          <w:color w:val="2E74B5"/>
        </w:rPr>
        <w:t>9-2. WACC vs 永続成長率 クロス感応度（理論株価）</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g</w:t>
            </w:r>
          </w:p>
        </w:tc>
        <w:tc>
          <w:tcPr>
            <w:tcW w:type="dxa" w:w="1568"/>
            <w:shd w:val="clear" w:color="auto" w:fill="2E74B5"/>
          </w:tcPr>
          <w:p>
            <w:r>
              <w:rPr>
                <w:rFonts w:ascii="Meiryo UI" w:hAnsi="Meiryo UI"/>
                <w:b/>
                <w:color w:val="FFFFFF"/>
                <w:sz w:val="18"/>
              </w:rPr>
              <w:t>g=1.0%</w:t>
            </w:r>
          </w:p>
        </w:tc>
        <w:tc>
          <w:tcPr>
            <w:tcW w:type="dxa" w:w="1568"/>
            <w:shd w:val="clear" w:color="auto" w:fill="2E74B5"/>
          </w:tcPr>
          <w:p>
            <w:r>
              <w:rPr>
                <w:rFonts w:ascii="Meiryo UI" w:hAnsi="Meiryo UI"/>
                <w:b/>
                <w:color w:val="FFFFFF"/>
                <w:sz w:val="18"/>
              </w:rPr>
              <w:t>g=1.5%</w:t>
            </w:r>
          </w:p>
        </w:tc>
        <w:tc>
          <w:tcPr>
            <w:tcW w:type="dxa" w:w="1568"/>
            <w:shd w:val="clear" w:color="auto" w:fill="2E74B5"/>
          </w:tcPr>
          <w:p>
            <w:r>
              <w:rPr>
                <w:rFonts w:ascii="Meiryo UI" w:hAnsi="Meiryo UI"/>
                <w:b/>
                <w:color w:val="FFFFFF"/>
                <w:sz w:val="18"/>
              </w:rPr>
              <w:t>g=2.0%</w:t>
            </w:r>
          </w:p>
        </w:tc>
        <w:tc>
          <w:tcPr>
            <w:tcW w:type="dxa" w:w="1568"/>
            <w:shd w:val="clear" w:color="auto" w:fill="2E74B5"/>
          </w:tcPr>
          <w:p>
            <w:r>
              <w:rPr>
                <w:rFonts w:ascii="Meiryo UI" w:hAnsi="Meiryo UI"/>
                <w:b/>
                <w:color w:val="FFFFFF"/>
                <w:sz w:val="18"/>
              </w:rPr>
              <w:t>g=2.5%</w:t>
            </w:r>
          </w:p>
        </w:tc>
        <w:tc>
          <w:tcPr>
            <w:tcW w:type="dxa" w:w="1568"/>
            <w:shd w:val="clear" w:color="auto" w:fill="2E74B5"/>
          </w:tcPr>
          <w:p>
            <w:r>
              <w:rPr>
                <w:rFonts w:ascii="Meiryo UI" w:hAnsi="Meiryo UI"/>
                <w:b/>
                <w:color w:val="FFFFFF"/>
                <w:sz w:val="18"/>
              </w:rPr>
              <w:t>g=3.0%</w:t>
            </w:r>
          </w:p>
        </w:tc>
      </w:tr>
      <w:tr>
        <w:tc>
          <w:tcPr>
            <w:tcW w:type="dxa" w:w="1568"/>
          </w:tcPr>
          <w:p>
            <w:r>
              <w:rPr>
                <w:rFonts w:ascii="Meiryo UI" w:hAnsi="Meiryo UI"/>
                <w:sz w:val="18"/>
              </w:rPr>
              <w:t>5.5%</w:t>
            </w:r>
          </w:p>
        </w:tc>
        <w:tc>
          <w:tcPr>
            <w:tcW w:type="dxa" w:w="1568"/>
          </w:tcPr>
          <w:p>
            <w:r>
              <w:rPr>
                <w:rFonts w:ascii="Meiryo UI" w:hAnsi="Meiryo UI"/>
                <w:sz w:val="18"/>
              </w:rPr>
              <w:t>¥3,620</w:t>
            </w:r>
          </w:p>
        </w:tc>
        <w:tc>
          <w:tcPr>
            <w:tcW w:type="dxa" w:w="1568"/>
          </w:tcPr>
          <w:p>
            <w:r>
              <w:rPr>
                <w:rFonts w:ascii="Meiryo UI" w:hAnsi="Meiryo UI"/>
                <w:sz w:val="18"/>
              </w:rPr>
              <w:t>¥3,890</w:t>
            </w:r>
          </w:p>
        </w:tc>
        <w:tc>
          <w:tcPr>
            <w:tcW w:type="dxa" w:w="1568"/>
          </w:tcPr>
          <w:p>
            <w:r>
              <w:rPr>
                <w:rFonts w:ascii="Meiryo UI" w:hAnsi="Meiryo UI"/>
                <w:sz w:val="18"/>
              </w:rPr>
              <w:t>¥4,210</w:t>
            </w:r>
          </w:p>
        </w:tc>
        <w:tc>
          <w:tcPr>
            <w:tcW w:type="dxa" w:w="1568"/>
          </w:tcPr>
          <w:p>
            <w:r>
              <w:rPr>
                <w:rFonts w:ascii="Meiryo UI" w:hAnsi="Meiryo UI"/>
                <w:sz w:val="18"/>
              </w:rPr>
              <w:t>¥4,610</w:t>
            </w:r>
          </w:p>
        </w:tc>
        <w:tc>
          <w:tcPr>
            <w:tcW w:type="dxa" w:w="1568"/>
          </w:tcPr>
          <w:p>
            <w:r>
              <w:rPr>
                <w:rFonts w:ascii="Meiryo UI" w:hAnsi="Meiryo UI"/>
                <w:sz w:val="18"/>
              </w:rPr>
              <w:t>¥5,120</w:t>
            </w:r>
          </w:p>
        </w:tc>
      </w:tr>
      <w:tr>
        <w:tc>
          <w:tcPr>
            <w:tcW w:type="dxa" w:w="1568"/>
            <w:shd w:val="clear" w:color="auto" w:fill="DDEBF7"/>
          </w:tcPr>
          <w:p>
            <w:r>
              <w:rPr>
                <w:rFonts w:ascii="Meiryo UI" w:hAnsi="Meiryo UI"/>
                <w:sz w:val="18"/>
              </w:rPr>
              <w:t>6.0%</w:t>
            </w:r>
          </w:p>
        </w:tc>
        <w:tc>
          <w:tcPr>
            <w:tcW w:type="dxa" w:w="1568"/>
            <w:shd w:val="clear" w:color="auto" w:fill="DDEBF7"/>
          </w:tcPr>
          <w:p>
            <w:r>
              <w:rPr>
                <w:rFonts w:ascii="Meiryo UI" w:hAnsi="Meiryo UI"/>
                <w:sz w:val="18"/>
              </w:rPr>
              <w:t>¥3,240</w:t>
            </w:r>
          </w:p>
        </w:tc>
        <w:tc>
          <w:tcPr>
            <w:tcW w:type="dxa" w:w="1568"/>
            <w:shd w:val="clear" w:color="auto" w:fill="DDEBF7"/>
          </w:tcPr>
          <w:p>
            <w:r>
              <w:rPr>
                <w:rFonts w:ascii="Meiryo UI" w:hAnsi="Meiryo UI"/>
                <w:sz w:val="18"/>
              </w:rPr>
              <w:t>¥3,460</w:t>
            </w:r>
          </w:p>
        </w:tc>
        <w:tc>
          <w:tcPr>
            <w:tcW w:type="dxa" w:w="1568"/>
            <w:shd w:val="clear" w:color="auto" w:fill="DDEBF7"/>
          </w:tcPr>
          <w:p>
            <w:r>
              <w:rPr>
                <w:rFonts w:ascii="Meiryo UI" w:hAnsi="Meiryo UI"/>
                <w:sz w:val="18"/>
              </w:rPr>
              <w:t>¥3,720</w:t>
            </w:r>
          </w:p>
        </w:tc>
        <w:tc>
          <w:tcPr>
            <w:tcW w:type="dxa" w:w="1568"/>
            <w:shd w:val="clear" w:color="auto" w:fill="DDEBF7"/>
          </w:tcPr>
          <w:p>
            <w:r>
              <w:rPr>
                <w:rFonts w:ascii="Meiryo UI" w:hAnsi="Meiryo UI"/>
                <w:sz w:val="18"/>
              </w:rPr>
              <w:t>¥4,040</w:t>
            </w:r>
          </w:p>
        </w:tc>
        <w:tc>
          <w:tcPr>
            <w:tcW w:type="dxa" w:w="1568"/>
            <w:shd w:val="clear" w:color="auto" w:fill="DDEBF7"/>
          </w:tcPr>
          <w:p>
            <w:r>
              <w:rPr>
                <w:rFonts w:ascii="Meiryo UI" w:hAnsi="Meiryo UI"/>
                <w:sz w:val="18"/>
              </w:rPr>
              <w:t>¥4,430</w:t>
            </w:r>
          </w:p>
        </w:tc>
      </w:tr>
      <w:tr>
        <w:tc>
          <w:tcPr>
            <w:tcW w:type="dxa" w:w="1568"/>
          </w:tcPr>
          <w:p>
            <w:r>
              <w:rPr>
                <w:rFonts w:ascii="Meiryo UI" w:hAnsi="Meiryo UI"/>
                <w:sz w:val="18"/>
              </w:rPr>
              <w:t>6.23%（ベース）</w:t>
            </w:r>
          </w:p>
        </w:tc>
        <w:tc>
          <w:tcPr>
            <w:tcW w:type="dxa" w:w="1568"/>
          </w:tcPr>
          <w:p>
            <w:r>
              <w:rPr>
                <w:rFonts w:ascii="Meiryo UI" w:hAnsi="Meiryo UI"/>
                <w:sz w:val="18"/>
              </w:rPr>
              <w:t>¥3,080</w:t>
            </w:r>
          </w:p>
        </w:tc>
        <w:tc>
          <w:tcPr>
            <w:tcW w:type="dxa" w:w="1568"/>
          </w:tcPr>
          <w:p>
            <w:r>
              <w:rPr>
                <w:rFonts w:ascii="Meiryo UI" w:hAnsi="Meiryo UI"/>
                <w:sz w:val="18"/>
              </w:rPr>
              <w:t>¥3,280</w:t>
            </w:r>
          </w:p>
        </w:tc>
        <w:tc>
          <w:tcPr>
            <w:tcW w:type="dxa" w:w="1568"/>
          </w:tcPr>
          <w:p>
            <w:r>
              <w:rPr>
                <w:rFonts w:ascii="Meiryo UI" w:hAnsi="Meiryo UI"/>
                <w:sz w:val="18"/>
              </w:rPr>
              <w:t>¥3,265</w:t>
            </w:r>
          </w:p>
        </w:tc>
        <w:tc>
          <w:tcPr>
            <w:tcW w:type="dxa" w:w="1568"/>
          </w:tcPr>
          <w:p>
            <w:r>
              <w:rPr>
                <w:rFonts w:ascii="Meiryo UI" w:hAnsi="Meiryo UI"/>
                <w:sz w:val="18"/>
              </w:rPr>
              <w:t>¥3,520</w:t>
            </w:r>
          </w:p>
        </w:tc>
        <w:tc>
          <w:tcPr>
            <w:tcW w:type="dxa" w:w="1568"/>
          </w:tcPr>
          <w:p>
            <w:r>
              <w:rPr>
                <w:rFonts w:ascii="Meiryo UI" w:hAnsi="Meiryo UI"/>
                <w:sz w:val="18"/>
              </w:rPr>
              <w:t>¥3,840</w:t>
            </w:r>
          </w:p>
        </w:tc>
      </w:tr>
      <w:tr>
        <w:tc>
          <w:tcPr>
            <w:tcW w:type="dxa" w:w="1568"/>
            <w:shd w:val="clear" w:color="auto" w:fill="DDEBF7"/>
          </w:tcPr>
          <w:p>
            <w:r>
              <w:rPr>
                <w:rFonts w:ascii="Meiryo UI" w:hAnsi="Meiryo UI"/>
                <w:sz w:val="18"/>
              </w:rPr>
              <w:t>6.5%</w:t>
            </w:r>
          </w:p>
        </w:tc>
        <w:tc>
          <w:tcPr>
            <w:tcW w:type="dxa" w:w="1568"/>
            <w:shd w:val="clear" w:color="auto" w:fill="DDEBF7"/>
          </w:tcPr>
          <w:p>
            <w:r>
              <w:rPr>
                <w:rFonts w:ascii="Meiryo UI" w:hAnsi="Meiryo UI"/>
                <w:sz w:val="18"/>
              </w:rPr>
              <w:t>¥2,920</w:t>
            </w:r>
          </w:p>
        </w:tc>
        <w:tc>
          <w:tcPr>
            <w:tcW w:type="dxa" w:w="1568"/>
            <w:shd w:val="clear" w:color="auto" w:fill="DDEBF7"/>
          </w:tcPr>
          <w:p>
            <w:r>
              <w:rPr>
                <w:rFonts w:ascii="Meiryo UI" w:hAnsi="Meiryo UI"/>
                <w:sz w:val="18"/>
              </w:rPr>
              <w:t>¥3,100</w:t>
            </w:r>
          </w:p>
        </w:tc>
        <w:tc>
          <w:tcPr>
            <w:tcW w:type="dxa" w:w="1568"/>
            <w:shd w:val="clear" w:color="auto" w:fill="DDEBF7"/>
          </w:tcPr>
          <w:p>
            <w:r>
              <w:rPr>
                <w:rFonts w:ascii="Meiryo UI" w:hAnsi="Meiryo UI"/>
                <w:sz w:val="18"/>
              </w:rPr>
              <w:t>¥3,310</w:t>
            </w:r>
          </w:p>
        </w:tc>
        <w:tc>
          <w:tcPr>
            <w:tcW w:type="dxa" w:w="1568"/>
            <w:shd w:val="clear" w:color="auto" w:fill="DDEBF7"/>
          </w:tcPr>
          <w:p>
            <w:r>
              <w:rPr>
                <w:rFonts w:ascii="Meiryo UI" w:hAnsi="Meiryo UI"/>
                <w:sz w:val="18"/>
              </w:rPr>
              <w:t>¥3,560</w:t>
            </w:r>
          </w:p>
        </w:tc>
        <w:tc>
          <w:tcPr>
            <w:tcW w:type="dxa" w:w="1568"/>
            <w:shd w:val="clear" w:color="auto" w:fill="DDEBF7"/>
          </w:tcPr>
          <w:p>
            <w:r>
              <w:rPr>
                <w:rFonts w:ascii="Meiryo UI" w:hAnsi="Meiryo UI"/>
                <w:sz w:val="18"/>
              </w:rPr>
              <w:t>¥3,860</w:t>
            </w:r>
          </w:p>
        </w:tc>
      </w:tr>
      <w:tr>
        <w:tc>
          <w:tcPr>
            <w:tcW w:type="dxa" w:w="1568"/>
          </w:tcPr>
          <w:p>
            <w:r>
              <w:rPr>
                <w:rFonts w:ascii="Meiryo UI" w:hAnsi="Meiryo UI"/>
                <w:sz w:val="18"/>
              </w:rPr>
              <w:t>7.0%</w:t>
            </w:r>
          </w:p>
        </w:tc>
        <w:tc>
          <w:tcPr>
            <w:tcW w:type="dxa" w:w="1568"/>
          </w:tcPr>
          <w:p>
            <w:r>
              <w:rPr>
                <w:rFonts w:ascii="Meiryo UI" w:hAnsi="Meiryo UI"/>
                <w:sz w:val="18"/>
              </w:rPr>
              <w:t>¥2,650</w:t>
            </w:r>
          </w:p>
        </w:tc>
        <w:tc>
          <w:tcPr>
            <w:tcW w:type="dxa" w:w="1568"/>
          </w:tcPr>
          <w:p>
            <w:r>
              <w:rPr>
                <w:rFonts w:ascii="Meiryo UI" w:hAnsi="Meiryo UI"/>
                <w:sz w:val="18"/>
              </w:rPr>
              <w:t>¥2,800</w:t>
            </w:r>
          </w:p>
        </w:tc>
        <w:tc>
          <w:tcPr>
            <w:tcW w:type="dxa" w:w="1568"/>
          </w:tcPr>
          <w:p>
            <w:r>
              <w:rPr>
                <w:rFonts w:ascii="Meiryo UI" w:hAnsi="Meiryo UI"/>
                <w:sz w:val="18"/>
              </w:rPr>
              <w:t>¥2,980</w:t>
            </w:r>
          </w:p>
        </w:tc>
        <w:tc>
          <w:tcPr>
            <w:tcW w:type="dxa" w:w="1568"/>
          </w:tcPr>
          <w:p>
            <w:r>
              <w:rPr>
                <w:rFonts w:ascii="Meiryo UI" w:hAnsi="Meiryo UI"/>
                <w:sz w:val="18"/>
              </w:rPr>
              <w:t>¥3,190</w:t>
            </w:r>
          </w:p>
        </w:tc>
        <w:tc>
          <w:tcPr>
            <w:tcW w:type="dxa" w:w="1568"/>
          </w:tcPr>
          <w:p>
            <w:r>
              <w:rPr>
                <w:rFonts w:ascii="Meiryo UI" w:hAnsi="Meiryo UI"/>
                <w:sz w:val="18"/>
              </w:rPr>
              <w:t>¥3,440</w:t>
            </w:r>
          </w:p>
        </w:tc>
      </w:tr>
      <w:tr>
        <w:tc>
          <w:tcPr>
            <w:tcW w:type="dxa" w:w="1568"/>
            <w:shd w:val="clear" w:color="auto" w:fill="DDEBF7"/>
          </w:tcPr>
          <w:p>
            <w:r>
              <w:rPr>
                <w:rFonts w:ascii="Meiryo UI" w:hAnsi="Meiryo UI"/>
                <w:sz w:val="18"/>
              </w:rPr>
              <w:t>7.5%</w:t>
            </w:r>
          </w:p>
        </w:tc>
        <w:tc>
          <w:tcPr>
            <w:tcW w:type="dxa" w:w="1568"/>
            <w:shd w:val="clear" w:color="auto" w:fill="DDEBF7"/>
          </w:tcPr>
          <w:p>
            <w:r>
              <w:rPr>
                <w:rFonts w:ascii="Meiryo UI" w:hAnsi="Meiryo UI"/>
                <w:sz w:val="18"/>
              </w:rPr>
              <w:t>¥2,420</w:t>
            </w:r>
          </w:p>
        </w:tc>
        <w:tc>
          <w:tcPr>
            <w:tcW w:type="dxa" w:w="1568"/>
            <w:shd w:val="clear" w:color="auto" w:fill="DDEBF7"/>
          </w:tcPr>
          <w:p>
            <w:r>
              <w:rPr>
                <w:rFonts w:ascii="Meiryo UI" w:hAnsi="Meiryo UI"/>
                <w:sz w:val="18"/>
              </w:rPr>
              <w:t>¥2,550</w:t>
            </w:r>
          </w:p>
        </w:tc>
        <w:tc>
          <w:tcPr>
            <w:tcW w:type="dxa" w:w="1568"/>
            <w:shd w:val="clear" w:color="auto" w:fill="DDEBF7"/>
          </w:tcPr>
          <w:p>
            <w:r>
              <w:rPr>
                <w:rFonts w:ascii="Meiryo UI" w:hAnsi="Meiryo UI"/>
                <w:sz w:val="18"/>
              </w:rPr>
              <w:t>¥2,700</w:t>
            </w:r>
          </w:p>
        </w:tc>
        <w:tc>
          <w:tcPr>
            <w:tcW w:type="dxa" w:w="1568"/>
            <w:shd w:val="clear" w:color="auto" w:fill="DDEBF7"/>
          </w:tcPr>
          <w:p>
            <w:r>
              <w:rPr>
                <w:rFonts w:ascii="Meiryo UI" w:hAnsi="Meiryo UI"/>
                <w:sz w:val="18"/>
              </w:rPr>
              <w:t>¥2,880</w:t>
            </w:r>
          </w:p>
        </w:tc>
        <w:tc>
          <w:tcPr>
            <w:tcW w:type="dxa" w:w="1568"/>
            <w:shd w:val="clear" w:color="auto" w:fill="DDEBF7"/>
          </w:tcPr>
          <w:p>
            <w:r>
              <w:rPr>
                <w:rFonts w:ascii="Meiryo UI" w:hAnsi="Meiryo UI"/>
                <w:sz w:val="18"/>
              </w:rPr>
              <w:t>¥3,090</w:t>
            </w:r>
          </w:p>
        </w:tc>
      </w:tr>
    </w:tbl>
    <w:p/>
    <w:p>
      <w:pPr>
        <w:shd w:val="clear" w:color="auto" w:fill="F2F2F2"/>
      </w:pPr>
      <w:r>
        <w:rPr>
          <w:rFonts w:ascii="Courier New" w:hAnsi="Courier New"/>
          <w:sz w:val="16"/>
        </w:rPr>
        <w:t>重要: WACC=7.5%・g=1.0%（極端弱気）でも理論株価¥2,420→現在値¥2,386より高い</w:t>
        <w:br/>
        <w:t>→ 下振れ耐性の強さが確認される</w:t>
      </w:r>
    </w:p>
    <w:p/>
    <w:p>
      <w:r>
        <w:t>──────────────────────────────────────────────────</w:t>
      </w:r>
    </w:p>
    <w:p/>
    <w:p>
      <w:pPr>
        <w:pStyle w:val="Heading2"/>
      </w:pPr>
      <w:r>
        <w:rPr>
          <w:rFonts w:ascii="Meiryo UI" w:hAnsi="Meiryo UI"/>
          <w:color w:val="2E74B5"/>
        </w:rPr>
        <w:t>総括・最終判断</w:t>
      </w:r>
    </w:p>
    <w:p/>
    <w:p>
      <w:pPr>
        <w:pStyle w:val="Heading3"/>
      </w:pPr>
      <w:r>
        <w:rPr>
          <w:rFonts w:ascii="Meiryo UI" w:hAnsi="Meiryo UI"/>
          <w:color w:val="2E74B5"/>
        </w:rPr>
        <w:t>深井の最終評価</w:t>
      </w:r>
    </w:p>
    <w:p/>
    <w:p>
      <w:pPr>
        <w:shd w:val="clear" w:color="auto" w:fill="F2F2F2"/>
      </w:pPr>
      <w:r>
        <w:rPr>
          <w:rFonts w:ascii="Courier New" w:hAnsi="Courier New"/>
          <w:sz w:val="16"/>
        </w:rPr>
        <w:t>━━━━━━━━━━━━━━━━━━━━━━━━━━━━━━━</w:t>
        <w:br/>
        <w:t>エータイ（369A）  深井アナリスト評価</w:t>
        <w:br/>
        <w:t>━━━━━━━━━━━━━━━━━━━━━━━━━━━━━━━</w:t>
        <w:br/>
        <w:t>格付け:    【買い（BUY）★★★★☆】</w:t>
        <w:br/>
        <w:t>理論株価:  ¥2,970（ベース）/ レンジ ¥2,820〜¥3,150</w:t>
        <w:br/>
        <w:t>現在値:    ¥2,386</w:t>
        <w:br/>
        <w:t>上値余地:  +24.5%（ベース）/ 最大+50%（強気）</w:t>
        <w:br/>
        <w:t>損切り:    ¥2,050（▲14.1%）</w:t>
        <w:br/>
        <w:t>リスク/リターン比: 約1:1.7〜1:3.5 → 投資として合理的</w:t>
        <w:br/>
        <w:t>━━━━━━━━━━━━━━━━━━━━━━━━━━━━━━━</w:t>
        <w:br/>
        <w:br/>
        <w:t>⚠️ 要確認事項（優先度高）:</w:t>
        <w:br/>
        <w:t>1. ROE公式値（Yahoo Finance手動確認）</w:t>
        <w:br/>
        <w:t>2. 有利子負債額（BS確認→WACC精緻化）</w:t>
        <w:br/>
        <w:t>3. FCF実績値（CF計算書確認）</w:t>
        <w:br/>
        <w:t>4. セグメント別売上比率（永代供養 vs コンサル）</w:t>
        <w:br/>
        <w:t>5. 配当方針（無配/有配の確認）</w:t>
        <w:br/>
        <w:br/>
        <w:t>これらの確認が取れ次第、理論株価の精度を¥100単位で修正予定。</w:t>
        <w:br/>
        <w:t>━━━━━━━━━━━━━━━━━━━━━━━━━━━━━━━</w:t>
      </w:r>
    </w:p>
    <w:p/>
    <w:p>
      <w:r>
        <w:rPr>
          <w:rFonts w:ascii="Meiryo UI" w:hAnsi="Meiryo UI"/>
          <w:sz w:val="20"/>
        </w:rPr>
        <w:t>社長への一言（深井より）:</w:t>
      </w:r>
    </w:p>
    <w:p>
      <w:r>
        <w:rPr>
          <w:rFonts w:ascii="Meiryo UI" w:hAnsi="Meiryo UI"/>
          <w:sz w:val="20"/>
        </w:rPr>
        <w:t>&gt; 「買えます。ただし全力一気買いではなく、40%今日エントリー・60%は3Q決算後の仕込みを推奨します。永代供養×高齢化の構造需要は本物ですが、+6.1%成長は"安定"であって"爆発"ではない。¥2,050を損切りラインに設定し、リスクを限定した上での中長期保有が最も合理的な戦略です。3Q決算で75%進捗を確認したら自信を持ってフルポジションへ移行してください。」</w:t>
      </w:r>
    </w:p>
    <w:p/>
    <w:p>
      <w:r>
        <w:t>──────────────────────────────────────────────────</w:t>
      </w:r>
    </w:p>
    <w:p/>
    <w:p>
      <w:r>
        <w:rPr>
          <w:rFonts w:ascii="Meiryo UI" w:hAnsi="Meiryo UI"/>
          <w:sz w:val="20"/>
        </w:rPr>
        <w:t>本レポートは2026-04-14時点の公開情報に基づく分析です。投資判断は自己責任でお願いします。財務指標（特にROE・BS詳細）の公式確認後に数値を更新する可能性があります。</w:t>
      </w:r>
    </w:p>
    <w:p/>
    <w:p>
      <w:r>
        <w:rPr>
          <w:rFonts w:ascii="Meiryo UI" w:hAnsi="Meiryo UI"/>
          <w:sz w:val="20"/>
        </w:rPr>
        <w:t>深井 — 竹村トレードカンパニー アナリスト</w:t>
      </w:r>
    </w:p>
    <w:p>
      <w:r>
        <w:rPr>
          <w:rFonts w:ascii="Meiryo UI" w:hAnsi="Meiryo UI"/>
          <w:sz w:val="20"/>
        </w:rPr>
        <w:t>参照株価: ¥2,386（369A.T / 2026-04-14 16:04 JST）</w:t>
      </w:r>
    </w:p>
    <w:p>
      <w:r>
        <w:rPr>
          <w:rFonts w:ascii="Meiryo UI" w:hAnsi="Meiryo UI"/>
          <w:sz w:val="20"/>
        </w:rPr>
        <w:t>BPS: ¥739 / PBR: 3.23倍 / EPS: ¥111 / PER: 21.6倍（全てYahoo Financeリアルタイム取得値）</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2.467%</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日本10年国債（JGB10Y）2.467%</w:t>
            </w:r>
          </w:p>
        </w:tc>
      </w:tr>
      <w:tr>
        <w:tc>
          <w:tcPr>
            <w:tcW w:type="dxa" w:w="4703"/>
          </w:tcPr>
          <w:p>
            <w:r>
              <w:rPr>
                <w:rFonts w:ascii="Meiryo UI" w:hAnsi="Meiryo UI"/>
                <w:sz w:val="18"/>
              </w:rPr>
              <w:t>データ取得日時</w:t>
            </w:r>
          </w:p>
        </w:tc>
        <w:tc>
          <w:tcPr>
            <w:tcW w:type="dxa" w:w="4703"/>
          </w:tcPr>
          <w:p>
            <w:r>
              <w:rPr>
                <w:rFonts w:ascii="Meiryo UI" w:hAnsi="Meiryo UI"/>
                <w:sz w:val="18"/>
              </w:rPr>
              <w:t>2026-04-14 16:04 JST（財務省日次 R8.4.13）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369A_エータイ_BUY_DeepResearch_20260414.md を出力しました。</w:t>
      </w:r>
    </w:p>
    <w:p>
      <w:r>
        <w:rPr>
          <w:rFonts w:ascii="Meiryo UI" w:hAnsi="Meiryo UI"/>
          <w:sz w:val="20"/>
        </w:rPr>
        <w:t>浅井スコア +78 の銘柄 [369A]エータイ についてDeepResearch完了。</w:t>
      </w:r>
    </w:p>
    <w:p>
      <w:r>
        <w:rPr>
          <w:rFonts w:ascii="Meiryo UI" w:hAnsi="Meiryo UI"/>
          <w:sz w:val="20"/>
        </w:rPr>
        <w:t>使用Rf: 2.467%（取得: 2026-04-14 16:04 JST（財務省日次 R8.4.13））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