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[3778] さくらインターネット</w:t>
      </w:r>
    </w:p>
    <w:p/>
    <w:p/>
    <w:p>
      <w:pPr>
        <w:jc w:val="center"/>
      </w:pPr>
      <w:r>
        <w:rPr>
          <w:rFonts w:ascii="Meiryo UI" w:hAnsi="Meiryo UI"/>
          <w:sz w:val="24"/>
        </w:rPr>
        <w:t>アナリスト：深井</w:t>
      </w:r>
    </w:p>
    <w:p>
      <w:pPr>
        <w:jc w:val="center"/>
      </w:pPr>
      <w:r>
        <w:rPr>
          <w:rFonts w:ascii="Meiryo UI" w:hAnsi="Meiryo UI"/>
          <w:sz w:val="24"/>
        </w:rPr>
        <w:t>分析日：2026-04-05</w:t>
      </w:r>
    </w:p>
    <w:p>
      <w:r>
        <w:br w:type="page"/>
      </w:r>
    </w:p>
    <w:p>
      <w:pPr>
        <w:pStyle w:val="Heading1"/>
      </w:pPr>
      <w:r>
        <w:rPr>
          <w:rFonts w:ascii="Meiryo UI" w:hAnsi="Meiryo UI"/>
          <w:color w:val="1F3864"/>
        </w:rPr>
        <w:t>深井 DeepResearchレポート — [3778] さくらインターネット</w:t>
      </w:r>
    </w:p>
    <w:p>
      <w:r>
        <w:rPr>
          <w:rFonts w:ascii="Meiryo UI" w:hAnsi="Meiryo UI"/>
          <w:sz w:val="20"/>
        </w:rPr>
        <w:t>作成日: 2026-04-05  |  アナリスト: 深井  |  分類: BUY</w:t>
      </w:r>
    </w:p>
    <w:p>
      <w:r>
        <w:rPr>
          <w:rFonts w:ascii="Meiryo UI" w:hAnsi="Meiryo UI"/>
          <w:sz w:val="20"/>
        </w:rPr>
        <w:t>浅井スコア: +95  |  ソース: TDnet + 公開情報 + 浅井マスターDB</w:t>
      </w:r>
    </w:p>
    <w:p/>
    <w:p>
      <w:r>
        <w:t>──────────────────────────────────────────────────</w:t>
      </w:r>
    </w:p>
    <w:p/>
    <w:p>
      <w:pPr>
        <w:pStyle w:val="Heading1"/>
      </w:pPr>
      <w:r>
        <w:rPr>
          <w:rFonts w:ascii="Meiryo UI" w:hAnsi="Meiryo UI"/>
          <w:color w:val="1F3864"/>
        </w:rPr>
        <w:t>さくらインターネット（3778）DeepResearch レポート</w:t>
      </w:r>
    </w:p>
    <w:p/>
    <w:p>
      <w:r>
        <w:rPr>
          <w:rFonts w:ascii="Meiryo UI" w:hAnsi="Meiryo UI"/>
          <w:sz w:val="20"/>
        </w:rPr>
        <w:t>作成者: 深井（竹村トレードカンパニー アナリスト）</w:t>
      </w:r>
    </w:p>
    <w:p>
      <w:r>
        <w:rPr>
          <w:rFonts w:ascii="Meiryo UI" w:hAnsi="Meiryo UI"/>
          <w:sz w:val="20"/>
        </w:rPr>
        <w:t>作成日: 2026-04-05</w:t>
      </w:r>
    </w:p>
    <w:p>
      <w:r>
        <w:rPr>
          <w:rFonts w:ascii="Meiryo UI" w:hAnsi="Meiryo UI"/>
          <w:sz w:val="20"/>
        </w:rPr>
        <w:t>分析対象: さくらインターネット株式会社（東証プライム: 3778）</w:t>
      </w:r>
    </w:p>
    <w:p>
      <w:r>
        <w:rPr>
          <w:rFonts w:ascii="Meiryo UI" w:hAnsi="Meiryo UI"/>
          <w:sz w:val="20"/>
        </w:rPr>
        <w:t>通貨: JPY（円）</w:t>
      </w:r>
    </w:p>
    <w:p>
      <w:r>
        <w:rPr>
          <w:rFonts w:ascii="Meiryo UI" w:hAnsi="Meiryo UI"/>
          <w:sz w:val="20"/>
        </w:rPr>
        <w:t>優先度: Priority 3（浅井・不労 suggestion）</w:t>
      </w:r>
    </w:p>
    <w:p>
      <w:r>
        <w:rPr>
          <w:rFonts w:ascii="Meiryo UI" w:hAnsi="Meiryo UI"/>
          <w:sz w:val="20"/>
        </w:rPr>
        <w:t>浅井速報スコア: +95（BUY）</w:t>
      </w:r>
    </w:p>
    <w:p/>
    <w:p>
      <w:r>
        <w:t>──────────────────────────────────────────────────</w:t>
      </w:r>
    </w:p>
    <w:p/>
    <w:p>
      <w:r>
        <w:rPr>
          <w:rFonts w:ascii="Meiryo UI" w:hAnsi="Meiryo UI"/>
          <w:sz w:val="20"/>
        </w:rPr>
        <w:t>&gt; ⚠️ 免責事項: 本レポートは公開情報・業界知識に基づく分析目的の資料です。投資判断は自己責任でお願いします。Rf=2.380%（JGB10Y, 2026-04-05 17:31 JST 社長確認値）を厳守使用。</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w:t>
      </w:r>
    </w:p>
    <w:p>
      <w:pPr>
        <w:pStyle w:val="ListNumber"/>
      </w:pPr>
      <w:r>
        <w:rPr>
          <w:rFonts w:ascii="Meiryo UI" w:hAnsi="Meiryo UI"/>
          <w:sz w:val="20"/>
        </w:rPr>
        <w:t>【社長指示最優先】スモールキャップリスク × 政府クラウド認定の持続性精査</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リスクシナリオ（3ケース）</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Pr>
        <w:pStyle w:val="ListNumber"/>
      </w:pPr>
      <w:r>
        <w:rPr>
          <w:rFonts w:ascii="Meiryo UI" w:hAnsi="Meiryo UI"/>
          <w:sz w:val="20"/>
        </w:rPr>
        <w:t>深井コメント・総括</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社名</w:t>
            </w:r>
          </w:p>
        </w:tc>
        <w:tc>
          <w:tcPr>
            <w:tcW w:type="dxa" w:w="4703"/>
          </w:tcPr>
          <w:p>
            <w:r>
              <w:rPr>
                <w:rFonts w:ascii="Meiryo UI" w:hAnsi="Meiryo UI"/>
                <w:sz w:val="18"/>
              </w:rPr>
              <w:t>さくらインターネット株式会社</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1996年</w:t>
            </w:r>
          </w:p>
        </w:tc>
      </w:tr>
      <w:tr>
        <w:tc>
          <w:tcPr>
            <w:tcW w:type="dxa" w:w="4703"/>
          </w:tcPr>
          <w:p>
            <w:r>
              <w:rPr>
                <w:rFonts w:ascii="Meiryo UI" w:hAnsi="Meiryo UI"/>
                <w:sz w:val="18"/>
              </w:rPr>
              <w:t>本社</w:t>
            </w:r>
          </w:p>
        </w:tc>
        <w:tc>
          <w:tcPr>
            <w:tcW w:type="dxa" w:w="4703"/>
          </w:tcPr>
          <w:p>
            <w:r>
              <w:rPr>
                <w:rFonts w:ascii="Meiryo UI" w:hAnsi="Meiryo UI"/>
                <w:sz w:val="18"/>
              </w:rPr>
              <w:t>大阪府大阪市</w:t>
            </w:r>
          </w:p>
        </w:tc>
      </w:tr>
      <w:tr>
        <w:tc>
          <w:tcPr>
            <w:tcW w:type="dxa" w:w="4703"/>
            <w:shd w:val="clear" w:color="auto" w:fill="DDEBF7"/>
          </w:tcPr>
          <w:p>
            <w:r>
              <w:rPr>
                <w:rFonts w:ascii="Meiryo UI" w:hAnsi="Meiryo UI"/>
                <w:sz w:val="18"/>
              </w:rPr>
              <w:t>上場市場</w:t>
            </w:r>
          </w:p>
        </w:tc>
        <w:tc>
          <w:tcPr>
            <w:tcW w:type="dxa" w:w="4703"/>
            <w:shd w:val="clear" w:color="auto" w:fill="DDEBF7"/>
          </w:tcPr>
          <w:p>
            <w:r>
              <w:rPr>
                <w:rFonts w:ascii="Meiryo UI" w:hAnsi="Meiryo UI"/>
                <w:sz w:val="18"/>
              </w:rPr>
              <w:t>東証プライム（3778）</w:t>
            </w:r>
          </w:p>
        </w:tc>
      </w:tr>
      <w:tr>
        <w:tc>
          <w:tcPr>
            <w:tcW w:type="dxa" w:w="4703"/>
          </w:tcPr>
          <w:p>
            <w:r>
              <w:rPr>
                <w:rFonts w:ascii="Meiryo UI" w:hAnsi="Meiryo UI"/>
                <w:sz w:val="18"/>
              </w:rPr>
              <w:t>時価総額</w:t>
            </w:r>
          </w:p>
        </w:tc>
        <w:tc>
          <w:tcPr>
            <w:tcW w:type="dxa" w:w="4703"/>
          </w:tcPr>
          <w:p>
            <w:r>
              <w:rPr>
                <w:rFonts w:ascii="Meiryo UI" w:hAnsi="Meiryo UI"/>
                <w:sz w:val="18"/>
              </w:rPr>
              <w:t>約2,500〜3,000億円レンジ（スモールキャップ〜ミッドキャップ境界）</w:t>
            </w:r>
          </w:p>
        </w:tc>
      </w:tr>
      <w:tr>
        <w:tc>
          <w:tcPr>
            <w:tcW w:type="dxa" w:w="4703"/>
            <w:shd w:val="clear" w:color="auto" w:fill="DDEBF7"/>
          </w:tcPr>
          <w:p>
            <w:r>
              <w:rPr>
                <w:rFonts w:ascii="Meiryo UI" w:hAnsi="Meiryo UI"/>
                <w:sz w:val="18"/>
              </w:rPr>
              <w:t>従業員数</w:t>
            </w:r>
          </w:p>
        </w:tc>
        <w:tc>
          <w:tcPr>
            <w:tcW w:type="dxa" w:w="4703"/>
            <w:shd w:val="clear" w:color="auto" w:fill="DDEBF7"/>
          </w:tcPr>
          <w:p>
            <w:r>
              <w:rPr>
                <w:rFonts w:ascii="Meiryo UI" w:hAnsi="Meiryo UI"/>
                <w:sz w:val="18"/>
              </w:rPr>
              <w:t>約700〜800名</w:t>
            </w:r>
          </w:p>
        </w:tc>
      </w:tr>
      <w:tr>
        <w:tc>
          <w:tcPr>
            <w:tcW w:type="dxa" w:w="4703"/>
          </w:tcPr>
          <w:p>
            <w:r>
              <w:rPr>
                <w:rFonts w:ascii="Meiryo UI" w:hAnsi="Meiryo UI"/>
                <w:sz w:val="18"/>
              </w:rPr>
              <w:t>決算期</w:t>
            </w:r>
          </w:p>
        </w:tc>
        <w:tc>
          <w:tcPr>
            <w:tcW w:type="dxa" w:w="4703"/>
          </w:tcPr>
          <w:p>
            <w:r>
              <w:rPr>
                <w:rFonts w:ascii="Meiryo UI" w:hAnsi="Meiryo UI"/>
                <w:sz w:val="18"/>
              </w:rPr>
              <w:t>3月末</w:t>
            </w:r>
          </w:p>
        </w:tc>
      </w:tr>
      <w:tr>
        <w:tc>
          <w:tcPr>
            <w:tcW w:type="dxa" w:w="4703"/>
            <w:shd w:val="clear" w:color="auto" w:fill="DDEBF7"/>
          </w:tcPr>
          <w:p>
            <w:r>
              <w:rPr>
                <w:rFonts w:ascii="Meiryo UI" w:hAnsi="Meiryo UI"/>
                <w:sz w:val="18"/>
              </w:rPr>
              <w:t>事業領域</w:t>
            </w:r>
          </w:p>
        </w:tc>
        <w:tc>
          <w:tcPr>
            <w:tcW w:type="dxa" w:w="4703"/>
            <w:shd w:val="clear" w:color="auto" w:fill="DDEBF7"/>
          </w:tcPr>
          <w:p>
            <w:r>
              <w:rPr>
                <w:rFonts w:ascii="Meiryo UI" w:hAnsi="Meiryo UI"/>
                <w:sz w:val="18"/>
              </w:rPr>
              <w:t>クラウド・ホスティング・専用サーバー・高火力コンピューティング（GPU）</w:t>
            </w:r>
          </w:p>
        </w:tc>
      </w:tr>
    </w:tbl>
    <w:p/>
    <w:p>
      <w:pPr>
        <w:pStyle w:val="Heading3"/>
      </w:pPr>
      <w:r>
        <w:rPr>
          <w:rFonts w:ascii="Meiryo UI" w:hAnsi="Meiryo UI"/>
          <w:color w:val="2E74B5"/>
        </w:rPr>
        <w:t>1-2. セグメント・プロダクト構成</w:t>
      </w:r>
    </w:p>
    <w:p/>
    <w:p>
      <w:pPr>
        <w:shd w:val="clear" w:color="auto" w:fill="F2F2F2"/>
      </w:pPr>
      <w:r>
        <w:rPr>
          <w:rFonts w:ascii="Courier New" w:hAnsi="Courier New"/>
          <w:sz w:val="16"/>
        </w:rPr>
        <w:t>さくらインターネット 事業構造（概略）</w:t>
        <w:br/>
        <w:br/>
        <w:t>├── クラウドサービス（成長ドライバー）</w:t>
        <w:br/>
        <w:t>│   ├── さくらのクラウド（IaaS/PaaS）</w:t>
        <w:br/>
        <w:t>│   ├── 高火力コンピューティング（GPU クラスタ）← 最重要KGI</w:t>
        <w:br/>
        <w:t>│   └── さくらのオブジェクトストレージ</w:t>
        <w:br/>
        <w:t>│</w:t>
        <w:br/>
        <w:t>├── VPS / 専用サーバー（安定収益）</w:t>
        <w:br/>
        <w:t>│   ├── さくらのVPS</w:t>
        <w:br/>
        <w:t>│   └── 専用サーバー各種</w:t>
        <w:br/>
        <w:t>│</w:t>
        <w:br/>
        <w:t>├── レンタルサーバー（成熟・緩やか縮小）</w:t>
        <w:br/>
        <w:t>│   └── さくらのレンタルサーバ（共有）</w:t>
        <w:br/>
        <w:t>│</w:t>
        <w:br/>
        <w:t>└── コロケーション / IDC（インフラ基盤）</w:t>
        <w:br/>
        <w:t xml:space="preserve">    ├── 石狩データセンター（自然冷却コスト優位）</w:t>
        <w:br/>
        <w:t xml:space="preserve">    └── 東京・大阪DC</w:t>
      </w:r>
    </w:p>
    <w:p/>
    <w:p>
      <w:pPr>
        <w:pStyle w:val="Heading3"/>
      </w:pPr>
      <w:r>
        <w:rPr>
          <w:rFonts w:ascii="Meiryo UI" w:hAnsi="Meiryo UI"/>
          <w:color w:val="2E74B5"/>
        </w:rPr>
        <w:t>1-3. 競合優位性の詳細分析</w:t>
      </w:r>
    </w:p>
    <w:p/>
    <w:p>
      <w:pPr>
        <w:pStyle w:val="Heading4"/>
      </w:pPr>
      <w:r>
        <w:rPr>
          <w:rFonts w:ascii="Meiryo UI" w:hAnsi="Meiryo UI"/>
          <w:color w:val="2E74B5"/>
        </w:rPr>
        <w:t>① 石狩データセンター（北海道）— 自然冷却コスト優位</w:t>
      </w:r>
    </w:p>
    <w:p/>
    <w:p>
      <w:r>
        <w:rPr>
          <w:rFonts w:ascii="Meiryo UI" w:hAnsi="Meiryo UI"/>
          <w:sz w:val="20"/>
        </w:rPr>
        <w:t>石狩DCは「外気冷却（フリークーリング）」を採用しており、北海道の寒冷な外気を活用してPUE（Power Usage Effectiveness）を業界平均の1.4〜1.6から1.2前後まで低減できる。GPU演算はCPUより発熱量が格段に大きいため、この冷却コスト優位はGPU時代に逆算して正しい設計であったといえる。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業界平均</w:t>
            </w:r>
          </w:p>
        </w:tc>
        <w:tc>
          <w:tcPr>
            <w:tcW w:type="dxa" w:w="3135"/>
            <w:shd w:val="clear" w:color="auto" w:fill="2E74B5"/>
          </w:tcPr>
          <w:p>
            <w:r>
              <w:rPr>
                <w:rFonts w:ascii="Meiryo UI" w:hAnsi="Meiryo UI"/>
                <w:b/>
                <w:color w:val="FFFFFF"/>
                <w:sz w:val="18"/>
              </w:rPr>
              <w:t>さくら石狩DC</w:t>
            </w:r>
          </w:p>
        </w:tc>
      </w:tr>
      <w:tr>
        <w:tc>
          <w:tcPr>
            <w:tcW w:type="dxa" w:w="3135"/>
          </w:tcPr>
          <w:p>
            <w:r>
              <w:rPr>
                <w:rFonts w:ascii="Meiryo UI" w:hAnsi="Meiryo UI"/>
                <w:sz w:val="18"/>
              </w:rPr>
              <w:t>PUE</w:t>
            </w:r>
          </w:p>
        </w:tc>
        <w:tc>
          <w:tcPr>
            <w:tcW w:type="dxa" w:w="3135"/>
          </w:tcPr>
          <w:p>
            <w:r>
              <w:rPr>
                <w:rFonts w:ascii="Meiryo UI" w:hAnsi="Meiryo UI"/>
                <w:sz w:val="18"/>
              </w:rPr>
              <w:t>1.4〜1.6</w:t>
            </w:r>
          </w:p>
        </w:tc>
        <w:tc>
          <w:tcPr>
            <w:tcW w:type="dxa" w:w="3135"/>
          </w:tcPr>
          <w:p>
            <w:r>
              <w:rPr>
                <w:rFonts w:ascii="Meiryo UI" w:hAnsi="Meiryo UI"/>
                <w:sz w:val="18"/>
              </w:rPr>
              <w:t>〜1.2</w:t>
            </w:r>
          </w:p>
        </w:tc>
      </w:tr>
      <w:tr>
        <w:tc>
          <w:tcPr>
            <w:tcW w:type="dxa" w:w="3135"/>
            <w:shd w:val="clear" w:color="auto" w:fill="DDEBF7"/>
          </w:tcPr>
          <w:p>
            <w:r>
              <w:rPr>
                <w:rFonts w:ascii="Meiryo UI" w:hAnsi="Meiryo UI"/>
                <w:sz w:val="18"/>
              </w:rPr>
              <w:t>電力コスト</w:t>
            </w:r>
          </w:p>
        </w:tc>
        <w:tc>
          <w:tcPr>
            <w:tcW w:type="dxa" w:w="3135"/>
            <w:shd w:val="clear" w:color="auto" w:fill="DDEBF7"/>
          </w:tcPr>
          <w:p>
            <w:r>
              <w:rPr>
                <w:rFonts w:ascii="Meiryo UI" w:hAnsi="Meiryo UI"/>
                <w:sz w:val="18"/>
              </w:rPr>
              <w:t>高</w:t>
            </w:r>
          </w:p>
        </w:tc>
        <w:tc>
          <w:tcPr>
            <w:tcW w:type="dxa" w:w="3135"/>
            <w:shd w:val="clear" w:color="auto" w:fill="DDEBF7"/>
          </w:tcPr>
          <w:p>
            <w:r>
              <w:rPr>
                <w:rFonts w:ascii="Meiryo UI" w:hAnsi="Meiryo UI"/>
                <w:sz w:val="18"/>
              </w:rPr>
              <w:t>低（外気冷却効果）</w:t>
            </w:r>
          </w:p>
        </w:tc>
      </w:tr>
      <w:tr>
        <w:tc>
          <w:tcPr>
            <w:tcW w:type="dxa" w:w="3135"/>
          </w:tcPr>
          <w:p>
            <w:r>
              <w:rPr>
                <w:rFonts w:ascii="Meiryo UI" w:hAnsi="Meiryo UI"/>
                <w:sz w:val="18"/>
              </w:rPr>
              <w:t>冷却CAPEX</w:t>
            </w:r>
          </w:p>
        </w:tc>
        <w:tc>
          <w:tcPr>
            <w:tcW w:type="dxa" w:w="3135"/>
          </w:tcPr>
          <w:p>
            <w:r>
              <w:rPr>
                <w:rFonts w:ascii="Meiryo UI" w:hAnsi="Meiryo UI"/>
                <w:sz w:val="18"/>
              </w:rPr>
              <w:t>要大型冷却設備</w:t>
            </w:r>
          </w:p>
        </w:tc>
        <w:tc>
          <w:tcPr>
            <w:tcW w:type="dxa" w:w="3135"/>
          </w:tcPr>
          <w:p>
            <w:r>
              <w:rPr>
                <w:rFonts w:ascii="Meiryo UI" w:hAnsi="Meiryo UI"/>
                <w:sz w:val="18"/>
              </w:rPr>
              <w:t>最小化</w:t>
            </w:r>
          </w:p>
        </w:tc>
      </w:tr>
      <w:tr>
        <w:tc>
          <w:tcPr>
            <w:tcW w:type="dxa" w:w="3135"/>
            <w:shd w:val="clear" w:color="auto" w:fill="DDEBF7"/>
          </w:tcPr>
          <w:p>
            <w:r>
              <w:rPr>
                <w:rFonts w:ascii="Meiryo UI" w:hAnsi="Meiryo UI"/>
                <w:sz w:val="18"/>
              </w:rPr>
              <w:t>カーボンニュートラル適合</w:t>
            </w:r>
          </w:p>
        </w:tc>
        <w:tc>
          <w:tcPr>
            <w:tcW w:type="dxa" w:w="3135"/>
            <w:shd w:val="clear" w:color="auto" w:fill="DDEBF7"/>
          </w:tcPr>
          <w:p>
            <w:r>
              <w:rPr>
                <w:rFonts w:ascii="Meiryo UI" w:hAnsi="Meiryo UI"/>
                <w:sz w:val="18"/>
              </w:rPr>
              <w:t>課題あり</w:t>
            </w:r>
          </w:p>
        </w:tc>
        <w:tc>
          <w:tcPr>
            <w:tcW w:type="dxa" w:w="3135"/>
            <w:shd w:val="clear" w:color="auto" w:fill="DDEBF7"/>
          </w:tcPr>
          <w:p>
            <w:r>
              <w:rPr>
                <w:rFonts w:ascii="Meiryo UI" w:hAnsi="Meiryo UI"/>
                <w:sz w:val="18"/>
              </w:rPr>
              <w:t>相対優位</w:t>
            </w:r>
          </w:p>
        </w:tc>
      </w:tr>
    </w:tbl>
    <w:p/>
    <w:p>
      <w:pPr>
        <w:pStyle w:val="Heading4"/>
      </w:pPr>
      <w:r>
        <w:rPr>
          <w:rFonts w:ascii="Meiryo UI" w:hAnsi="Meiryo UI"/>
          <w:color w:val="2E74B5"/>
        </w:rPr>
        <w:t>② 国産クラウドというブランド価値（デジタル主権文脈）</w:t>
      </w:r>
    </w:p>
    <w:p/>
    <w:p>
      <w:r>
        <w:rPr>
          <w:rFonts w:ascii="Meiryo UI" w:hAnsi="Meiryo UI"/>
          <w:sz w:val="20"/>
        </w:rPr>
        <w:t>日本政府の「デジタル主権」政策は、外資クラウド（AWS/Azure/GCP）への依存リスクを認識し始めている。経済安全保障推進法の枠組みにおいて、国産クラウド事業者への政策的後押しが顕在化しており、さくらはこの流れの直接的受益者に位置する。</w:t>
      </w:r>
    </w:p>
    <w:p/>
    <w:p>
      <w:pPr>
        <w:pStyle w:val="Heading4"/>
      </w:pPr>
      <w:r>
        <w:rPr>
          <w:rFonts w:ascii="Meiryo UI" w:hAnsi="Meiryo UI"/>
          <w:color w:val="2E74B5"/>
        </w:rPr>
        <w:t>③ 政府クラウド認定（ガバメントクラウド）</w:t>
      </w:r>
    </w:p>
    <w:p/>
    <w:p>
      <w:r>
        <w:rPr>
          <w:rFonts w:ascii="Meiryo UI" w:hAnsi="Meiryo UI"/>
          <w:sz w:val="20"/>
        </w:rPr>
        <w:t>2023年〜2024年にかけ、さくらインターネットはデジタル庁のガバメントクラウド候補として認定を受けた。これは国産クラウド史上、最大のカタリストの一つ。AWS・Azure・GCPが独占していた政府調達市場に初めて国産事業者として参入する基盤が整いつつある。</w:t>
      </w:r>
    </w:p>
    <w:p/>
    <w:p>
      <w:pPr>
        <w:pStyle w:val="Heading4"/>
      </w:pPr>
      <w:r>
        <w:rPr>
          <w:rFonts w:ascii="Meiryo UI" w:hAnsi="Meiryo UI"/>
          <w:color w:val="2E74B5"/>
        </w:rPr>
        <w:t>④ 高火力コンピューティング（GPU鯖）</w:t>
      </w:r>
    </w:p>
    <w:p/>
    <w:p>
      <w:r>
        <w:rPr>
          <w:rFonts w:ascii="Meiryo UI" w:hAnsi="Meiryo UI"/>
          <w:sz w:val="20"/>
        </w:rPr>
        <w:t>NVIDIA H100/A100クラスのGPUクラスタを提供する「高火力コンピューティング」サービスは、国内AI企業・大学・研究機関のLLM学習インフラとして需要急拡大中。NEDO（新エネルギー・産業技術総合開発機構）やNII（国立情報学研究所）等との連携も進む。</w:t>
      </w:r>
    </w:p>
    <w:p/>
    <w:p>
      <w:pPr>
        <w:pStyle w:val="Heading3"/>
      </w:pPr>
      <w:r>
        <w:rPr>
          <w:rFonts w:ascii="Meiryo UI" w:hAnsi="Meiryo UI"/>
          <w:color w:val="2E74B5"/>
        </w:rPr>
        <w:t>1-4. 直近カタリスト（2025〜2026年）</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影響度</w:t>
            </w:r>
          </w:p>
        </w:tc>
        <w:tc>
          <w:tcPr>
            <w:tcW w:type="dxa" w:w="3135"/>
            <w:shd w:val="clear" w:color="auto" w:fill="2E74B5"/>
          </w:tcPr>
          <w:p>
            <w:r>
              <w:rPr>
                <w:rFonts w:ascii="Meiryo UI" w:hAnsi="Meiryo UI"/>
                <w:b/>
                <w:color w:val="FFFFFF"/>
                <w:sz w:val="18"/>
              </w:rPr>
              <w:t>タイムライン</w:t>
            </w:r>
          </w:p>
        </w:tc>
      </w:tr>
      <w:tr>
        <w:tc>
          <w:tcPr>
            <w:tcW w:type="dxa" w:w="3135"/>
          </w:tcPr>
          <w:p>
            <w:r>
              <w:rPr>
                <w:rFonts w:ascii="Meiryo UI" w:hAnsi="Meiryo UI"/>
                <w:sz w:val="18"/>
              </w:rPr>
              <w:t>ガバメントクラウド本格稼働・受注拡大</w:t>
            </w:r>
          </w:p>
        </w:tc>
        <w:tc>
          <w:tcPr>
            <w:tcW w:type="dxa" w:w="3135"/>
          </w:tcPr>
          <w:p>
            <w:r>
              <w:rPr>
                <w:rFonts w:ascii="Meiryo UI" w:hAnsi="Meiryo UI"/>
                <w:sz w:val="18"/>
              </w:rPr>
              <w:t>🔴 極大</w:t>
            </w:r>
          </w:p>
        </w:tc>
        <w:tc>
          <w:tcPr>
            <w:tcW w:type="dxa" w:w="3135"/>
          </w:tcPr>
          <w:p>
            <w:r>
              <w:rPr>
                <w:rFonts w:ascii="Meiryo UI" w:hAnsi="Meiryo UI"/>
                <w:sz w:val="18"/>
              </w:rPr>
              <w:t>2025〜2026年度</w:t>
            </w:r>
          </w:p>
        </w:tc>
      </w:tr>
      <w:tr>
        <w:tc>
          <w:tcPr>
            <w:tcW w:type="dxa" w:w="3135"/>
            <w:shd w:val="clear" w:color="auto" w:fill="DDEBF7"/>
          </w:tcPr>
          <w:p>
            <w:r>
              <w:rPr>
                <w:rFonts w:ascii="Meiryo UI" w:hAnsi="Meiryo UI"/>
                <w:sz w:val="18"/>
              </w:rPr>
              <w:t>高火力GPU追加増設・容量拡大</w:t>
            </w:r>
          </w:p>
        </w:tc>
        <w:tc>
          <w:tcPr>
            <w:tcW w:type="dxa" w:w="3135"/>
            <w:shd w:val="clear" w:color="auto" w:fill="DDEBF7"/>
          </w:tcPr>
          <w:p>
            <w:r>
              <w:rPr>
                <w:rFonts w:ascii="Meiryo UI" w:hAnsi="Meiryo UI"/>
                <w:sz w:val="18"/>
              </w:rPr>
              <w:t>🔴 極大</w:t>
            </w:r>
          </w:p>
        </w:tc>
        <w:tc>
          <w:tcPr>
            <w:tcW w:type="dxa" w:w="3135"/>
            <w:shd w:val="clear" w:color="auto" w:fill="DDEBF7"/>
          </w:tcPr>
          <w:p>
            <w:r>
              <w:rPr>
                <w:rFonts w:ascii="Meiryo UI" w:hAnsi="Meiryo UI"/>
                <w:sz w:val="18"/>
              </w:rPr>
              <w:t>継続中</w:t>
            </w:r>
          </w:p>
        </w:tc>
      </w:tr>
      <w:tr>
        <w:tc>
          <w:tcPr>
            <w:tcW w:type="dxa" w:w="3135"/>
          </w:tcPr>
          <w:p>
            <w:r>
              <w:rPr>
                <w:rFonts w:ascii="Meiryo UI" w:hAnsi="Meiryo UI"/>
                <w:sz w:val="18"/>
              </w:rPr>
              <w:t>国産LLM（ABCI後継等）インフラ受注</w:t>
            </w:r>
          </w:p>
        </w:tc>
        <w:tc>
          <w:tcPr>
            <w:tcW w:type="dxa" w:w="3135"/>
          </w:tcPr>
          <w:p>
            <w:r>
              <w:rPr>
                <w:rFonts w:ascii="Meiryo UI" w:hAnsi="Meiryo UI"/>
                <w:sz w:val="18"/>
              </w:rPr>
              <w:t>🟠 大</w:t>
            </w:r>
          </w:p>
        </w:tc>
        <w:tc>
          <w:tcPr>
            <w:tcW w:type="dxa" w:w="3135"/>
          </w:tcPr>
          <w:p>
            <w:r>
              <w:rPr>
                <w:rFonts w:ascii="Meiryo UI" w:hAnsi="Meiryo UI"/>
                <w:sz w:val="18"/>
              </w:rPr>
              <w:t>2025年〜</w:t>
            </w:r>
          </w:p>
        </w:tc>
      </w:tr>
      <w:tr>
        <w:tc>
          <w:tcPr>
            <w:tcW w:type="dxa" w:w="3135"/>
            <w:shd w:val="clear" w:color="auto" w:fill="DDEBF7"/>
          </w:tcPr>
          <w:p>
            <w:r>
              <w:rPr>
                <w:rFonts w:ascii="Meiryo UI" w:hAnsi="Meiryo UI"/>
                <w:sz w:val="18"/>
              </w:rPr>
              <w:t>AI関連スタートアップ顧客基盤拡大</w:t>
            </w:r>
          </w:p>
        </w:tc>
        <w:tc>
          <w:tcPr>
            <w:tcW w:type="dxa" w:w="3135"/>
            <w:shd w:val="clear" w:color="auto" w:fill="DDEBF7"/>
          </w:tcPr>
          <w:p>
            <w:r>
              <w:rPr>
                <w:rFonts w:ascii="Meiryo UI" w:hAnsi="Meiryo UI"/>
                <w:sz w:val="18"/>
              </w:rPr>
              <w:t>🟠 大</w:t>
            </w:r>
          </w:p>
        </w:tc>
        <w:tc>
          <w:tcPr>
            <w:tcW w:type="dxa" w:w="3135"/>
            <w:shd w:val="clear" w:color="auto" w:fill="DDEBF7"/>
          </w:tcPr>
          <w:p>
            <w:r>
              <w:rPr>
                <w:rFonts w:ascii="Meiryo UI" w:hAnsi="Meiryo UI"/>
                <w:sz w:val="18"/>
              </w:rPr>
              <w:t>継続中</w:t>
            </w:r>
          </w:p>
        </w:tc>
      </w:tr>
      <w:tr>
        <w:tc>
          <w:tcPr>
            <w:tcW w:type="dxa" w:w="3135"/>
          </w:tcPr>
          <w:p>
            <w:r>
              <w:rPr>
                <w:rFonts w:ascii="Meiryo UI" w:hAnsi="Meiryo UI"/>
                <w:sz w:val="18"/>
              </w:rPr>
              <w:t>石狩DC第3期・第4期拡張</w:t>
            </w:r>
          </w:p>
        </w:tc>
        <w:tc>
          <w:tcPr>
            <w:tcW w:type="dxa" w:w="3135"/>
          </w:tcPr>
          <w:p>
            <w:r>
              <w:rPr>
                <w:rFonts w:ascii="Meiryo UI" w:hAnsi="Meiryo UI"/>
                <w:sz w:val="18"/>
              </w:rPr>
              <w:t>🟡 中</w:t>
            </w:r>
          </w:p>
        </w:tc>
        <w:tc>
          <w:tcPr>
            <w:tcW w:type="dxa" w:w="3135"/>
          </w:tcPr>
          <w:p>
            <w:r>
              <w:rPr>
                <w:rFonts w:ascii="Meiryo UI" w:hAnsi="Meiryo UI"/>
                <w:sz w:val="18"/>
              </w:rPr>
              <w:t>中期</w:t>
            </w:r>
          </w:p>
        </w:tc>
      </w:tr>
      <w:tr>
        <w:tc>
          <w:tcPr>
            <w:tcW w:type="dxa" w:w="3135"/>
            <w:shd w:val="clear" w:color="auto" w:fill="DDEBF7"/>
          </w:tcPr>
          <w:p>
            <w:r>
              <w:rPr>
                <w:rFonts w:ascii="Meiryo UI" w:hAnsi="Meiryo UI"/>
                <w:sz w:val="18"/>
              </w:rPr>
              <w:t>NTT/富士通等との協業深化</w:t>
            </w:r>
          </w:p>
        </w:tc>
        <w:tc>
          <w:tcPr>
            <w:tcW w:type="dxa" w:w="3135"/>
            <w:shd w:val="clear" w:color="auto" w:fill="DDEBF7"/>
          </w:tcPr>
          <w:p>
            <w:r>
              <w:rPr>
                <w:rFonts w:ascii="Meiryo UI" w:hAnsi="Meiryo UI"/>
                <w:sz w:val="18"/>
              </w:rPr>
              <w:t>🟡 中</w:t>
            </w:r>
          </w:p>
        </w:tc>
        <w:tc>
          <w:tcPr>
            <w:tcW w:type="dxa" w:w="3135"/>
            <w:shd w:val="clear" w:color="auto" w:fill="DDEBF7"/>
          </w:tcPr>
          <w:p>
            <w:r>
              <w:rPr>
                <w:rFonts w:ascii="Meiryo UI" w:hAnsi="Meiryo UI"/>
                <w:sz w:val="18"/>
              </w:rPr>
              <w:t>不確実</w:t>
            </w:r>
          </w:p>
        </w:tc>
      </w:tr>
      <w:tr>
        <w:tc>
          <w:tcPr>
            <w:tcW w:type="dxa" w:w="3135"/>
          </w:tcPr>
          <w:p>
            <w:r>
              <w:rPr>
                <w:rFonts w:ascii="Meiryo UI" w:hAnsi="Meiryo UI"/>
                <w:sz w:val="18"/>
              </w:rPr>
              <w:t>新料金体系・値上げサイクル</w:t>
            </w:r>
          </w:p>
        </w:tc>
        <w:tc>
          <w:tcPr>
            <w:tcW w:type="dxa" w:w="3135"/>
          </w:tcPr>
          <w:p>
            <w:r>
              <w:rPr>
                <w:rFonts w:ascii="Meiryo UI" w:hAnsi="Meiryo UI"/>
                <w:sz w:val="18"/>
              </w:rPr>
              <w:t>🟡 中</w:t>
            </w:r>
          </w:p>
        </w:tc>
        <w:tc>
          <w:tcPr>
            <w:tcW w:type="dxa" w:w="3135"/>
          </w:tcPr>
          <w:p>
            <w:r>
              <w:rPr>
                <w:rFonts w:ascii="Meiryo UI" w:hAnsi="Meiryo UI"/>
                <w:sz w:val="18"/>
              </w:rPr>
              <w:t>2025〜2026年</w:t>
            </w:r>
          </w:p>
        </w:tc>
      </w:tr>
    </w:tbl>
    <w:p/>
    <w:p>
      <w:r>
        <w:t>──────────────────────────────────────────────────</w:t>
      </w:r>
    </w:p>
    <w:p/>
    <w:p>
      <w:pPr>
        <w:pStyle w:val="Heading2"/>
      </w:pPr>
      <w:r>
        <w:rPr>
          <w:rFonts w:ascii="Meiryo UI" w:hAnsi="Meiryo UI"/>
          <w:color w:val="2E74B5"/>
        </w:rPr>
        <w:t>2. 【社長指示最優先】スモールキャップリスク × 政府クラウド認定の持続性精査</w:t>
      </w:r>
    </w:p>
    <w:p/>
    <w:p>
      <w:r>
        <w:rPr>
          <w:rFonts w:ascii="Meiryo UI" w:hAnsi="Meiryo UI"/>
          <w:sz w:val="20"/>
        </w:rPr>
        <w:t>&gt; 社長指示: 「浅井・不労suggestion。スモールキャップリスクと政府クラウド認定の持続性を精査せよ」</w:t>
      </w:r>
    </w:p>
    <w:p/>
    <w:p>
      <w:pPr>
        <w:pStyle w:val="Heading3"/>
      </w:pPr>
      <w:r>
        <w:rPr>
          <w:rFonts w:ascii="Meiryo UI" w:hAnsi="Meiryo UI"/>
          <w:color w:val="2E74B5"/>
        </w:rPr>
        <w:t>2-1. スモールキャップリスクの詳細精査</w:t>
      </w:r>
    </w:p>
    <w:p/>
    <w:p>
      <w:pPr>
        <w:pStyle w:val="Heading4"/>
      </w:pPr>
      <w:r>
        <w:rPr>
          <w:rFonts w:ascii="Meiryo UI" w:hAnsi="Meiryo UI"/>
          <w:color w:val="2E74B5"/>
        </w:rPr>
        <w:t>A. 流動性リスク</w:t>
      </w:r>
    </w:p>
    <w:p/>
    <w:p>
      <w:r>
        <w:rPr>
          <w:rFonts w:ascii="Meiryo UI" w:hAnsi="Meiryo UI"/>
          <w:sz w:val="20"/>
        </w:rPr>
        <w:t>さくら（3778）の時価総額は概算2,500〜3,000億円レンジ（本分析時点）であり、東証プライム内ではスモール〜マイクロキャップ寄りに分類される。</w:t>
      </w:r>
    </w:p>
    <w:p/>
    <w:p>
      <w:pPr>
        <w:shd w:val="clear" w:color="auto" w:fill="F2F2F2"/>
      </w:pPr>
      <w:r>
        <w:rPr>
          <w:rFonts w:ascii="Courier New" w:hAnsi="Courier New"/>
          <w:sz w:val="16"/>
        </w:rPr>
        <w:t>流動性リスク定量評価</w:t>
        <w:br/>
        <w:t>━━━━━━━━━━━━━━━━━━━━━━━━━━━━━</w:t>
        <w:br/>
        <w:t>日次平均売買代金:    約30〜80億円（推定）</w:t>
        <w:br/>
        <w:t>ビッド・アスクスプレッド: 比較的大きい（流動性リスク↑）</w:t>
        <w:br/>
        <w:t>機関投資家保有比率:   中程度（外国人比率拡大中）</w:t>
        <w:br/>
        <w:t>インデックス組み入れ: TOPIX Small・JPX400等</w:t>
        <w:br/>
        <w:t>━━━━━━━━━━━━━━━━━━━━━━━━━━━━━</w:t>
        <w:br/>
        <w:t>深井評価: 流動性リスク ★★★☆☆（中程度）</w:t>
        <w:br/>
        <w:t>竹村ポジション推奨: 総資産の2〜3%以下に限定</w:t>
      </w:r>
    </w:p>
    <w:p/>
    <w:p>
      <w:r>
        <w:rPr>
          <w:rFonts w:ascii="Meiryo UI" w:hAnsi="Meiryo UI"/>
          <w:sz w:val="20"/>
        </w:rPr>
        <w:t>留意点: 好材料発表時に出来高が急増するが、失望時の売り圧力は増幅されやすい。浅井コメント「スモールキャップにつきポジションサイズ注意」は的確。</w:t>
      </w:r>
    </w:p>
    <w:p/>
    <w:p>
      <w:pPr>
        <w:pStyle w:val="Heading4"/>
      </w:pPr>
      <w:r>
        <w:rPr>
          <w:rFonts w:ascii="Meiryo UI" w:hAnsi="Meiryo UI"/>
          <w:color w:val="2E74B5"/>
        </w:rPr>
        <w:t>B. 資金調達リスク（成長投資の持続性）</w:t>
      </w:r>
    </w:p>
    <w:p/>
    <w:p>
      <w:r>
        <w:rPr>
          <w:rFonts w:ascii="Meiryo UI" w:hAnsi="Meiryo UI"/>
          <w:sz w:val="20"/>
        </w:rPr>
        <w:t>GPU鯖・DC拡張には多額のCAPEX（設備投資）が必要。現在のさくらの規模では：</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リスク項目</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深井評価</w:t>
            </w:r>
          </w:p>
        </w:tc>
      </w:tr>
      <w:tr>
        <w:tc>
          <w:tcPr>
            <w:tcW w:type="dxa" w:w="3135"/>
          </w:tcPr>
          <w:p>
            <w:r>
              <w:rPr>
                <w:rFonts w:ascii="Meiryo UI" w:hAnsi="Meiryo UI"/>
                <w:sz w:val="18"/>
              </w:rPr>
              <w:t>起債リスク</w:t>
            </w:r>
          </w:p>
        </w:tc>
        <w:tc>
          <w:tcPr>
            <w:tcW w:type="dxa" w:w="3135"/>
          </w:tcPr>
          <w:p>
            <w:r>
              <w:rPr>
                <w:rFonts w:ascii="Meiryo UI" w:hAnsi="Meiryo UI"/>
                <w:sz w:val="18"/>
              </w:rPr>
              <w:t>金利上昇局面での借入コスト増</w:t>
            </w:r>
          </w:p>
        </w:tc>
        <w:tc>
          <w:tcPr>
            <w:tcW w:type="dxa" w:w="3135"/>
          </w:tcPr>
          <w:p>
            <w:r>
              <w:rPr>
                <w:rFonts w:ascii="Meiryo UI" w:hAnsi="Meiryo UI"/>
                <w:sz w:val="18"/>
              </w:rPr>
              <w:t>⚠️ 中リスク</w:t>
            </w:r>
          </w:p>
        </w:tc>
      </w:tr>
      <w:tr>
        <w:tc>
          <w:tcPr>
            <w:tcW w:type="dxa" w:w="3135"/>
            <w:shd w:val="clear" w:color="auto" w:fill="DDEBF7"/>
          </w:tcPr>
          <w:p>
            <w:r>
              <w:rPr>
                <w:rFonts w:ascii="Meiryo UI" w:hAnsi="Meiryo UI"/>
                <w:sz w:val="18"/>
              </w:rPr>
              <w:t>株式希薄化</w:t>
            </w:r>
          </w:p>
        </w:tc>
        <w:tc>
          <w:tcPr>
            <w:tcW w:type="dxa" w:w="3135"/>
            <w:shd w:val="clear" w:color="auto" w:fill="DDEBF7"/>
          </w:tcPr>
          <w:p>
            <w:r>
              <w:rPr>
                <w:rFonts w:ascii="Meiryo UI" w:hAnsi="Meiryo UI"/>
                <w:sz w:val="18"/>
              </w:rPr>
              <w:t>増資による1株価値希薄化の可能性</w:t>
            </w:r>
          </w:p>
        </w:tc>
        <w:tc>
          <w:tcPr>
            <w:tcW w:type="dxa" w:w="3135"/>
            <w:shd w:val="clear" w:color="auto" w:fill="DDEBF7"/>
          </w:tcPr>
          <w:p>
            <w:r>
              <w:rPr>
                <w:rFonts w:ascii="Meiryo UI" w:hAnsi="Meiryo UI"/>
                <w:sz w:val="18"/>
              </w:rPr>
              <w:t>⚠️ 中リスク</w:t>
            </w:r>
          </w:p>
        </w:tc>
      </w:tr>
      <w:tr>
        <w:tc>
          <w:tcPr>
            <w:tcW w:type="dxa" w:w="3135"/>
          </w:tcPr>
          <w:p>
            <w:r>
              <w:rPr>
                <w:rFonts w:ascii="Meiryo UI" w:hAnsi="Meiryo UI"/>
                <w:sz w:val="18"/>
              </w:rPr>
              <w:t>FCFマイナス継続</w:t>
            </w:r>
          </w:p>
        </w:tc>
        <w:tc>
          <w:tcPr>
            <w:tcW w:type="dxa" w:w="3135"/>
          </w:tcPr>
          <w:p>
            <w:r>
              <w:rPr>
                <w:rFonts w:ascii="Meiryo UI" w:hAnsi="Meiryo UI"/>
                <w:sz w:val="18"/>
              </w:rPr>
              <w:t>成長投資期はFCFがマイナスになりやすい</w:t>
            </w:r>
          </w:p>
        </w:tc>
        <w:tc>
          <w:tcPr>
            <w:tcW w:type="dxa" w:w="3135"/>
          </w:tcPr>
          <w:p>
            <w:r>
              <w:rPr>
                <w:rFonts w:ascii="Meiryo UI" w:hAnsi="Meiryo UI"/>
                <w:sz w:val="18"/>
              </w:rPr>
              <w:t>⚠️ 要監視</w:t>
            </w:r>
          </w:p>
        </w:tc>
      </w:tr>
      <w:tr>
        <w:tc>
          <w:tcPr>
            <w:tcW w:type="dxa" w:w="3135"/>
            <w:shd w:val="clear" w:color="auto" w:fill="DDEBF7"/>
          </w:tcPr>
          <w:p>
            <w:r>
              <w:rPr>
                <w:rFonts w:ascii="Meiryo UI" w:hAnsi="Meiryo UI"/>
                <w:sz w:val="18"/>
              </w:rPr>
              <w:t>財務レバレッジ</w:t>
            </w:r>
          </w:p>
        </w:tc>
        <w:tc>
          <w:tcPr>
            <w:tcW w:type="dxa" w:w="3135"/>
            <w:shd w:val="clear" w:color="auto" w:fill="DDEBF7"/>
          </w:tcPr>
          <w:p>
            <w:r>
              <w:rPr>
                <w:rFonts w:ascii="Meiryo UI" w:hAnsi="Meiryo UI"/>
                <w:sz w:val="18"/>
              </w:rPr>
              <w:t>D/E比率の上昇に注意</w:t>
            </w:r>
          </w:p>
        </w:tc>
        <w:tc>
          <w:tcPr>
            <w:tcW w:type="dxa" w:w="3135"/>
            <w:shd w:val="clear" w:color="auto" w:fill="DDEBF7"/>
          </w:tcPr>
          <w:p>
            <w:r>
              <w:rPr>
                <w:rFonts w:ascii="Meiryo UI" w:hAnsi="Meiryo UI"/>
                <w:sz w:val="18"/>
              </w:rPr>
              <w:t>⚠️ 中リスク</w:t>
            </w:r>
          </w:p>
        </w:tc>
      </w:tr>
    </w:tbl>
    <w:p/>
    <w:p>
      <w:pPr>
        <w:pStyle w:val="Heading4"/>
      </w:pPr>
      <w:r>
        <w:rPr>
          <w:rFonts w:ascii="Meiryo UI" w:hAnsi="Meiryo UI"/>
          <w:color w:val="2E74B5"/>
        </w:rPr>
        <w:t>C. 経営執行リスク</w:t>
      </w:r>
    </w:p>
    <w:p/>
    <w:p>
      <w:r>
        <w:rPr>
          <w:rFonts w:ascii="Meiryo UI" w:hAnsi="Meiryo UI"/>
          <w:sz w:val="20"/>
        </w:rPr>
        <w:t>スモールキャップ企業特有の経営者依存リスク（田中邦裕社長の戦略的意思決定への依存度が高い）が存在する。創業者系企業のため、ビジョンの明確さと引き換えに後継者リスクを内包している。</w:t>
      </w:r>
    </w:p>
    <w:p/>
    <w:p>
      <w:pPr>
        <w:pStyle w:val="Heading4"/>
      </w:pPr>
      <w:r>
        <w:rPr>
          <w:rFonts w:ascii="Meiryo UI" w:hAnsi="Meiryo UI"/>
          <w:color w:val="2E74B5"/>
        </w:rPr>
        <w:t>D. 競合激化リスク</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競合</w:t>
            </w:r>
          </w:p>
        </w:tc>
        <w:tc>
          <w:tcPr>
            <w:tcW w:type="dxa" w:w="3135"/>
            <w:shd w:val="clear" w:color="auto" w:fill="2E74B5"/>
          </w:tcPr>
          <w:p>
            <w:r>
              <w:rPr>
                <w:rFonts w:ascii="Meiryo UI" w:hAnsi="Meiryo UI"/>
                <w:b/>
                <w:color w:val="FFFFFF"/>
                <w:sz w:val="18"/>
              </w:rPr>
              <w:t>強み</w:t>
            </w:r>
          </w:p>
        </w:tc>
        <w:tc>
          <w:tcPr>
            <w:tcW w:type="dxa" w:w="3135"/>
            <w:shd w:val="clear" w:color="auto" w:fill="2E74B5"/>
          </w:tcPr>
          <w:p>
            <w:r>
              <w:rPr>
                <w:rFonts w:ascii="Meiryo UI" w:hAnsi="Meiryo UI"/>
                <w:b/>
                <w:color w:val="FFFFFF"/>
                <w:sz w:val="18"/>
              </w:rPr>
              <w:t>さくらへの脅威</w:t>
            </w:r>
          </w:p>
        </w:tc>
      </w:tr>
      <w:tr>
        <w:tc>
          <w:tcPr>
            <w:tcW w:type="dxa" w:w="3135"/>
          </w:tcPr>
          <w:p>
            <w:r>
              <w:rPr>
                <w:rFonts w:ascii="Meiryo UI" w:hAnsi="Meiryo UI"/>
                <w:sz w:val="18"/>
              </w:rPr>
              <w:t>NTT Communications</w:t>
            </w:r>
          </w:p>
        </w:tc>
        <w:tc>
          <w:tcPr>
            <w:tcW w:type="dxa" w:w="3135"/>
          </w:tcPr>
          <w:p>
            <w:r>
              <w:rPr>
                <w:rFonts w:ascii="Meiryo UI" w:hAnsi="Meiryo UI"/>
                <w:sz w:val="18"/>
              </w:rPr>
              <w:t>資本力・政府関係</w:t>
            </w:r>
          </w:p>
        </w:tc>
        <w:tc>
          <w:tcPr>
            <w:tcW w:type="dxa" w:w="3135"/>
          </w:tcPr>
          <w:p>
            <w:r>
              <w:rPr>
                <w:rFonts w:ascii="Meiryo UI" w:hAnsi="Meiryo UI"/>
                <w:sz w:val="18"/>
              </w:rPr>
              <w:t>政府調達競合</w:t>
            </w:r>
          </w:p>
        </w:tc>
      </w:tr>
      <w:tr>
        <w:tc>
          <w:tcPr>
            <w:tcW w:type="dxa" w:w="3135"/>
            <w:shd w:val="clear" w:color="auto" w:fill="DDEBF7"/>
          </w:tcPr>
          <w:p>
            <w:r>
              <w:rPr>
                <w:rFonts w:ascii="Meiryo UI" w:hAnsi="Meiryo UI"/>
                <w:sz w:val="18"/>
              </w:rPr>
              <w:t>IDCフロンティア</w:t>
            </w:r>
          </w:p>
        </w:tc>
        <w:tc>
          <w:tcPr>
            <w:tcW w:type="dxa" w:w="3135"/>
            <w:shd w:val="clear" w:color="auto" w:fill="DDEBF7"/>
          </w:tcPr>
          <w:p>
            <w:r>
              <w:rPr>
                <w:rFonts w:ascii="Meiryo UI" w:hAnsi="Meiryo UI"/>
                <w:sz w:val="18"/>
              </w:rPr>
              <w:t>Yahoo系インフラ</w:t>
            </w:r>
          </w:p>
        </w:tc>
        <w:tc>
          <w:tcPr>
            <w:tcW w:type="dxa" w:w="3135"/>
            <w:shd w:val="clear" w:color="auto" w:fill="DDEBF7"/>
          </w:tcPr>
          <w:p>
            <w:r>
              <w:rPr>
                <w:rFonts w:ascii="Meiryo UI" w:hAnsi="Meiryo UI"/>
                <w:sz w:val="18"/>
              </w:rPr>
              <w:t>企業向け競合</w:t>
            </w:r>
          </w:p>
        </w:tc>
      </w:tr>
      <w:tr>
        <w:tc>
          <w:tcPr>
            <w:tcW w:type="dxa" w:w="3135"/>
          </w:tcPr>
          <w:p>
            <w:r>
              <w:rPr>
                <w:rFonts w:ascii="Meiryo UI" w:hAnsi="Meiryo UI"/>
                <w:sz w:val="18"/>
              </w:rPr>
              <w:t>KDDI（エッジDC）</w:t>
            </w:r>
          </w:p>
        </w:tc>
        <w:tc>
          <w:tcPr>
            <w:tcW w:type="dxa" w:w="3135"/>
          </w:tcPr>
          <w:p>
            <w:r>
              <w:rPr>
                <w:rFonts w:ascii="Meiryo UI" w:hAnsi="Meiryo UI"/>
                <w:sz w:val="18"/>
              </w:rPr>
              <w:t>通信基盤</w:t>
            </w:r>
          </w:p>
        </w:tc>
        <w:tc>
          <w:tcPr>
            <w:tcW w:type="dxa" w:w="3135"/>
          </w:tcPr>
          <w:p>
            <w:r>
              <w:rPr>
                <w:rFonts w:ascii="Meiryo UI" w:hAnsi="Meiryo UI"/>
                <w:sz w:val="18"/>
              </w:rPr>
              <w:t>GPU/エッジ領域</w:t>
            </w:r>
          </w:p>
        </w:tc>
      </w:tr>
      <w:tr>
        <w:tc>
          <w:tcPr>
            <w:tcW w:type="dxa" w:w="3135"/>
            <w:shd w:val="clear" w:color="auto" w:fill="DDEBF7"/>
          </w:tcPr>
          <w:p>
            <w:r>
              <w:rPr>
                <w:rFonts w:ascii="Meiryo UI" w:hAnsi="Meiryo UI"/>
                <w:sz w:val="18"/>
              </w:rPr>
              <w:t>AWS/Azure/GCP</w:t>
            </w:r>
          </w:p>
        </w:tc>
        <w:tc>
          <w:tcPr>
            <w:tcW w:type="dxa" w:w="3135"/>
            <w:shd w:val="clear" w:color="auto" w:fill="DDEBF7"/>
          </w:tcPr>
          <w:p>
            <w:r>
              <w:rPr>
                <w:rFonts w:ascii="Meiryo UI" w:hAnsi="Meiryo UI"/>
                <w:sz w:val="18"/>
              </w:rPr>
              <w:t>技術・規模</w:t>
            </w:r>
          </w:p>
        </w:tc>
        <w:tc>
          <w:tcPr>
            <w:tcW w:type="dxa" w:w="3135"/>
            <w:shd w:val="clear" w:color="auto" w:fill="DDEBF7"/>
          </w:tcPr>
          <w:p>
            <w:r>
              <w:rPr>
                <w:rFonts w:ascii="Meiryo UI" w:hAnsi="Meiryo UI"/>
                <w:sz w:val="18"/>
              </w:rPr>
              <w:t>ガバメントでは制限的だが脅威</w:t>
            </w:r>
          </w:p>
        </w:tc>
      </w:tr>
      <w:tr>
        <w:tc>
          <w:tcPr>
            <w:tcW w:type="dxa" w:w="3135"/>
          </w:tcPr>
          <w:p>
            <w:r>
              <w:rPr>
                <w:rFonts w:ascii="Meiryo UI" w:hAnsi="Meiryo UI"/>
                <w:sz w:val="18"/>
              </w:rPr>
              <w:t>GMOインターネット</w:t>
            </w:r>
          </w:p>
        </w:tc>
        <w:tc>
          <w:tcPr>
            <w:tcW w:type="dxa" w:w="3135"/>
          </w:tcPr>
          <w:p>
            <w:r>
              <w:rPr>
                <w:rFonts w:ascii="Meiryo UI" w:hAnsi="Meiryo UI"/>
                <w:sz w:val="18"/>
              </w:rPr>
              <w:t>価格競争力</w:t>
            </w:r>
          </w:p>
        </w:tc>
        <w:tc>
          <w:tcPr>
            <w:tcW w:type="dxa" w:w="3135"/>
          </w:tcPr>
          <w:p>
            <w:r>
              <w:rPr>
                <w:rFonts w:ascii="Meiryo UI" w:hAnsi="Meiryo UI"/>
                <w:sz w:val="18"/>
              </w:rPr>
              <w:t>VPS/共有ホスティング</w:t>
            </w:r>
          </w:p>
        </w:tc>
      </w:tr>
    </w:tbl>
    <w:p/>
    <w:p>
      <w:r>
        <w:rPr>
          <w:rFonts w:ascii="Meiryo UI" w:hAnsi="Meiryo UI"/>
          <w:sz w:val="20"/>
        </w:rPr>
        <w:t>深井評価: スモールキャップリスクは実質的に存在するが、過度に恐れる必要はない。政府クラウド認定という「護城河（モート）」が一定の収益安定性を担保する。ただしポジションサイズは浅井指摘通り慎重に。</w:t>
      </w:r>
    </w:p>
    <w:p/>
    <w:p>
      <w:r>
        <w:t>──────────────────────────────────────────────────</w:t>
      </w:r>
    </w:p>
    <w:p/>
    <w:p>
      <w:pPr>
        <w:pStyle w:val="Heading3"/>
      </w:pPr>
      <w:r>
        <w:rPr>
          <w:rFonts w:ascii="Meiryo UI" w:hAnsi="Meiryo UI"/>
          <w:color w:val="2E74B5"/>
        </w:rPr>
        <w:t>2-2. 政府クラウド認定の持続性精査（最重要）</w:t>
      </w:r>
    </w:p>
    <w:p/>
    <w:p>
      <w:pPr>
        <w:pStyle w:val="Heading4"/>
      </w:pPr>
      <w:r>
        <w:rPr>
          <w:rFonts w:ascii="Meiryo UI" w:hAnsi="Meiryo UI"/>
          <w:color w:val="2E74B5"/>
        </w:rPr>
        <w:t>A. 認定の現状と構造</w:t>
      </w:r>
    </w:p>
    <w:p/>
    <w:p>
      <w:pPr>
        <w:shd w:val="clear" w:color="auto" w:fill="F2F2F2"/>
      </w:pPr>
      <w:r>
        <w:rPr>
          <w:rFonts w:ascii="Courier New" w:hAnsi="Courier New"/>
          <w:sz w:val="16"/>
        </w:rPr>
        <w:t>ガバメントクラウド認定プロセス（デジタル庁）</w:t>
        <w:br/>
        <w:t>━━━━━━━━━━━━━━━━━━━━━━━━━━━━━━━━━━━━</w:t>
        <w:br/>
        <w:t>Layer 1: 技術要件審査（セキュリティ/可用性/コンプライアンス）</w:t>
        <w:br/>
        <w:t>Layer 2: 運用要件審査（SLA/サポート体制/BCP）</w:t>
        <w:br/>
        <w:t>Layer 3: 価格競争力審査（政府調達ルール準拠）</w:t>
        <w:br/>
        <w:t>Layer 4: 継続的モニタリング（認定後も定期審査）</w:t>
        <w:br/>
        <w:t>━━━━━━━━━━━━━━━━━━━━━━━━━━━━━━━━━━━━</w:t>
        <w:br/>
        <w:t>さくら現在地: Layer 3〜4（認定取得済、稼働開始フェーズ）</w:t>
      </w:r>
    </w:p>
    <w:p/>
    <w:p>
      <w:pPr>
        <w:pStyle w:val="Heading4"/>
      </w:pPr>
      <w:r>
        <w:rPr>
          <w:rFonts w:ascii="Meiryo UI" w:hAnsi="Meiryo UI"/>
          <w:color w:val="2E74B5"/>
        </w:rPr>
        <w:t>B. 持続性を支持する要因（ポジティブ）</w:t>
      </w:r>
    </w:p>
    <w:p/>
    <w:p>
      <w:r>
        <w:rPr>
          <w:rFonts w:ascii="Meiryo UI" w:hAnsi="Meiryo UI"/>
          <w:sz w:val="20"/>
        </w:rPr>
        <w:t>①政策的バックストップの強固さ</w:t>
      </w:r>
    </w:p>
    <w:p/>
    <w:p>
      <w:r>
        <w:rPr>
          <w:rFonts w:ascii="Meiryo UI" w:hAnsi="Meiryo UI"/>
          <w:sz w:val="20"/>
        </w:rPr>
        <w:t>デジタル庁・経産省・内閣府の3省連携で「国産クラウド育成」が明記されており、少なくとも2030年までの政策的支援継続が見込まれる。岸田政権→石破政権→次期政権でも「経済安保」は超党派的コンセンサスであり、政策リバーサルリスクは低い。</w:t>
      </w:r>
    </w:p>
    <w:p/>
    <w:p>
      <w:r>
        <w:rPr>
          <w:rFonts w:ascii="Meiryo UI" w:hAnsi="Meiryo UI"/>
          <w:sz w:val="20"/>
        </w:rPr>
        <w:t>②スイッチングコストの高さ</w:t>
      </w:r>
    </w:p>
    <w:p/>
    <w:p>
      <w:r>
        <w:rPr>
          <w:rFonts w:ascii="Meiryo UI" w:hAnsi="Meiryo UI"/>
          <w:sz w:val="20"/>
        </w:rPr>
        <w:t>一度ガバメントクラウドに各省庁のシステムが移行し始めると、技術的・組織的スイッチングコストが極めて高くなる。AWS等への移行は政策的にも困難。さくらの地位は一定期間保護される。</w:t>
      </w:r>
    </w:p>
    <w:p/>
    <w:p>
      <w:r>
        <w:rPr>
          <w:rFonts w:ascii="Meiryo UI" w:hAnsi="Meiryo UI"/>
          <w:sz w:val="20"/>
        </w:rPr>
        <w:t>③ISO27001/ISMAP認証の壁</w:t>
      </w:r>
    </w:p>
    <w:p/>
    <w:p>
      <w:r>
        <w:rPr>
          <w:rFonts w:ascii="Meiryo UI" w:hAnsi="Meiryo UI"/>
          <w:sz w:val="20"/>
        </w:rPr>
        <w:t>政府クラウドに求められるISMAP（情報システムのためのセキュリティ評価制度）認証は取得に相当のコストと時間がかかる。新規参入障壁として機能しており、さくらの先行者優位が持続する。</w:t>
      </w:r>
    </w:p>
    <w:p/>
    <w:p>
      <w:pPr>
        <w:pStyle w:val="Heading4"/>
      </w:pPr>
      <w:r>
        <w:rPr>
          <w:rFonts w:ascii="Meiryo UI" w:hAnsi="Meiryo UI"/>
          <w:color w:val="2E74B5"/>
        </w:rPr>
        <w:t>C. 持続性を脅かす要因（リスク）</w:t>
      </w:r>
    </w:p>
    <w:p/>
    <w:p>
      <w:r>
        <w:rPr>
          <w:rFonts w:ascii="Meiryo UI" w:hAnsi="Meiryo UI"/>
          <w:sz w:val="20"/>
        </w:rPr>
        <w:t>①技術的追い付きリスク</w:t>
      </w:r>
    </w:p>
    <w:p/>
    <w:p>
      <w:pPr>
        <w:shd w:val="clear" w:color="auto" w:fill="F2F2F2"/>
      </w:pPr>
      <w:r>
        <w:rPr>
          <w:rFonts w:ascii="Courier New" w:hAnsi="Courier New"/>
          <w:sz w:val="16"/>
        </w:rPr>
        <w:t>リスクシナリオ: AWS/Azure等がローカルゾーン戦略強化</w:t>
        <w:br/>
        <w:t>→ 日本国内リージョン増設 + 政府向けセキュリティ要件充足</w:t>
        <w:br/>
        <w:t>→ 「国産」優位が価格競争力で侵食される</w:t>
        <w:br/>
        <w:t>確率評価: 中（30〜40%）</w:t>
        <w:br/>
        <w:t>時間軸: 3〜5年</w:t>
      </w:r>
    </w:p>
    <w:p/>
    <w:p>
      <w:r>
        <w:rPr>
          <w:rFonts w:ascii="Meiryo UI" w:hAnsi="Meiryo UI"/>
          <w:sz w:val="20"/>
        </w:rPr>
        <w:t>②予算制約・政府調達の不透明性</w:t>
      </w:r>
    </w:p>
    <w:p/>
    <w:p>
      <w:r>
        <w:rPr>
          <w:rFonts w:ascii="Meiryo UI" w:hAnsi="Meiryo UI"/>
          <w:sz w:val="20"/>
        </w:rPr>
        <w:t>日本の財政悪化が続く場合、デジタル化投資予算が削減される可能性がある。また政府調達特有の競争入札リスク（毎回の入札更新でシェア低下の可能性）も存在する。</w:t>
      </w:r>
    </w:p>
    <w:p/>
    <w:p>
      <w:r>
        <w:rPr>
          <w:rFonts w:ascii="Meiryo UI" w:hAnsi="Meiryo UI"/>
          <w:sz w:val="20"/>
        </w:rPr>
        <w:t>③技術能力格差の顕在化リスク</w:t>
      </w:r>
    </w:p>
    <w:p/>
    <w:p>
      <w:r>
        <w:rPr>
          <w:rFonts w:ascii="Meiryo UI" w:hAnsi="Meiryo UI"/>
          <w:sz w:val="20"/>
        </w:rPr>
        <w:t>さくらの技術スタックは堅実だが、フルマネージドサービスの幅広さやグローバル標準のAPI互換性においてAWSとのギャップがある。政府システムの高度化に伴い、技術要件が厳格化すれば対応コストが増大する。</w:t>
      </w:r>
    </w:p>
    <w:p/>
    <w:p>
      <w:r>
        <w:rPr>
          <w:rFonts w:ascii="Meiryo UI" w:hAnsi="Meiryo UI"/>
          <w:sz w:val="20"/>
        </w:rPr>
        <w:t>④認定更新審査リスク</w:t>
      </w:r>
    </w:p>
    <w:p/>
    <w:p>
      <w:r>
        <w:rPr>
          <w:rFonts w:ascii="Meiryo UI" w:hAnsi="Meiryo UI"/>
          <w:sz w:val="20"/>
        </w:rPr>
        <w:t>ガバメントクラウド認定は継続的なモニタリングと定期更新審査がある。大規模障害・セキュリティインシデントが発生した場合、認定取消しのリスクが生じる。</w:t>
      </w:r>
    </w:p>
    <w:p/>
    <w:p>
      <w:pPr>
        <w:pStyle w:val="Heading4"/>
      </w:pPr>
      <w:r>
        <w:rPr>
          <w:rFonts w:ascii="Meiryo UI" w:hAnsi="Meiryo UI"/>
          <w:color w:val="2E74B5"/>
        </w:rPr>
        <w:t>D. 政府クラウド認定 持続性スコアカード</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評価項目</w:t>
            </w:r>
          </w:p>
        </w:tc>
        <w:tc>
          <w:tcPr>
            <w:tcW w:type="dxa" w:w="3135"/>
            <w:shd w:val="clear" w:color="auto" w:fill="2E74B5"/>
          </w:tcPr>
          <w:p>
            <w:r>
              <w:rPr>
                <w:rFonts w:ascii="Meiryo UI" w:hAnsi="Meiryo UI"/>
                <w:b/>
                <w:color w:val="FFFFFF"/>
                <w:sz w:val="18"/>
              </w:rPr>
              <w:t>スコア（5点満点）</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政策継続性</w:t>
            </w:r>
          </w:p>
        </w:tc>
        <w:tc>
          <w:tcPr>
            <w:tcW w:type="dxa" w:w="3135"/>
          </w:tcPr>
          <w:p>
            <w:r>
              <w:rPr>
                <w:rFonts w:ascii="Meiryo UI" w:hAnsi="Meiryo UI"/>
                <w:sz w:val="18"/>
              </w:rPr>
              <w:t>4.5</w:t>
            </w:r>
          </w:p>
        </w:tc>
        <w:tc>
          <w:tcPr>
            <w:tcW w:type="dxa" w:w="3135"/>
          </w:tcPr>
          <w:p>
            <w:r>
              <w:rPr>
                <w:rFonts w:ascii="Meiryo UI" w:hAnsi="Meiryo UI"/>
                <w:sz w:val="18"/>
              </w:rPr>
              <w:t>超党派・複数省庁支持</w:t>
            </w:r>
          </w:p>
        </w:tc>
      </w:tr>
      <w:tr>
        <w:tc>
          <w:tcPr>
            <w:tcW w:type="dxa" w:w="3135"/>
            <w:shd w:val="clear" w:color="auto" w:fill="DDEBF7"/>
          </w:tcPr>
          <w:p>
            <w:r>
              <w:rPr>
                <w:rFonts w:ascii="Meiryo UI" w:hAnsi="Meiryo UI"/>
                <w:sz w:val="18"/>
              </w:rPr>
              <w:t>技術的スイッチングコスト</w:t>
            </w:r>
          </w:p>
        </w:tc>
        <w:tc>
          <w:tcPr>
            <w:tcW w:type="dxa" w:w="3135"/>
            <w:shd w:val="clear" w:color="auto" w:fill="DDEBF7"/>
          </w:tcPr>
          <w:p>
            <w:r>
              <w:rPr>
                <w:rFonts w:ascii="Meiryo UI" w:hAnsi="Meiryo UI"/>
                <w:sz w:val="18"/>
              </w:rPr>
              <w:t>4.0</w:t>
            </w:r>
          </w:p>
        </w:tc>
        <w:tc>
          <w:tcPr>
            <w:tcW w:type="dxa" w:w="3135"/>
            <w:shd w:val="clear" w:color="auto" w:fill="DDEBF7"/>
          </w:tcPr>
          <w:p>
            <w:r>
              <w:rPr>
                <w:rFonts w:ascii="Meiryo UI" w:hAnsi="Meiryo UI"/>
                <w:sz w:val="18"/>
              </w:rPr>
              <w:t>移行コスト高、撤退困難</w:t>
            </w:r>
          </w:p>
        </w:tc>
      </w:tr>
      <w:tr>
        <w:tc>
          <w:tcPr>
            <w:tcW w:type="dxa" w:w="3135"/>
          </w:tcPr>
          <w:p>
            <w:r>
              <w:rPr>
                <w:rFonts w:ascii="Meiryo UI" w:hAnsi="Meiryo UI"/>
                <w:sz w:val="18"/>
              </w:rPr>
              <w:t>ISMAP認証バリア</w:t>
            </w:r>
          </w:p>
        </w:tc>
        <w:tc>
          <w:tcPr>
            <w:tcW w:type="dxa" w:w="3135"/>
          </w:tcPr>
          <w:p>
            <w:r>
              <w:rPr>
                <w:rFonts w:ascii="Meiryo UI" w:hAnsi="Meiryo UI"/>
                <w:sz w:val="18"/>
              </w:rPr>
              <w:t>4.0</w:t>
            </w:r>
          </w:p>
        </w:tc>
        <w:tc>
          <w:tcPr>
            <w:tcW w:type="dxa" w:w="3135"/>
          </w:tcPr>
          <w:p>
            <w:r>
              <w:rPr>
                <w:rFonts w:ascii="Meiryo UI" w:hAnsi="Meiryo UI"/>
                <w:sz w:val="18"/>
              </w:rPr>
              <w:t>参入障壁として機能</w:t>
            </w:r>
          </w:p>
        </w:tc>
      </w:tr>
      <w:tr>
        <w:tc>
          <w:tcPr>
            <w:tcW w:type="dxa" w:w="3135"/>
            <w:shd w:val="clear" w:color="auto" w:fill="DDEBF7"/>
          </w:tcPr>
          <w:p>
            <w:r>
              <w:rPr>
                <w:rFonts w:ascii="Meiryo UI" w:hAnsi="Meiryo UI"/>
                <w:sz w:val="18"/>
              </w:rPr>
              <w:t>競合参入リスク</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t>中期的に外資の対抗措置あり</w:t>
            </w:r>
          </w:p>
        </w:tc>
      </w:tr>
      <w:tr>
        <w:tc>
          <w:tcPr>
            <w:tcW w:type="dxa" w:w="3135"/>
          </w:tcPr>
          <w:p>
            <w:r>
              <w:rPr>
                <w:rFonts w:ascii="Meiryo UI" w:hAnsi="Meiryo UI"/>
                <w:sz w:val="18"/>
              </w:rPr>
              <w:t>財政・予算リスク</w:t>
            </w:r>
          </w:p>
        </w:tc>
        <w:tc>
          <w:tcPr>
            <w:tcW w:type="dxa" w:w="3135"/>
          </w:tcPr>
          <w:p>
            <w:r>
              <w:rPr>
                <w:rFonts w:ascii="Meiryo UI" w:hAnsi="Meiryo UI"/>
                <w:sz w:val="18"/>
              </w:rPr>
              <w:t>3.0</w:t>
            </w:r>
          </w:p>
        </w:tc>
        <w:tc>
          <w:tcPr>
            <w:tcW w:type="dxa" w:w="3135"/>
          </w:tcPr>
          <w:p>
            <w:r>
              <w:rPr>
                <w:rFonts w:ascii="Meiryo UI" w:hAnsi="Meiryo UI"/>
                <w:sz w:val="18"/>
              </w:rPr>
              <w:t>財政悪化リスク内在</w:t>
            </w:r>
          </w:p>
        </w:tc>
      </w:tr>
      <w:tr>
        <w:tc>
          <w:tcPr>
            <w:tcW w:type="dxa" w:w="3135"/>
            <w:shd w:val="clear" w:color="auto" w:fill="DDEBF7"/>
          </w:tcPr>
          <w:p>
            <w:r>
              <w:rPr>
                <w:rFonts w:ascii="Meiryo UI" w:hAnsi="Meiryo UI"/>
                <w:sz w:val="18"/>
              </w:rPr>
              <w:t>技術格差リスク</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t>フルマネージド面で課題</w:t>
            </w:r>
          </w:p>
        </w:tc>
      </w:tr>
      <w:tr>
        <w:tc>
          <w:tcPr>
            <w:tcW w:type="dxa" w:w="3135"/>
          </w:tcPr>
          <w:p>
            <w:r>
              <w:rPr>
                <w:rFonts w:ascii="Meiryo UI" w:hAnsi="Meiryo UI"/>
                <w:sz w:val="18"/>
              </w:rPr>
              <w:t>総合評価</w:t>
            </w:r>
          </w:p>
        </w:tc>
        <w:tc>
          <w:tcPr>
            <w:tcW w:type="dxa" w:w="3135"/>
          </w:tcPr>
          <w:p>
            <w:r>
              <w:rPr>
                <w:rFonts w:ascii="Meiryo UI" w:hAnsi="Meiryo UI"/>
                <w:sz w:val="18"/>
              </w:rPr>
              <w:t>3.4/5.0</w:t>
            </w:r>
          </w:p>
        </w:tc>
        <w:tc>
          <w:tcPr>
            <w:tcW w:type="dxa" w:w="3135"/>
          </w:tcPr>
          <w:p>
            <w:r>
              <w:rPr>
                <w:rFonts w:ascii="Meiryo UI" w:hAnsi="Meiryo UI"/>
                <w:sz w:val="18"/>
              </w:rPr>
              <w:t>持続性は中〜高レベル</w:t>
            </w:r>
          </w:p>
        </w:tc>
      </w:tr>
    </w:tbl>
    <w:p/>
    <w:p>
      <w:pPr>
        <w:pStyle w:val="Heading4"/>
      </w:pPr>
      <w:r>
        <w:rPr>
          <w:rFonts w:ascii="Meiryo UI" w:hAnsi="Meiryo UI"/>
          <w:color w:val="2E74B5"/>
        </w:rPr>
        <w:t>E. 深井結論（社長指示への回答）</w:t>
      </w:r>
    </w:p>
    <w:p/>
    <w:p>
      <w:r>
        <w:rPr>
          <w:rFonts w:ascii="Meiryo UI" w:hAnsi="Meiryo UI"/>
          <w:sz w:val="20"/>
        </w:rPr>
        <w:t>&gt; 政府クラウド認定の持続性: 3〜5年は高確度で持続。5〜10年は不確実性高まる。</w:t>
      </w:r>
    </w:p>
    <w:p>
      <w:r>
        <w:rPr>
          <w:rFonts w:ascii="Meiryo UI" w:hAnsi="Meiryo UI"/>
          <w:sz w:val="20"/>
        </w:rPr>
        <w:t>&gt;</w:t>
      </w:r>
    </w:p>
    <w:p>
      <w:r>
        <w:rPr>
          <w:rFonts w:ascii="Meiryo UI" w:hAnsi="Meiryo UI"/>
          <w:sz w:val="20"/>
        </w:rPr>
        <w:t>&gt; 「スモールキャップリスク」は現実的なリスクだが、ガバメントクラウドという政策的護城河が短〜中期（2〜3年）においては強力な収益安定剤として機能する。ただし中長期（5年超）は外資対抗措置・技術格差の顕在化・政府調達の入札競争激化により、現在の優位性が侵食される可能性を織り込んでおくべき。投資時間軸を2〜3年に設定するなら、政府クラウドリスクは許容範囲内と判断する。</w:t>
      </w:r>
    </w:p>
    <w:p/>
    <w:p>
      <w:r>
        <w:t>──────────────────────────────────────────────────</w:t>
      </w:r>
    </w:p>
    <w:p/>
    <w:p>
      <w:pPr>
        <w:pStyle w:val="Heading2"/>
      </w:pPr>
      <w:r>
        <w:rPr>
          <w:rFonts w:ascii="Meiryo UI" w:hAnsi="Meiryo UI"/>
          <w:color w:val="2E74B5"/>
        </w:rPr>
        <w:t>3. 財務ハイライト</w:t>
      </w:r>
    </w:p>
    <w:p/>
    <w:p>
      <w:r>
        <w:rPr>
          <w:rFonts w:ascii="Meiryo UI" w:hAnsi="Meiryo UI"/>
          <w:sz w:val="20"/>
        </w:rPr>
        <w:t>&gt; 注記: 以下は公開情報（決算説明会資料、有価証券報告書等）に基づく推定値を含む。最新確定値は公式IRを要確認。</w:t>
      </w:r>
    </w:p>
    <w:p/>
    <w:p>
      <w:pPr>
        <w:pStyle w:val="Heading3"/>
      </w:pPr>
      <w:r>
        <w:rPr>
          <w:rFonts w:ascii="Meiryo UI" w:hAnsi="Meiryo UI"/>
          <w:color w:val="2E74B5"/>
        </w:rPr>
        <w:t>3-1. 損益計算書（PL）ハイライト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FY2023実績</w:t>
            </w:r>
          </w:p>
        </w:tc>
        <w:tc>
          <w:tcPr>
            <w:tcW w:type="dxa" w:w="1881"/>
            <w:shd w:val="clear" w:color="auto" w:fill="2E74B5"/>
          </w:tcPr>
          <w:p>
            <w:r>
              <w:rPr>
                <w:rFonts w:ascii="Meiryo UI" w:hAnsi="Meiryo UI"/>
                <w:b/>
                <w:color w:val="FFFFFF"/>
                <w:sz w:val="18"/>
              </w:rPr>
              <w:t>FY2024実績（推定）</w:t>
            </w:r>
          </w:p>
        </w:tc>
        <w:tc>
          <w:tcPr>
            <w:tcW w:type="dxa" w:w="1881"/>
            <w:shd w:val="clear" w:color="auto" w:fill="2E74B5"/>
          </w:tcPr>
          <w:p>
            <w:r>
              <w:rPr>
                <w:rFonts w:ascii="Meiryo UI" w:hAnsi="Meiryo UI"/>
                <w:b/>
                <w:color w:val="FFFFFF"/>
                <w:sz w:val="18"/>
              </w:rPr>
              <w:t>FY2025予想（推定）</w:t>
            </w:r>
          </w:p>
        </w:tc>
        <w:tc>
          <w:tcPr>
            <w:tcW w:type="dxa" w:w="1881"/>
            <w:shd w:val="clear" w:color="auto" w:fill="2E74B5"/>
          </w:tcPr>
          <w:p>
            <w:r>
              <w:rPr>
                <w:rFonts w:ascii="Meiryo UI" w:hAnsi="Meiryo UI"/>
                <w:b/>
                <w:color w:val="FFFFFF"/>
                <w:sz w:val="18"/>
              </w:rPr>
              <w:t>YoY</w:t>
            </w:r>
          </w:p>
        </w:tc>
      </w:tr>
      <w:tr>
        <w:tc>
          <w:tcPr>
            <w:tcW w:type="dxa" w:w="1881"/>
          </w:tcPr>
          <w:p>
            <w:r>
              <w:rPr>
                <w:rFonts w:ascii="Meiryo UI" w:hAnsi="Meiryo UI"/>
                <w:sz w:val="18"/>
              </w:rPr>
              <w:t>売上高</w:t>
            </w:r>
          </w:p>
        </w:tc>
        <w:tc>
          <w:tcPr>
            <w:tcW w:type="dxa" w:w="1881"/>
          </w:tcPr>
          <w:p>
            <w:r>
              <w:rPr>
                <w:rFonts w:ascii="Meiryo UI" w:hAnsi="Meiryo UI"/>
                <w:sz w:val="18"/>
              </w:rPr>
              <w:t>約270億円</w:t>
            </w:r>
          </w:p>
        </w:tc>
        <w:tc>
          <w:tcPr>
            <w:tcW w:type="dxa" w:w="1881"/>
          </w:tcPr>
          <w:p>
            <w:r>
              <w:rPr>
                <w:rFonts w:ascii="Meiryo UI" w:hAnsi="Meiryo UI"/>
                <w:sz w:val="18"/>
              </w:rPr>
              <w:t>約340億円</w:t>
            </w:r>
          </w:p>
        </w:tc>
        <w:tc>
          <w:tcPr>
            <w:tcW w:type="dxa" w:w="1881"/>
          </w:tcPr>
          <w:p>
            <w:r>
              <w:rPr>
                <w:rFonts w:ascii="Meiryo UI" w:hAnsi="Meiryo UI"/>
                <w:sz w:val="18"/>
              </w:rPr>
              <w:t>約430〜500億円</w:t>
            </w:r>
          </w:p>
        </w:tc>
        <w:tc>
          <w:tcPr>
            <w:tcW w:type="dxa" w:w="1881"/>
          </w:tcPr>
          <w:p>
            <w:r>
              <w:rPr>
                <w:rFonts w:ascii="Meiryo UI" w:hAnsi="Meiryo UI"/>
                <w:sz w:val="18"/>
              </w:rPr>
              <w:t>+25〜45%</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約25億円</w:t>
            </w:r>
          </w:p>
        </w:tc>
        <w:tc>
          <w:tcPr>
            <w:tcW w:type="dxa" w:w="1881"/>
            <w:shd w:val="clear" w:color="auto" w:fill="DDEBF7"/>
          </w:tcPr>
          <w:p>
            <w:r>
              <w:rPr>
                <w:rFonts w:ascii="Meiryo UI" w:hAnsi="Meiryo UI"/>
                <w:sz w:val="18"/>
              </w:rPr>
              <w:t>約35億円</w:t>
            </w:r>
          </w:p>
        </w:tc>
        <w:tc>
          <w:tcPr>
            <w:tcW w:type="dxa" w:w="1881"/>
            <w:shd w:val="clear" w:color="auto" w:fill="DDEBF7"/>
          </w:tcPr>
          <w:p>
            <w:r>
              <w:rPr>
                <w:rFonts w:ascii="Meiryo UI" w:hAnsi="Meiryo UI"/>
                <w:sz w:val="18"/>
              </w:rPr>
              <w:t>約45〜60億円</w:t>
            </w:r>
          </w:p>
        </w:tc>
        <w:tc>
          <w:tcPr>
            <w:tcW w:type="dxa" w:w="1881"/>
            <w:shd w:val="clear" w:color="auto" w:fill="DDEBF7"/>
          </w:tcPr>
          <w:p>
            <w:r>
              <w:rPr>
                <w:rFonts w:ascii="Meiryo UI" w:hAnsi="Meiryo UI"/>
                <w:sz w:val="18"/>
              </w:rPr>
              <w:t>+28〜70%</w:t>
            </w:r>
          </w:p>
        </w:tc>
      </w:tr>
      <w:tr>
        <w:tc>
          <w:tcPr>
            <w:tcW w:type="dxa" w:w="1881"/>
          </w:tcPr>
          <w:p>
            <w:r>
              <w:rPr>
                <w:rFonts w:ascii="Meiryo UI" w:hAnsi="Meiryo UI"/>
                <w:sz w:val="18"/>
              </w:rPr>
              <w:t>営業利益率</w:t>
            </w:r>
          </w:p>
        </w:tc>
        <w:tc>
          <w:tcPr>
            <w:tcW w:type="dxa" w:w="1881"/>
          </w:tcPr>
          <w:p>
            <w:r>
              <w:rPr>
                <w:rFonts w:ascii="Meiryo UI" w:hAnsi="Meiryo UI"/>
                <w:sz w:val="18"/>
              </w:rPr>
              <w:t>約9.3%</w:t>
            </w:r>
          </w:p>
        </w:tc>
        <w:tc>
          <w:tcPr>
            <w:tcW w:type="dxa" w:w="1881"/>
          </w:tcPr>
          <w:p>
            <w:r>
              <w:rPr>
                <w:rFonts w:ascii="Meiryo UI" w:hAnsi="Meiryo UI"/>
                <w:sz w:val="18"/>
              </w:rPr>
              <w:t>約10.3%</w:t>
            </w:r>
          </w:p>
        </w:tc>
        <w:tc>
          <w:tcPr>
            <w:tcW w:type="dxa" w:w="1881"/>
          </w:tcPr>
          <w:p>
            <w:r>
              <w:rPr>
                <w:rFonts w:ascii="Meiryo UI" w:hAnsi="Meiryo UI"/>
                <w:sz w:val="18"/>
              </w:rPr>
              <w:t>約10〜13%</w:t>
            </w:r>
          </w:p>
        </w:tc>
        <w:tc>
          <w:tcPr>
            <w:tcW w:type="dxa" w:w="1881"/>
          </w:tcPr>
          <w:p>
            <w:r>
              <w:rPr>
                <w:rFonts w:ascii="Meiryo UI" w:hAnsi="Meiryo UI"/>
                <w:sz w:val="18"/>
              </w:rPr>
              <w:t>改善傾向</w:t>
            </w:r>
          </w:p>
        </w:tc>
      </w:tr>
      <w:tr>
        <w:tc>
          <w:tcPr>
            <w:tcW w:type="dxa" w:w="1881"/>
            <w:shd w:val="clear" w:color="auto" w:fill="DDEBF7"/>
          </w:tcPr>
          <w:p>
            <w:r>
              <w:rPr>
                <w:rFonts w:ascii="Meiryo UI" w:hAnsi="Meiryo UI"/>
                <w:sz w:val="18"/>
              </w:rPr>
              <w:t>経常利益</w:t>
            </w:r>
          </w:p>
        </w:tc>
        <w:tc>
          <w:tcPr>
            <w:tcW w:type="dxa" w:w="1881"/>
            <w:shd w:val="clear" w:color="auto" w:fill="DDEBF7"/>
          </w:tcPr>
          <w:p>
            <w:r>
              <w:rPr>
                <w:rFonts w:ascii="Meiryo UI" w:hAnsi="Meiryo UI"/>
                <w:sz w:val="18"/>
              </w:rPr>
              <w:t>約24億円</w:t>
            </w:r>
          </w:p>
        </w:tc>
        <w:tc>
          <w:tcPr>
            <w:tcW w:type="dxa" w:w="1881"/>
            <w:shd w:val="clear" w:color="auto" w:fill="DDEBF7"/>
          </w:tcPr>
          <w:p>
            <w:r>
              <w:rPr>
                <w:rFonts w:ascii="Meiryo UI" w:hAnsi="Meiryo UI"/>
                <w:sz w:val="18"/>
              </w:rPr>
              <w:t>約33億円</w:t>
            </w:r>
          </w:p>
        </w:tc>
        <w:tc>
          <w:tcPr>
            <w:tcW w:type="dxa" w:w="1881"/>
            <w:shd w:val="clear" w:color="auto" w:fill="DDEBF7"/>
          </w:tcPr>
          <w:p>
            <w:r>
              <w:rPr>
                <w:rFonts w:ascii="Meiryo UI" w:hAnsi="Meiryo UI"/>
                <w:sz w:val="18"/>
              </w:rPr>
              <w:t>約42〜55億円</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純利益</w:t>
            </w:r>
          </w:p>
        </w:tc>
        <w:tc>
          <w:tcPr>
            <w:tcW w:type="dxa" w:w="1881"/>
          </w:tcPr>
          <w:p>
            <w:r>
              <w:rPr>
                <w:rFonts w:ascii="Meiryo UI" w:hAnsi="Meiryo UI"/>
                <w:sz w:val="18"/>
              </w:rPr>
              <w:t>約15億円</w:t>
            </w:r>
          </w:p>
        </w:tc>
        <w:tc>
          <w:tcPr>
            <w:tcW w:type="dxa" w:w="1881"/>
          </w:tcPr>
          <w:p>
            <w:r>
              <w:rPr>
                <w:rFonts w:ascii="Meiryo UI" w:hAnsi="Meiryo UI"/>
                <w:sz w:val="18"/>
              </w:rPr>
              <w:t>約22億円</w:t>
            </w:r>
          </w:p>
        </w:tc>
        <w:tc>
          <w:tcPr>
            <w:tcW w:type="dxa" w:w="1881"/>
          </w:tcPr>
          <w:p>
            <w:r>
              <w:rPr>
                <w:rFonts w:ascii="Meiryo UI" w:hAnsi="Meiryo UI"/>
                <w:sz w:val="18"/>
              </w:rPr>
              <w:t>約28〜40億円</w:t>
            </w:r>
          </w:p>
        </w:tc>
        <w:tc>
          <w:tcPr>
            <w:tcW w:type="dxa" w:w="1881"/>
          </w:tcPr>
          <w:p>
            <w:r>
              <w:rPr>
                <w:rFonts w:ascii="Meiryo UI" w:hAnsi="Meiryo UI"/>
                <w:sz w:val="18"/>
              </w:rPr>
              <w:t>—</w:t>
            </w:r>
          </w:p>
        </w:tc>
      </w:tr>
    </w:tbl>
    <w:p/>
    <w:p>
      <w:r>
        <w:rPr>
          <w:rFonts w:ascii="Meiryo UI" w:hAnsi="Meiryo UI"/>
          <w:sz w:val="20"/>
        </w:rPr>
        <w:t>&gt; 深井メモ: 高火力（GPU）サービスの急拡大に伴いCAPEXも急増しており、減価償却費の増加がPL下方圧力として働いている。EBITDAベースで見ると実態の収益力は純利益より高い。</w:t>
      </w:r>
    </w:p>
    <w:p/>
    <w:p>
      <w:pPr>
        <w:pStyle w:val="Heading3"/>
      </w:pPr>
      <w:r>
        <w:rPr>
          <w:rFonts w:ascii="Meiryo UI" w:hAnsi="Meiryo UI"/>
          <w:color w:val="2E74B5"/>
        </w:rPr>
        <w:t>3-2. ARR / NRR 推定（クラウド事業）</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クラウドARR</w:t>
            </w:r>
          </w:p>
        </w:tc>
        <w:tc>
          <w:tcPr>
            <w:tcW w:type="dxa" w:w="3135"/>
          </w:tcPr>
          <w:p>
            <w:r>
              <w:rPr>
                <w:rFonts w:ascii="Meiryo UI" w:hAnsi="Meiryo UI"/>
                <w:sz w:val="18"/>
              </w:rPr>
              <w:t>約150〜180億円</w:t>
            </w:r>
          </w:p>
        </w:tc>
        <w:tc>
          <w:tcPr>
            <w:tcW w:type="dxa" w:w="3135"/>
          </w:tcPr>
          <w:p>
            <w:r>
              <w:rPr>
                <w:rFonts w:ascii="Meiryo UI" w:hAnsi="Meiryo UI"/>
                <w:sz w:val="18"/>
              </w:rPr>
              <w:t>さくらのクラウド+高火力</w:t>
            </w:r>
          </w:p>
        </w:tc>
      </w:tr>
      <w:tr>
        <w:tc>
          <w:tcPr>
            <w:tcW w:type="dxa" w:w="3135"/>
            <w:shd w:val="clear" w:color="auto" w:fill="DDEBF7"/>
          </w:tcPr>
          <w:p>
            <w:r>
              <w:rPr>
                <w:rFonts w:ascii="Meiryo UI" w:hAnsi="Meiryo UI"/>
                <w:sz w:val="18"/>
              </w:rPr>
              <w:t>NRR（Net Revenue Retention）</w:t>
            </w:r>
          </w:p>
        </w:tc>
        <w:tc>
          <w:tcPr>
            <w:tcW w:type="dxa" w:w="3135"/>
            <w:shd w:val="clear" w:color="auto" w:fill="DDEBF7"/>
          </w:tcPr>
          <w:p>
            <w:r>
              <w:rPr>
                <w:rFonts w:ascii="Meiryo UI" w:hAnsi="Meiryo UI"/>
                <w:sz w:val="18"/>
              </w:rPr>
              <w:t>110〜120%推定</w:t>
            </w:r>
          </w:p>
        </w:tc>
        <w:tc>
          <w:tcPr>
            <w:tcW w:type="dxa" w:w="3135"/>
            <w:shd w:val="clear" w:color="auto" w:fill="DDEBF7"/>
          </w:tcPr>
          <w:p>
            <w:r>
              <w:rPr>
                <w:rFonts w:ascii="Meiryo UI" w:hAnsi="Meiryo UI"/>
                <w:sz w:val="18"/>
              </w:rPr>
              <w:t>既存顧客拡張傾向</w:t>
            </w:r>
          </w:p>
        </w:tc>
      </w:tr>
      <w:tr>
        <w:tc>
          <w:tcPr>
            <w:tcW w:type="dxa" w:w="3135"/>
          </w:tcPr>
          <w:p>
            <w:r>
              <w:rPr>
                <w:rFonts w:ascii="Meiryo UI" w:hAnsi="Meiryo UI"/>
                <w:sz w:val="18"/>
              </w:rPr>
              <w:t>GPU高火力ARR成長率</w:t>
            </w:r>
          </w:p>
        </w:tc>
        <w:tc>
          <w:tcPr>
            <w:tcW w:type="dxa" w:w="3135"/>
          </w:tcPr>
          <w:p>
            <w:r>
              <w:rPr>
                <w:rFonts w:ascii="Meiryo UI" w:hAnsi="Meiryo UI"/>
                <w:sz w:val="18"/>
              </w:rPr>
              <w:t>+50〜100%YoY</w:t>
            </w:r>
          </w:p>
        </w:tc>
        <w:tc>
          <w:tcPr>
            <w:tcW w:type="dxa" w:w="3135"/>
          </w:tcPr>
          <w:p>
            <w:r>
              <w:rPr>
                <w:rFonts w:ascii="Meiryo UI" w:hAnsi="Meiryo UI"/>
                <w:sz w:val="18"/>
              </w:rPr>
              <w:t>爆発的拡大中</w:t>
            </w:r>
          </w:p>
        </w:tc>
      </w:tr>
    </w:tbl>
    <w:p/>
    <w:p>
      <w:pPr>
        <w:pStyle w:val="Heading3"/>
      </w:pPr>
      <w:r>
        <w:rPr>
          <w:rFonts w:ascii="Meiryo UI" w:hAnsi="Meiryo UI"/>
          <w:color w:val="2E74B5"/>
        </w:rPr>
        <w:t>3-3. バランスシート（BS）ハイライト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直近推定</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総資産</w:t>
            </w:r>
          </w:p>
        </w:tc>
        <w:tc>
          <w:tcPr>
            <w:tcW w:type="dxa" w:w="3135"/>
          </w:tcPr>
          <w:p>
            <w:r>
              <w:rPr>
                <w:rFonts w:ascii="Meiryo UI" w:hAnsi="Meiryo UI"/>
                <w:sz w:val="18"/>
              </w:rPr>
              <w:t>約500〜600億円</w:t>
            </w:r>
          </w:p>
        </w:tc>
        <w:tc>
          <w:tcPr>
            <w:tcW w:type="dxa" w:w="3135"/>
          </w:tcPr>
          <w:p>
            <w:r>
              <w:rPr>
                <w:rFonts w:ascii="Meiryo UI" w:hAnsi="Meiryo UI"/>
                <w:sz w:val="18"/>
              </w:rPr>
              <w:t>CAPEXで急拡大中</w:t>
            </w:r>
          </w:p>
        </w:tc>
      </w:tr>
      <w:tr>
        <w:tc>
          <w:tcPr>
            <w:tcW w:type="dxa" w:w="3135"/>
            <w:shd w:val="clear" w:color="auto" w:fill="DDEBF7"/>
          </w:tcPr>
          <w:p>
            <w:r>
              <w:rPr>
                <w:rFonts w:ascii="Meiryo UI" w:hAnsi="Meiryo UI"/>
                <w:sz w:val="18"/>
              </w:rPr>
              <w:t>自己資本</w:t>
            </w:r>
          </w:p>
        </w:tc>
        <w:tc>
          <w:tcPr>
            <w:tcW w:type="dxa" w:w="3135"/>
            <w:shd w:val="clear" w:color="auto" w:fill="DDEBF7"/>
          </w:tcPr>
          <w:p>
            <w:r>
              <w:rPr>
                <w:rFonts w:ascii="Meiryo UI" w:hAnsi="Meiryo UI"/>
                <w:sz w:val="18"/>
              </w:rPr>
              <w:t>約200〜250億円</w:t>
            </w:r>
          </w:p>
        </w:tc>
        <w:tc>
          <w:tcPr>
            <w:tcW w:type="dxa" w:w="3135"/>
            <w:shd w:val="clear" w:color="auto" w:fill="DDEBF7"/>
          </w:tcPr>
          <w:p>
            <w:r>
              <w:rPr>
                <w:rFonts w:ascii="Meiryo UI" w:hAnsi="Meiryo UI"/>
                <w:sz w:val="18"/>
              </w:rPr>
            </w:r>
          </w:p>
        </w:tc>
      </w:tr>
      <w:tr>
        <w:tc>
          <w:tcPr>
            <w:tcW w:type="dxa" w:w="3135"/>
          </w:tcPr>
          <w:p>
            <w:r>
              <w:rPr>
                <w:rFonts w:ascii="Meiryo UI" w:hAnsi="Meiryo UI"/>
                <w:sz w:val="18"/>
              </w:rPr>
              <w:t>自己資本比率</w:t>
            </w:r>
          </w:p>
        </w:tc>
        <w:tc>
          <w:tcPr>
            <w:tcW w:type="dxa" w:w="3135"/>
          </w:tcPr>
          <w:p>
            <w:r>
              <w:rPr>
                <w:rFonts w:ascii="Meiryo UI" w:hAnsi="Meiryo UI"/>
                <w:sz w:val="18"/>
              </w:rPr>
              <w:t>約38〜45%</w:t>
            </w:r>
          </w:p>
        </w:tc>
        <w:tc>
          <w:tcPr>
            <w:tcW w:type="dxa" w:w="3135"/>
          </w:tcPr>
          <w:p>
            <w:r>
              <w:rPr>
                <w:rFonts w:ascii="Meiryo UI" w:hAnsi="Meiryo UI"/>
                <w:sz w:val="18"/>
              </w:rPr>
              <w:t>中程度</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約150〜200億円</w:t>
            </w:r>
          </w:p>
        </w:tc>
        <w:tc>
          <w:tcPr>
            <w:tcW w:type="dxa" w:w="3135"/>
            <w:shd w:val="clear" w:color="auto" w:fill="DDEBF7"/>
          </w:tcPr>
          <w:p>
            <w:r>
              <w:rPr>
                <w:rFonts w:ascii="Meiryo UI" w:hAnsi="Meiryo UI"/>
                <w:sz w:val="18"/>
              </w:rPr>
              <w:t>DC拡張で増加傾向</w:t>
            </w:r>
          </w:p>
        </w:tc>
      </w:tr>
      <w:tr>
        <w:tc>
          <w:tcPr>
            <w:tcW w:type="dxa" w:w="3135"/>
          </w:tcPr>
          <w:p>
            <w:r>
              <w:rPr>
                <w:rFonts w:ascii="Meiryo UI" w:hAnsi="Meiryo UI"/>
                <w:sz w:val="18"/>
              </w:rPr>
              <w:t>D/E比率</w:t>
            </w:r>
          </w:p>
        </w:tc>
        <w:tc>
          <w:tcPr>
            <w:tcW w:type="dxa" w:w="3135"/>
          </w:tcPr>
          <w:p>
            <w:r>
              <w:rPr>
                <w:rFonts w:ascii="Meiryo UI" w:hAnsi="Meiryo UI"/>
                <w:sz w:val="18"/>
              </w:rPr>
              <w:t>約0.6〜0.8倍</w:t>
            </w:r>
          </w:p>
        </w:tc>
        <w:tc>
          <w:tcPr>
            <w:tcW w:type="dxa" w:w="3135"/>
          </w:tcPr>
          <w:p>
            <w:r>
              <w:rPr>
                <w:rFonts w:ascii="Meiryo UI" w:hAnsi="Meiryo UI"/>
                <w:sz w:val="18"/>
              </w:rPr>
              <w:t>要監視水準</w:t>
            </w:r>
          </w:p>
        </w:tc>
      </w:tr>
      <w:tr>
        <w:tc>
          <w:tcPr>
            <w:tcW w:type="dxa" w:w="3135"/>
            <w:shd w:val="clear" w:color="auto" w:fill="DDEBF7"/>
          </w:tcPr>
          <w:p>
            <w:r>
              <w:rPr>
                <w:rFonts w:ascii="Meiryo UI" w:hAnsi="Meiryo UI"/>
                <w:sz w:val="18"/>
              </w:rPr>
              <w:t>ネットデット</w:t>
            </w:r>
          </w:p>
        </w:tc>
        <w:tc>
          <w:tcPr>
            <w:tcW w:type="dxa" w:w="3135"/>
            <w:shd w:val="clear" w:color="auto" w:fill="DDEBF7"/>
          </w:tcPr>
          <w:p>
            <w:r>
              <w:rPr>
                <w:rFonts w:ascii="Meiryo UI" w:hAnsi="Meiryo UI"/>
                <w:sz w:val="18"/>
              </w:rPr>
              <w:t>約100〜160億円</w:t>
            </w:r>
          </w:p>
        </w:tc>
        <w:tc>
          <w:tcPr>
            <w:tcW w:type="dxa" w:w="3135"/>
            <w:shd w:val="clear" w:color="auto" w:fill="DDEBF7"/>
          </w:tcPr>
          <w:p>
            <w:r>
              <w:rPr>
                <w:rFonts w:ascii="Meiryo UI" w:hAnsi="Meiryo UI"/>
                <w:sz w:val="18"/>
              </w:rPr>
            </w:r>
          </w:p>
        </w:tc>
      </w:tr>
    </w:tbl>
    <w:p/>
    <w:p>
      <w:pPr>
        <w:pStyle w:val="Heading3"/>
      </w:pPr>
      <w:r>
        <w:rPr>
          <w:rFonts w:ascii="Meiryo UI" w:hAnsi="Meiryo UI"/>
          <w:color w:val="2E74B5"/>
        </w:rPr>
        <w:t>3-4. キャッシュフロー（CF）ハイライト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FY2024推定</w:t>
            </w:r>
          </w:p>
        </w:tc>
        <w:tc>
          <w:tcPr>
            <w:tcW w:type="dxa" w:w="3135"/>
            <w:shd w:val="clear" w:color="auto" w:fill="2E74B5"/>
          </w:tcPr>
          <w:p>
            <w:r>
              <w:rPr>
                <w:rFonts w:ascii="Meiryo UI" w:hAnsi="Meiryo UI"/>
                <w:b/>
                <w:color w:val="FFFFFF"/>
                <w:sz w:val="18"/>
              </w:rPr>
              <w:t>傾向</w:t>
            </w:r>
          </w:p>
        </w:tc>
      </w:tr>
      <w:tr>
        <w:tc>
          <w:tcPr>
            <w:tcW w:type="dxa" w:w="3135"/>
          </w:tcPr>
          <w:p>
            <w:r>
              <w:rPr>
                <w:rFonts w:ascii="Meiryo UI" w:hAnsi="Meiryo UI"/>
                <w:sz w:val="18"/>
              </w:rPr>
              <w:t>営業CF</w:t>
            </w:r>
          </w:p>
        </w:tc>
        <w:tc>
          <w:tcPr>
            <w:tcW w:type="dxa" w:w="3135"/>
          </w:tcPr>
          <w:p>
            <w:r>
              <w:rPr>
                <w:rFonts w:ascii="Meiryo UI" w:hAnsi="Meiryo UI"/>
                <w:sz w:val="18"/>
              </w:rPr>
              <w:t>+50〜70億円</w:t>
            </w:r>
          </w:p>
        </w:tc>
        <w:tc>
          <w:tcPr>
            <w:tcW w:type="dxa" w:w="3135"/>
          </w:tcPr>
          <w:p>
            <w:r>
              <w:rPr>
                <w:rFonts w:ascii="Meiryo UI" w:hAnsi="Meiryo UI"/>
                <w:sz w:val="18"/>
              </w:rPr>
              <w:t>安定的プラス</w:t>
            </w:r>
          </w:p>
        </w:tc>
      </w:tr>
      <w:tr>
        <w:tc>
          <w:tcPr>
            <w:tcW w:type="dxa" w:w="3135"/>
            <w:shd w:val="clear" w:color="auto" w:fill="DDEBF7"/>
          </w:tcPr>
          <w:p>
            <w:r>
              <w:rPr>
                <w:rFonts w:ascii="Meiryo UI" w:hAnsi="Meiryo UI"/>
                <w:sz w:val="18"/>
              </w:rPr>
              <w:t>投資CF</w:t>
            </w:r>
          </w:p>
        </w:tc>
        <w:tc>
          <w:tcPr>
            <w:tcW w:type="dxa" w:w="3135"/>
            <w:shd w:val="clear" w:color="auto" w:fill="DDEBF7"/>
          </w:tcPr>
          <w:p>
            <w:r>
              <w:rPr>
                <w:rFonts w:ascii="Meiryo UI" w:hAnsi="Meiryo UI"/>
                <w:sz w:val="18"/>
              </w:rPr>
              <w:t>▲80〜120億円</w:t>
            </w:r>
          </w:p>
        </w:tc>
        <w:tc>
          <w:tcPr>
            <w:tcW w:type="dxa" w:w="3135"/>
            <w:shd w:val="clear" w:color="auto" w:fill="DDEBF7"/>
          </w:tcPr>
          <w:p>
            <w:r>
              <w:rPr>
                <w:rFonts w:ascii="Meiryo UI" w:hAnsi="Meiryo UI"/>
                <w:sz w:val="18"/>
              </w:rPr>
              <w:t>CAPEXで大幅マイナス</w:t>
            </w:r>
          </w:p>
        </w:tc>
      </w:tr>
      <w:tr>
        <w:tc>
          <w:tcPr>
            <w:tcW w:type="dxa" w:w="3135"/>
          </w:tcPr>
          <w:p>
            <w:r>
              <w:rPr>
                <w:rFonts w:ascii="Meiryo UI" w:hAnsi="Meiryo UI"/>
                <w:sz w:val="18"/>
              </w:rPr>
              <w:t>FCF（フリーCF）</w:t>
            </w:r>
          </w:p>
        </w:tc>
        <w:tc>
          <w:tcPr>
            <w:tcW w:type="dxa" w:w="3135"/>
          </w:tcPr>
          <w:p>
            <w:r>
              <w:rPr>
                <w:rFonts w:ascii="Meiryo UI" w:hAnsi="Meiryo UI"/>
                <w:sz w:val="18"/>
              </w:rPr>
              <w:t>▲10〜50億円</w:t>
            </w:r>
          </w:p>
        </w:tc>
        <w:tc>
          <w:tcPr>
            <w:tcW w:type="dxa" w:w="3135"/>
          </w:tcPr>
          <w:p>
            <w:r>
              <w:rPr>
                <w:rFonts w:ascii="Meiryo UI" w:hAnsi="Meiryo UI"/>
                <w:sz w:val="18"/>
              </w:rPr>
              <w:t>マイナス圏</w:t>
            </w:r>
          </w:p>
        </w:tc>
      </w:tr>
      <w:tr>
        <w:tc>
          <w:tcPr>
            <w:tcW w:type="dxa" w:w="3135"/>
            <w:shd w:val="clear" w:color="auto" w:fill="DDEBF7"/>
          </w:tcPr>
          <w:p>
            <w:r>
              <w:rPr>
                <w:rFonts w:ascii="Meiryo UI" w:hAnsi="Meiryo UI"/>
                <w:sz w:val="18"/>
              </w:rPr>
              <w:t>FCFマージン</w:t>
            </w:r>
          </w:p>
        </w:tc>
        <w:tc>
          <w:tcPr>
            <w:tcW w:type="dxa" w:w="3135"/>
            <w:shd w:val="clear" w:color="auto" w:fill="DDEBF7"/>
          </w:tcPr>
          <w:p>
            <w:r>
              <w:rPr>
                <w:rFonts w:ascii="Meiryo UI" w:hAnsi="Meiryo UI"/>
                <w:sz w:val="18"/>
              </w:rPr>
              <w:t>▲3〜15%</w:t>
            </w:r>
          </w:p>
        </w:tc>
        <w:tc>
          <w:tcPr>
            <w:tcW w:type="dxa" w:w="3135"/>
            <w:shd w:val="clear" w:color="auto" w:fill="DDEBF7"/>
          </w:tcPr>
          <w:p>
            <w:r>
              <w:rPr>
                <w:rFonts w:ascii="Meiryo UI" w:hAnsi="Meiryo UI"/>
                <w:sz w:val="18"/>
              </w:rPr>
              <w:t>投資フェーズのため赤字</w:t>
            </w:r>
          </w:p>
        </w:tc>
      </w:tr>
      <w:tr>
        <w:tc>
          <w:tcPr>
            <w:tcW w:type="dxa" w:w="3135"/>
          </w:tcPr>
          <w:p>
            <w:r>
              <w:rPr>
                <w:rFonts w:ascii="Meiryo UI" w:hAnsi="Meiryo UI"/>
                <w:sz w:val="18"/>
              </w:rPr>
              <w:t>CAPEX / 売上比</w:t>
            </w:r>
          </w:p>
        </w:tc>
        <w:tc>
          <w:tcPr>
            <w:tcW w:type="dxa" w:w="3135"/>
          </w:tcPr>
          <w:p>
            <w:r>
              <w:rPr>
                <w:rFonts w:ascii="Meiryo UI" w:hAnsi="Meiryo UI"/>
                <w:sz w:val="18"/>
              </w:rPr>
              <w:t>約25〜35%</w:t>
            </w:r>
          </w:p>
        </w:tc>
        <w:tc>
          <w:tcPr>
            <w:tcW w:type="dxa" w:w="3135"/>
          </w:tcPr>
          <w:p>
            <w:r>
              <w:rPr>
                <w:rFonts w:ascii="Meiryo UI" w:hAnsi="Meiryo UI"/>
                <w:sz w:val="18"/>
              </w:rPr>
              <w:t>高水準</w:t>
            </w:r>
          </w:p>
        </w:tc>
      </w:tr>
    </w:tbl>
    <w:p/>
    <w:p>
      <w:r>
        <w:rPr>
          <w:rFonts w:ascii="Meiryo UI" w:hAnsi="Meiryo UI"/>
          <w:sz w:val="20"/>
        </w:rPr>
        <w:t>&gt; 深井コメント: FCFがマイナスであることは成長投資期として容認できるが、2〜3年以内にFCFがブレークイーブンに転じるかどうかがバリュエーション上の重要な分岐点。GPU需要の持続性とCAPEX回収速度が鍵。</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WACC算出</w:t>
      </w:r>
    </w:p>
    <w:p/>
    <w:p>
      <w:pPr>
        <w:pStyle w:val="Heading4"/>
      </w:pPr>
      <w:r>
        <w:rPr>
          <w:rFonts w:ascii="Meiryo UI" w:hAnsi="Meiryo UI"/>
          <w:color w:val="2E74B5"/>
        </w:rPr>
        <w:t>Step 1: リスクフリーレート（Rf）</w:t>
      </w:r>
    </w:p>
    <w:p/>
    <w:p>
      <w:pPr>
        <w:shd w:val="clear" w:color="auto" w:fill="F2F2F2"/>
      </w:pPr>
      <w:r>
        <w:rPr>
          <w:rFonts w:ascii="Courier New" w:hAnsi="Courier New"/>
          <w:sz w:val="16"/>
        </w:rPr>
        <w:t>Rf = 2.380%（日本10年国債 JGB10Y）</w:t>
        <w:br/>
        <w:t>取得日時: 2026-04-05 17:31 JST（社長確認値）</w:t>
        <w:br/>
        <w:t>参照元: https://jp.investing.com/rates-bonds/japan-10-year-bond-yield-streaming-chart</w:t>
      </w:r>
    </w:p>
    <w:p/>
    <w:p>
      <w:pPr>
        <w:pStyle w:val="Heading4"/>
      </w:pPr>
      <w:r>
        <w:rPr>
          <w:rFonts w:ascii="Meiryo UI" w:hAnsi="Meiryo UI"/>
          <w:color w:val="2E74B5"/>
        </w:rPr>
        <w:t>Step 2: ベータ（β）</w:t>
      </w:r>
    </w:p>
    <w:p/>
    <w:p>
      <w:pPr>
        <w:shd w:val="clear" w:color="auto" w:fill="F2F2F2"/>
      </w:pPr>
      <w:r>
        <w:rPr>
          <w:rFonts w:ascii="Courier New" w:hAnsi="Courier New"/>
          <w:sz w:val="16"/>
        </w:rPr>
        <w:t>β推定根拠:</w:t>
        <w:br/>
        <w:t>- 日本クラウド/IT中小型株の業界βレンジ: 1.2〜1.8</w:t>
        <w:br/>
        <w:t>- さくらはGPU/政府クラウドのテーマ性が高くボラティリティ大</w:t>
        <w:br/>
        <w:t>- 直近1年の株価ボラティリティ（実績）: 高い（テーマ株として急騰・急落あり）</w:t>
        <w:br/>
        <w:br/>
        <w:t>採用β = 1.55（レバードβ）</w:t>
        <w:br/>
        <w:t>保守的レンジ: 1.35〜1.75</w:t>
      </w:r>
    </w:p>
    <w:p/>
    <w:p>
      <w:pPr>
        <w:pStyle w:val="Heading4"/>
      </w:pPr>
      <w:r>
        <w:rPr>
          <w:rFonts w:ascii="Meiryo UI" w:hAnsi="Meiryo UI"/>
          <w:color w:val="2E74B5"/>
        </w:rPr>
        <w:t>Step 3: エクイティリスクプレミアム（ERP）</w:t>
      </w:r>
    </w:p>
    <w:p/>
    <w:p>
      <w:pPr>
        <w:shd w:val="clear" w:color="auto" w:fill="F2F2F2"/>
      </w:pPr>
      <w:r>
        <w:rPr>
          <w:rFonts w:ascii="Courier New" w:hAnsi="Courier New"/>
          <w:sz w:val="16"/>
        </w:rPr>
        <w:t>ERP採用値 = 5.5%</w:t>
        <w:br/>
        <w:t>根拠:</w:t>
        <w:br/>
        <w:t>- Damodaran（2025年推計）日本市場ERP: 約5.0〜6.0%</w:t>
        <w:br/>
        <w:t>- 日本株の長期ERP実証値: 約5〜6%</w:t>
        <w:br/>
        <w:t>- スモールキャップ追加プレミアム（Size Premium）: +0.5〜1.0%</w:t>
        <w:br/>
        <w:t xml:space="preserve">  ※ 本DCFでは基本ERPに内包してβで対応</w:t>
        <w:br/>
        <w:t>採用ERP = 5.5%（保守的中央値）</w:t>
      </w:r>
    </w:p>
    <w:p/>
    <w:p>
      <w:pPr>
        <w:pStyle w:val="Heading4"/>
      </w:pPr>
      <w:r>
        <w:rPr>
          <w:rFonts w:ascii="Meiryo UI" w:hAnsi="Meiryo UI"/>
          <w:color w:val="2E74B5"/>
        </w:rPr>
        <w:t>Step 4: 株主資本コスト（Re）</w:t>
      </w:r>
    </w:p>
    <w:p/>
    <w:p>
      <w:pPr>
        <w:shd w:val="clear" w:color="auto" w:fill="F2F2F2"/>
      </w:pPr>
      <w:r>
        <w:rPr>
          <w:rFonts w:ascii="Courier New" w:hAnsi="Courier New"/>
          <w:sz w:val="16"/>
        </w:rPr>
        <w:t>Re = Rf + β × ERP</w:t>
        <w:br/>
        <w:t xml:space="preserve">   = 2.380% + 1.55 × 5.5%</w:t>
        <w:br/>
        <w:t xml:space="preserve">   = 2.380% + 8.525%</w:t>
        <w:br/>
        <w:t xml:space="preserve">   = 10.905% ≈ 10.9%</w:t>
      </w:r>
    </w:p>
    <w:p/>
    <w:p>
      <w:pPr>
        <w:pStyle w:val="Heading4"/>
      </w:pPr>
      <w:r>
        <w:rPr>
          <w:rFonts w:ascii="Meiryo UI" w:hAnsi="Meiryo UI"/>
          <w:color w:val="2E74B5"/>
        </w:rPr>
        <w:t>Step 5: 負債コスト（Rd）</w:t>
      </w:r>
    </w:p>
    <w:p/>
    <w:p>
      <w:pPr>
        <w:shd w:val="clear" w:color="auto" w:fill="F2F2F2"/>
      </w:pPr>
      <w:r>
        <w:rPr>
          <w:rFonts w:ascii="Courier New" w:hAnsi="Courier New"/>
          <w:sz w:val="16"/>
        </w:rPr>
        <w:t>Rd = 1.5%（推定：日本の銀行借入金利水準、</w:t>
        <w:br/>
        <w:t xml:space="preserve">          さくら規模の企業の短〜中期借入スプレッド込み）</w:t>
        <w:br/>
        <w:t>実効税率 Tc = 30.0%（日本法人実効税率）</w:t>
        <w:br/>
        <w:t>税引後 Rd = 1.5% × (1 - 0.30) = 1.05%</w:t>
      </w:r>
    </w:p>
    <w:p/>
    <w:p>
      <w:pPr>
        <w:pStyle w:val="Heading4"/>
      </w:pPr>
      <w:r>
        <w:rPr>
          <w:rFonts w:ascii="Meiryo UI" w:hAnsi="Meiryo UI"/>
          <w:color w:val="2E74B5"/>
        </w:rPr>
        <w:t>Step 6: 資本構成</w:t>
      </w:r>
    </w:p>
    <w:p/>
    <w:p>
      <w:pPr>
        <w:shd w:val="clear" w:color="auto" w:fill="F2F2F2"/>
      </w:pPr>
      <w:r>
        <w:rPr>
          <w:rFonts w:ascii="Courier New" w:hAnsi="Courier New"/>
          <w:sz w:val="16"/>
        </w:rPr>
        <w:t>時価ベース資本構成（推定）:</w:t>
        <w:br/>
        <w:t>E（株式時価総額）:  約2,700億円  → E/(D+E) = 約93%</w:t>
        <w:br/>
        <w:t>D（有利子負債）:   約180億円   → D/(D+E) = 約7%</w:t>
        <w:br/>
        <w:br/>
        <w:t>※ さくらは株式市場での評価が高く、時価ベースでは株式比率が圧倒的</w:t>
      </w:r>
    </w:p>
    <w:p/>
    <w:p>
      <w:pPr>
        <w:pStyle w:val="Heading4"/>
      </w:pPr>
      <w:r>
        <w:rPr>
          <w:rFonts w:ascii="Meiryo UI" w:hAnsi="Meiryo UI"/>
          <w:color w:val="2E74B5"/>
        </w:rPr>
        <w:t>Step 7: WACC算出</w:t>
      </w:r>
    </w:p>
    <w:p/>
    <w:p>
      <w:pPr>
        <w:shd w:val="clear" w:color="auto" w:fill="F2F2F2"/>
      </w:pPr>
      <w:r>
        <w:rPr>
          <w:rFonts w:ascii="Courier New" w:hAnsi="Courier New"/>
          <w:sz w:val="16"/>
        </w:rPr>
        <w:t>WACC = [E/(D+E) × Re] + [D/(D+E) × Rd × (1-Tc)]</w:t>
        <w:br/>
        <w:t xml:space="preserve">     = [0.93 × 10.905%] + [0.07 × 1.05%]</w:t>
        <w:br/>
        <w:t xml:space="preserve">     = 10.141% + 0.074%</w:t>
        <w:br/>
        <w:t xml:space="preserve">     = 10.215% ≈ 10.2%</w:t>
        <w:br/>
        <w:br/>
        <w:t>採用WACC = 10.2%（ベースケース）</w:t>
        <w:br/>
        <w:t>保守的レンジ: 9.5% 〜 11.5%</w:t>
      </w:r>
    </w:p>
    <w:p/>
    <w:p>
      <w:pPr>
        <w:pStyle w:val="Heading3"/>
      </w:pPr>
      <w:r>
        <w:rPr>
          <w:rFonts w:ascii="Meiryo UI" w:hAnsi="Meiryo UI"/>
          <w:color w:val="2E74B5"/>
        </w:rPr>
        <w:t>4-2. DCFモデル前提条件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前提項目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予測期間</w:t>
            </w:r>
          </w:p>
        </w:tc>
        <w:tc>
          <w:tcPr>
            <w:tcW w:type="dxa" w:w="3135"/>
          </w:tcPr>
          <w:p>
            <w:r>
              <w:rPr>
                <w:rFonts w:ascii="Meiryo UI" w:hAnsi="Meiryo UI"/>
                <w:sz w:val="18"/>
              </w:rPr>
              <w:t>10年（FY2026〜FY2035）</w:t>
            </w:r>
          </w:p>
        </w:tc>
        <w:tc>
          <w:tcPr>
            <w:tcW w:type="dxa" w:w="3135"/>
          </w:tcPr>
          <w:p>
            <w:r>
              <w:rPr>
                <w:rFonts w:ascii="Meiryo UI" w:hAnsi="Meiryo UI"/>
                <w:sz w:val="18"/>
              </w:rPr>
              <w:t>標準的DCF期間</w:t>
            </w:r>
          </w:p>
        </w:tc>
      </w:tr>
      <w:tr>
        <w:tc>
          <w:tcPr>
            <w:tcW w:type="dxa" w:w="3135"/>
            <w:shd w:val="clear" w:color="auto" w:fill="DDEBF7"/>
          </w:tcPr>
          <w:p>
            <w:r>
              <w:rPr>
                <w:rFonts w:ascii="Meiryo UI" w:hAnsi="Meiryo UI"/>
                <w:sz w:val="18"/>
              </w:rPr>
              <w:t>ターミナル成長率（g）</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日本GDP長期成長率+インフレ考慮</w:t>
            </w:r>
          </w:p>
        </w:tc>
      </w:tr>
      <w:tr>
        <w:tc>
          <w:tcPr>
            <w:tcW w:type="dxa" w:w="3135"/>
          </w:tcPr>
          <w:p>
            <w:r>
              <w:rPr>
                <w:rFonts w:ascii="Meiryo UI" w:hAnsi="Meiryo UI"/>
                <w:sz w:val="18"/>
              </w:rPr>
              <w:t>WACC</w:t>
            </w:r>
          </w:p>
        </w:tc>
        <w:tc>
          <w:tcPr>
            <w:tcW w:type="dxa" w:w="3135"/>
          </w:tcPr>
          <w:p>
            <w:r>
              <w:rPr>
                <w:rFonts w:ascii="Meiryo UI" w:hAnsi="Meiryo UI"/>
                <w:sz w:val="18"/>
              </w:rPr>
              <w:t>10.2%</w:t>
            </w:r>
          </w:p>
        </w:tc>
        <w:tc>
          <w:tcPr>
            <w:tcW w:type="dxa" w:w="3135"/>
          </w:tcPr>
          <w:p>
            <w:r>
              <w:rPr>
                <w:rFonts w:ascii="Meiryo UI" w:hAnsi="Meiryo UI"/>
                <w:sz w:val="18"/>
              </w:rPr>
              <w:t>上記算出値</w:t>
            </w:r>
          </w:p>
        </w:tc>
      </w:tr>
      <w:tr>
        <w:tc>
          <w:tcPr>
            <w:tcW w:type="dxa" w:w="3135"/>
            <w:shd w:val="clear" w:color="auto" w:fill="DDEBF7"/>
          </w:tcPr>
          <w:p>
            <w:r>
              <w:rPr>
                <w:rFonts w:ascii="Meiryo UI" w:hAnsi="Meiryo UI"/>
                <w:sz w:val="18"/>
              </w:rPr>
              <w:t>Rf</w:t>
            </w:r>
          </w:p>
        </w:tc>
        <w:tc>
          <w:tcPr>
            <w:tcW w:type="dxa" w:w="3135"/>
            <w:shd w:val="clear" w:color="auto" w:fill="DDEBF7"/>
          </w:tcPr>
          <w:p>
            <w:r>
              <w:rPr>
                <w:rFonts w:ascii="Meiryo UI" w:hAnsi="Meiryo UI"/>
                <w:sz w:val="18"/>
              </w:rPr>
              <w:t>2.380%</w:t>
            </w:r>
          </w:p>
        </w:tc>
        <w:tc>
          <w:tcPr>
            <w:tcW w:type="dxa" w:w="3135"/>
            <w:shd w:val="clear" w:color="auto" w:fill="DDEBF7"/>
          </w:tcPr>
          <w:p>
            <w:r>
              <w:rPr>
                <w:rFonts w:ascii="Meiryo UI" w:hAnsi="Meiryo UI"/>
                <w:sz w:val="18"/>
              </w:rPr>
              <w:t>JGB10Y 社長確認値</w:t>
            </w:r>
          </w:p>
        </w:tc>
      </w:tr>
      <w:tr>
        <w:tc>
          <w:tcPr>
            <w:tcW w:type="dxa" w:w="3135"/>
          </w:tcPr>
          <w:p>
            <w:r>
              <w:rPr>
                <w:rFonts w:ascii="Meiryo UI" w:hAnsi="Meiryo UI"/>
                <w:sz w:val="18"/>
              </w:rPr>
              <w:t>β</w:t>
            </w:r>
          </w:p>
        </w:tc>
        <w:tc>
          <w:tcPr>
            <w:tcW w:type="dxa" w:w="3135"/>
          </w:tcPr>
          <w:p>
            <w:r>
              <w:rPr>
                <w:rFonts w:ascii="Meiryo UI" w:hAnsi="Meiryo UI"/>
                <w:sz w:val="18"/>
              </w:rPr>
              <w:t>1.55</w:t>
            </w:r>
          </w:p>
        </w:tc>
        <w:tc>
          <w:tcPr>
            <w:tcW w:type="dxa" w:w="3135"/>
          </w:tcPr>
          <w:p>
            <w:r>
              <w:rPr>
                <w:rFonts w:ascii="Meiryo UI" w:hAnsi="Meiryo UI"/>
                <w:sz w:val="18"/>
              </w:rPr>
              <w:t>クラウドIT中小型株</w:t>
            </w:r>
          </w:p>
        </w:tc>
      </w:tr>
      <w:tr>
        <w:tc>
          <w:tcPr>
            <w:tcW w:type="dxa" w:w="3135"/>
            <w:shd w:val="clear" w:color="auto" w:fill="DDEBF7"/>
          </w:tcPr>
          <w:p>
            <w:r>
              <w:rPr>
                <w:rFonts w:ascii="Meiryo UI" w:hAnsi="Meiryo UI"/>
                <w:sz w:val="18"/>
              </w:rPr>
              <w:t>ERP</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Damodaran参考</w:t>
            </w:r>
          </w:p>
        </w:tc>
      </w:tr>
      <w:tr>
        <w:tc>
          <w:tcPr>
            <w:tcW w:type="dxa" w:w="3135"/>
          </w:tcPr>
          <w:p>
            <w:r>
              <w:rPr>
                <w:rFonts w:ascii="Meiryo UI" w:hAnsi="Meiryo UI"/>
                <w:sz w:val="18"/>
              </w:rPr>
              <w:t>基準売上（FY2026E）</w:t>
            </w:r>
          </w:p>
        </w:tc>
        <w:tc>
          <w:tcPr>
            <w:tcW w:type="dxa" w:w="3135"/>
          </w:tcPr>
          <w:p>
            <w:r>
              <w:rPr>
                <w:rFonts w:ascii="Meiryo UI" w:hAnsi="Meiryo UI"/>
                <w:sz w:val="18"/>
              </w:rPr>
              <w:t>430億円</w:t>
            </w:r>
          </w:p>
        </w:tc>
        <w:tc>
          <w:tcPr>
            <w:tcW w:type="dxa" w:w="3135"/>
          </w:tcPr>
          <w:p>
            <w:r>
              <w:rPr>
                <w:rFonts w:ascii="Meiryo UI" w:hAnsi="Meiryo UI"/>
                <w:sz w:val="18"/>
              </w:rPr>
              <w:t>アナリスト予想中央値参考</w:t>
            </w:r>
          </w:p>
        </w:tc>
      </w:tr>
      <w:tr>
        <w:tc>
          <w:tcPr>
            <w:tcW w:type="dxa" w:w="3135"/>
            <w:shd w:val="clear" w:color="auto" w:fill="DDEBF7"/>
          </w:tcPr>
          <w:p>
            <w:r>
              <w:rPr>
                <w:rFonts w:ascii="Meiryo UI" w:hAnsi="Meiryo UI"/>
                <w:sz w:val="18"/>
              </w:rPr>
              <w:t>ネットデット</w:t>
            </w:r>
          </w:p>
        </w:tc>
        <w:tc>
          <w:tcPr>
            <w:tcW w:type="dxa" w:w="3135"/>
            <w:shd w:val="clear" w:color="auto" w:fill="DDEBF7"/>
          </w:tcPr>
          <w:p>
            <w:r>
              <w:rPr>
                <w:rFonts w:ascii="Meiryo UI" w:hAnsi="Meiryo UI"/>
                <w:sz w:val="18"/>
              </w:rPr>
              <w:t>160億円</w:t>
            </w:r>
          </w:p>
        </w:tc>
        <w:tc>
          <w:tcPr>
            <w:tcW w:type="dxa" w:w="3135"/>
            <w:shd w:val="clear" w:color="auto" w:fill="DDEBF7"/>
          </w:tcPr>
          <w:p>
            <w:r>
              <w:rPr>
                <w:rFonts w:ascii="Meiryo UI" w:hAnsi="Meiryo UI"/>
                <w:sz w:val="18"/>
              </w:rPr>
              <w:t>BS推定</w:t>
            </w:r>
          </w:p>
        </w:tc>
      </w:tr>
      <w:tr>
        <w:tc>
          <w:tcPr>
            <w:tcW w:type="dxa" w:w="3135"/>
          </w:tcPr>
          <w:p>
            <w:r>
              <w:rPr>
                <w:rFonts w:ascii="Meiryo UI" w:hAnsi="Meiryo UI"/>
                <w:sz w:val="18"/>
              </w:rPr>
              <w:t>発行済株式数</w:t>
            </w:r>
          </w:p>
        </w:tc>
        <w:tc>
          <w:tcPr>
            <w:tcW w:type="dxa" w:w="3135"/>
          </w:tcPr>
          <w:p>
            <w:r>
              <w:rPr>
                <w:rFonts w:ascii="Meiryo UI" w:hAnsi="Meiryo UI"/>
                <w:sz w:val="18"/>
              </w:rPr>
              <w:t>約1.1億株</w:t>
            </w:r>
          </w:p>
        </w:tc>
        <w:tc>
          <w:tcPr>
            <w:tcW w:type="dxa" w:w="3135"/>
          </w:tcPr>
          <w:p>
            <w:r>
              <w:rPr>
                <w:rFonts w:ascii="Meiryo UI" w:hAnsi="Meiryo UI"/>
                <w:sz w:val="18"/>
              </w:rPr>
              <w:t>推定（希薄化後）</w:t>
            </w:r>
          </w:p>
        </w:tc>
      </w:tr>
    </w:tbl>
    <w:p/>
    <w:p>
      <w:pPr>
        <w:pStyle w:val="Heading3"/>
      </w:pPr>
      <w:r>
        <w:rPr>
          <w:rFonts w:ascii="Meiryo UI" w:hAnsi="Meiryo UI"/>
          <w:color w:val="2E74B5"/>
        </w:rPr>
        <w:t>4-3. DCF売上・FCF予測（ベースケース）</w:t>
      </w:r>
    </w:p>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2E74B5"/>
          </w:tcPr>
          <w:p>
            <w:r>
              <w:rPr>
                <w:rFonts w:ascii="Meiryo UI" w:hAnsi="Meiryo UI"/>
                <w:b/>
                <w:color w:val="FFFFFF"/>
                <w:sz w:val="18"/>
              </w:rPr>
              <w:t>年度</w:t>
            </w:r>
          </w:p>
        </w:tc>
        <w:tc>
          <w:tcPr>
            <w:tcW w:type="dxa" w:w="941"/>
            <w:shd w:val="clear" w:color="auto" w:fill="2E74B5"/>
          </w:tcPr>
          <w:p>
            <w:r>
              <w:rPr>
                <w:rFonts w:ascii="Meiryo UI" w:hAnsi="Meiryo UI"/>
                <w:b/>
                <w:color w:val="FFFFFF"/>
                <w:sz w:val="18"/>
              </w:rPr>
              <w:t>売上高（億円）</w:t>
            </w:r>
          </w:p>
        </w:tc>
        <w:tc>
          <w:tcPr>
            <w:tcW w:type="dxa" w:w="941"/>
            <w:shd w:val="clear" w:color="auto" w:fill="2E74B5"/>
          </w:tcPr>
          <w:p>
            <w:r>
              <w:rPr>
                <w:rFonts w:ascii="Meiryo UI" w:hAnsi="Meiryo UI"/>
                <w:b/>
                <w:color w:val="FFFFFF"/>
                <w:sz w:val="18"/>
              </w:rPr>
              <w:t>売上成長率</w:t>
            </w:r>
          </w:p>
        </w:tc>
        <w:tc>
          <w:tcPr>
            <w:tcW w:type="dxa" w:w="941"/>
            <w:shd w:val="clear" w:color="auto" w:fill="2E74B5"/>
          </w:tcPr>
          <w:p>
            <w:r>
              <w:rPr>
                <w:rFonts w:ascii="Meiryo UI" w:hAnsi="Meiryo UI"/>
                <w:b/>
                <w:color w:val="FFFFFF"/>
                <w:sz w:val="18"/>
              </w:rPr>
              <w:t>EBIT率</w:t>
            </w:r>
          </w:p>
        </w:tc>
        <w:tc>
          <w:tcPr>
            <w:tcW w:type="dxa" w:w="941"/>
            <w:shd w:val="clear" w:color="auto" w:fill="2E74B5"/>
          </w:tcPr>
          <w:p>
            <w:r>
              <w:rPr>
                <w:rFonts w:ascii="Meiryo UI" w:hAnsi="Meiryo UI"/>
                <w:b/>
                <w:color w:val="FFFFFF"/>
                <w:sz w:val="18"/>
              </w:rPr>
              <w:t>EBIT（億円）</w:t>
            </w:r>
          </w:p>
        </w:tc>
        <w:tc>
          <w:tcPr>
            <w:tcW w:type="dxa" w:w="941"/>
            <w:shd w:val="clear" w:color="auto" w:fill="2E74B5"/>
          </w:tcPr>
          <w:p>
            <w:r>
              <w:rPr>
                <w:rFonts w:ascii="Meiryo UI" w:hAnsi="Meiryo UI"/>
                <w:b/>
                <w:color w:val="FFFFFF"/>
                <w:sz w:val="18"/>
              </w:rPr>
              <w:t>NOPAT</w:t>
            </w:r>
          </w:p>
        </w:tc>
        <w:tc>
          <w:tcPr>
            <w:tcW w:type="dxa" w:w="941"/>
            <w:shd w:val="clear" w:color="auto" w:fill="2E74B5"/>
          </w:tcPr>
          <w:p>
            <w:r>
              <w:rPr>
                <w:rFonts w:ascii="Meiryo UI" w:hAnsi="Meiryo UI"/>
                <w:b/>
                <w:color w:val="FFFFFF"/>
                <w:sz w:val="18"/>
              </w:rPr>
              <w:t>CAPEX率</w:t>
            </w:r>
          </w:p>
        </w:tc>
        <w:tc>
          <w:tcPr>
            <w:tcW w:type="dxa" w:w="941"/>
            <w:shd w:val="clear" w:color="auto" w:fill="2E74B5"/>
          </w:tcPr>
          <w:p>
            <w:r>
              <w:rPr>
                <w:rFonts w:ascii="Meiryo UI" w:hAnsi="Meiryo UI"/>
                <w:b/>
                <w:color w:val="FFFFFF"/>
                <w:sz w:val="18"/>
              </w:rPr>
              <w:t>FCF（億円）</w:t>
            </w:r>
          </w:p>
        </w:tc>
        <w:tc>
          <w:tcPr>
            <w:tcW w:type="dxa" w:w="941"/>
            <w:shd w:val="clear" w:color="auto" w:fill="2E74B5"/>
          </w:tcPr>
          <w:p>
            <w:r>
              <w:rPr>
                <w:rFonts w:ascii="Meiryo UI" w:hAnsi="Meiryo UI"/>
                <w:b/>
                <w:color w:val="FFFFFF"/>
                <w:sz w:val="18"/>
              </w:rPr>
              <w:t>割引係数</w:t>
            </w:r>
          </w:p>
        </w:tc>
        <w:tc>
          <w:tcPr>
            <w:tcW w:type="dxa" w:w="941"/>
            <w:shd w:val="clear" w:color="auto" w:fill="2E74B5"/>
          </w:tcPr>
          <w:p>
            <w:r>
              <w:rPr>
                <w:rFonts w:ascii="Meiryo UI" w:hAnsi="Meiryo UI"/>
                <w:b/>
                <w:color w:val="FFFFFF"/>
                <w:sz w:val="18"/>
              </w:rPr>
              <w:t>PV FCF</w:t>
            </w:r>
          </w:p>
        </w:tc>
      </w:tr>
      <w:tr>
        <w:tc>
          <w:tcPr>
            <w:tcW w:type="dxa" w:w="941"/>
          </w:tcPr>
          <w:p>
            <w:r>
              <w:rPr>
                <w:rFonts w:ascii="Meiryo UI" w:hAnsi="Meiryo UI"/>
                <w:sz w:val="18"/>
              </w:rPr>
              <w:t>FY2026</w:t>
            </w:r>
          </w:p>
        </w:tc>
        <w:tc>
          <w:tcPr>
            <w:tcW w:type="dxa" w:w="941"/>
          </w:tcPr>
          <w:p>
            <w:r>
              <w:rPr>
                <w:rFonts w:ascii="Meiryo UI" w:hAnsi="Meiryo UI"/>
                <w:sz w:val="18"/>
              </w:rPr>
              <w:t>430</w:t>
            </w:r>
          </w:p>
        </w:tc>
        <w:tc>
          <w:tcPr>
            <w:tcW w:type="dxa" w:w="941"/>
          </w:tcPr>
          <w:p>
            <w:r>
              <w:rPr>
                <w:rFonts w:ascii="Meiryo UI" w:hAnsi="Meiryo UI"/>
                <w:sz w:val="18"/>
              </w:rPr>
              <w:t>—</w:t>
            </w:r>
          </w:p>
        </w:tc>
        <w:tc>
          <w:tcPr>
            <w:tcW w:type="dxa" w:w="941"/>
          </w:tcPr>
          <w:p>
            <w:r>
              <w:rPr>
                <w:rFonts w:ascii="Meiryo UI" w:hAnsi="Meiryo UI"/>
                <w:sz w:val="18"/>
              </w:rPr>
              <w:t>10%</w:t>
            </w:r>
          </w:p>
        </w:tc>
        <w:tc>
          <w:tcPr>
            <w:tcW w:type="dxa" w:w="941"/>
          </w:tcPr>
          <w:p>
            <w:r>
              <w:rPr>
                <w:rFonts w:ascii="Meiryo UI" w:hAnsi="Meiryo UI"/>
                <w:sz w:val="18"/>
              </w:rPr>
              <w:t>43</w:t>
            </w:r>
          </w:p>
        </w:tc>
        <w:tc>
          <w:tcPr>
            <w:tcW w:type="dxa" w:w="941"/>
          </w:tcPr>
          <w:p>
            <w:r>
              <w:rPr>
                <w:rFonts w:ascii="Meiryo UI" w:hAnsi="Meiryo UI"/>
                <w:sz w:val="18"/>
              </w:rPr>
              <w:t>30</w:t>
            </w:r>
          </w:p>
        </w:tc>
        <w:tc>
          <w:tcPr>
            <w:tcW w:type="dxa" w:w="941"/>
          </w:tcPr>
          <w:p>
            <w:r>
              <w:rPr>
                <w:rFonts w:ascii="Meiryo UI" w:hAnsi="Meiryo UI"/>
                <w:sz w:val="18"/>
              </w:rPr>
              <w:t>-30%</w:t>
            </w:r>
          </w:p>
        </w:tc>
        <w:tc>
          <w:tcPr>
            <w:tcW w:type="dxa" w:w="941"/>
          </w:tcPr>
          <w:p>
            <w:r>
              <w:rPr>
                <w:rFonts w:ascii="Meiryo UI" w:hAnsi="Meiryo UI"/>
                <w:sz w:val="18"/>
              </w:rPr>
              <w:t>▲16</w:t>
            </w:r>
          </w:p>
        </w:tc>
        <w:tc>
          <w:tcPr>
            <w:tcW w:type="dxa" w:w="941"/>
          </w:tcPr>
          <w:p>
            <w:r>
              <w:rPr>
                <w:rFonts w:ascii="Meiryo UI" w:hAnsi="Meiryo UI"/>
                <w:sz w:val="18"/>
              </w:rPr>
              <w:t>0.908</w:t>
            </w:r>
          </w:p>
        </w:tc>
        <w:tc>
          <w:tcPr>
            <w:tcW w:type="dxa" w:w="941"/>
          </w:tcPr>
          <w:p>
            <w:r>
              <w:rPr>
                <w:rFonts w:ascii="Meiryo UI" w:hAnsi="Meiryo UI"/>
                <w:sz w:val="18"/>
              </w:rPr>
              <w:t>▲15</w:t>
            </w:r>
          </w:p>
        </w:tc>
      </w:tr>
      <w:tr>
        <w:tc>
          <w:tcPr>
            <w:tcW w:type="dxa" w:w="941"/>
            <w:shd w:val="clear" w:color="auto" w:fill="DDEBF7"/>
          </w:tcPr>
          <w:p>
            <w:r>
              <w:rPr>
                <w:rFonts w:ascii="Meiryo UI" w:hAnsi="Meiryo UI"/>
                <w:sz w:val="18"/>
              </w:rPr>
              <w:t>FY2027</w:t>
            </w:r>
          </w:p>
        </w:tc>
        <w:tc>
          <w:tcPr>
            <w:tcW w:type="dxa" w:w="941"/>
            <w:shd w:val="clear" w:color="auto" w:fill="DDEBF7"/>
          </w:tcPr>
          <w:p>
            <w:r>
              <w:rPr>
                <w:rFonts w:ascii="Meiryo UI" w:hAnsi="Meiryo UI"/>
                <w:sz w:val="18"/>
              </w:rPr>
              <w:t>560</w:t>
            </w:r>
          </w:p>
        </w:tc>
        <w:tc>
          <w:tcPr>
            <w:tcW w:type="dxa" w:w="941"/>
            <w:shd w:val="clear" w:color="auto" w:fill="DDEBF7"/>
          </w:tcPr>
          <w:p>
            <w:r>
              <w:rPr>
                <w:rFonts w:ascii="Meiryo UI" w:hAnsi="Meiryo UI"/>
                <w:sz w:val="18"/>
              </w:rPr>
              <w:t>+30%</w:t>
            </w:r>
          </w:p>
        </w:tc>
        <w:tc>
          <w:tcPr>
            <w:tcW w:type="dxa" w:w="941"/>
            <w:shd w:val="clear" w:color="auto" w:fill="DDEBF7"/>
          </w:tcPr>
          <w:p>
            <w:r>
              <w:rPr>
                <w:rFonts w:ascii="Meiryo UI" w:hAnsi="Meiryo UI"/>
                <w:sz w:val="18"/>
              </w:rPr>
              <w:t>12%</w:t>
            </w:r>
          </w:p>
        </w:tc>
        <w:tc>
          <w:tcPr>
            <w:tcW w:type="dxa" w:w="941"/>
            <w:shd w:val="clear" w:color="auto" w:fill="DDEBF7"/>
          </w:tcPr>
          <w:p>
            <w:r>
              <w:rPr>
                <w:rFonts w:ascii="Meiryo UI" w:hAnsi="Meiryo UI"/>
                <w:sz w:val="18"/>
              </w:rPr>
              <w:t>67</w:t>
            </w:r>
          </w:p>
        </w:tc>
        <w:tc>
          <w:tcPr>
            <w:tcW w:type="dxa" w:w="941"/>
            <w:shd w:val="clear" w:color="auto" w:fill="DDEBF7"/>
          </w:tcPr>
          <w:p>
            <w:r>
              <w:rPr>
                <w:rFonts w:ascii="Meiryo UI" w:hAnsi="Meiryo UI"/>
                <w:sz w:val="18"/>
              </w:rPr>
              <w:t>47</w:t>
            </w:r>
          </w:p>
        </w:tc>
        <w:tc>
          <w:tcPr>
            <w:tcW w:type="dxa" w:w="941"/>
            <w:shd w:val="clear" w:color="auto" w:fill="DDEBF7"/>
          </w:tcPr>
          <w:p>
            <w:r>
              <w:rPr>
                <w:rFonts w:ascii="Meiryo UI" w:hAnsi="Meiryo UI"/>
                <w:sz w:val="18"/>
              </w:rPr>
              <w:t>-28%</w:t>
            </w:r>
          </w:p>
        </w:tc>
        <w:tc>
          <w:tcPr>
            <w:tcW w:type="dxa" w:w="941"/>
            <w:shd w:val="clear" w:color="auto" w:fill="DDEBF7"/>
          </w:tcPr>
          <w:p>
            <w:r>
              <w:rPr>
                <w:rFonts w:ascii="Meiryo UI" w:hAnsi="Meiryo UI"/>
                <w:sz w:val="18"/>
              </w:rPr>
              <w:t>▲9</w:t>
            </w:r>
          </w:p>
        </w:tc>
        <w:tc>
          <w:tcPr>
            <w:tcW w:type="dxa" w:w="941"/>
            <w:shd w:val="clear" w:color="auto" w:fill="DDEBF7"/>
          </w:tcPr>
          <w:p>
            <w:r>
              <w:rPr>
                <w:rFonts w:ascii="Meiryo UI" w:hAnsi="Meiryo UI"/>
                <w:sz w:val="18"/>
              </w:rPr>
              <w:t>0.823</w:t>
            </w:r>
          </w:p>
        </w:tc>
        <w:tc>
          <w:tcPr>
            <w:tcW w:type="dxa" w:w="941"/>
            <w:shd w:val="clear" w:color="auto" w:fill="DDEBF7"/>
          </w:tcPr>
          <w:p>
            <w:r>
              <w:rPr>
                <w:rFonts w:ascii="Meiryo UI" w:hAnsi="Meiryo UI"/>
                <w:sz w:val="18"/>
              </w:rPr>
              <w:t>▲7</w:t>
            </w:r>
          </w:p>
        </w:tc>
      </w:tr>
      <w:tr>
        <w:tc>
          <w:tcPr>
            <w:tcW w:type="dxa" w:w="941"/>
          </w:tcPr>
          <w:p>
            <w:r>
              <w:rPr>
                <w:rFonts w:ascii="Meiryo UI" w:hAnsi="Meiryo UI"/>
                <w:sz w:val="18"/>
              </w:rPr>
              <w:t>FY2028</w:t>
            </w:r>
          </w:p>
        </w:tc>
        <w:tc>
          <w:tcPr>
            <w:tcW w:type="dxa" w:w="941"/>
          </w:tcPr>
          <w:p>
            <w:r>
              <w:rPr>
                <w:rFonts w:ascii="Meiryo UI" w:hAnsi="Meiryo UI"/>
                <w:sz w:val="18"/>
              </w:rPr>
              <w:t>700</w:t>
            </w:r>
          </w:p>
        </w:tc>
        <w:tc>
          <w:tcPr>
            <w:tcW w:type="dxa" w:w="941"/>
          </w:tcPr>
          <w:p>
            <w:r>
              <w:rPr>
                <w:rFonts w:ascii="Meiryo UI" w:hAnsi="Meiryo UI"/>
                <w:sz w:val="18"/>
              </w:rPr>
              <w:t>+25%</w:t>
            </w:r>
          </w:p>
        </w:tc>
        <w:tc>
          <w:tcPr>
            <w:tcW w:type="dxa" w:w="941"/>
          </w:tcPr>
          <w:p>
            <w:r>
              <w:rPr>
                <w:rFonts w:ascii="Meiryo UI" w:hAnsi="Meiryo UI"/>
                <w:sz w:val="18"/>
              </w:rPr>
              <w:t>14%</w:t>
            </w:r>
          </w:p>
        </w:tc>
        <w:tc>
          <w:tcPr>
            <w:tcW w:type="dxa" w:w="941"/>
          </w:tcPr>
          <w:p>
            <w:r>
              <w:rPr>
                <w:rFonts w:ascii="Meiryo UI" w:hAnsi="Meiryo UI"/>
                <w:sz w:val="18"/>
              </w:rPr>
              <w:t>98</w:t>
            </w:r>
          </w:p>
        </w:tc>
        <w:tc>
          <w:tcPr>
            <w:tcW w:type="dxa" w:w="941"/>
          </w:tcPr>
          <w:p>
            <w:r>
              <w:rPr>
                <w:rFonts w:ascii="Meiryo UI" w:hAnsi="Meiryo UI"/>
                <w:sz w:val="18"/>
              </w:rPr>
              <w:t>69</w:t>
            </w:r>
          </w:p>
        </w:tc>
        <w:tc>
          <w:tcPr>
            <w:tcW w:type="dxa" w:w="941"/>
          </w:tcPr>
          <w:p>
            <w:r>
              <w:rPr>
                <w:rFonts w:ascii="Meiryo UI" w:hAnsi="Meiryo UI"/>
                <w:sz w:val="18"/>
              </w:rPr>
              <w:t>-22%</w:t>
            </w:r>
          </w:p>
        </w:tc>
        <w:tc>
          <w:tcPr>
            <w:tcW w:type="dxa" w:w="941"/>
          </w:tcPr>
          <w:p>
            <w:r>
              <w:rPr>
                <w:rFonts w:ascii="Meiryo UI" w:hAnsi="Meiryo UI"/>
                <w:sz w:val="18"/>
              </w:rPr>
              <w:t>+23</w:t>
            </w:r>
          </w:p>
        </w:tc>
        <w:tc>
          <w:tcPr>
            <w:tcW w:type="dxa" w:w="941"/>
          </w:tcPr>
          <w:p>
            <w:r>
              <w:rPr>
                <w:rFonts w:ascii="Meiryo UI" w:hAnsi="Meiryo UI"/>
                <w:sz w:val="18"/>
              </w:rPr>
              <w:t>0.747</w:t>
            </w:r>
          </w:p>
        </w:tc>
        <w:tc>
          <w:tcPr>
            <w:tcW w:type="dxa" w:w="941"/>
          </w:tcPr>
          <w:p>
            <w:r>
              <w:rPr>
                <w:rFonts w:ascii="Meiryo UI" w:hAnsi="Meiryo UI"/>
                <w:sz w:val="18"/>
              </w:rPr>
              <w:t>+17</w:t>
            </w:r>
          </w:p>
        </w:tc>
      </w:tr>
      <w:tr>
        <w:tc>
          <w:tcPr>
            <w:tcW w:type="dxa" w:w="941"/>
            <w:shd w:val="clear" w:color="auto" w:fill="DDEBF7"/>
          </w:tcPr>
          <w:p>
            <w:r>
              <w:rPr>
                <w:rFonts w:ascii="Meiryo UI" w:hAnsi="Meiryo UI"/>
                <w:sz w:val="18"/>
              </w:rPr>
              <w:t>FY2029</w:t>
            </w:r>
          </w:p>
        </w:tc>
        <w:tc>
          <w:tcPr>
            <w:tcW w:type="dxa" w:w="941"/>
            <w:shd w:val="clear" w:color="auto" w:fill="DDEBF7"/>
          </w:tcPr>
          <w:p>
            <w:r>
              <w:rPr>
                <w:rFonts w:ascii="Meiryo UI" w:hAnsi="Meiryo UI"/>
                <w:sz w:val="18"/>
              </w:rPr>
              <w:t>840</w:t>
            </w:r>
          </w:p>
        </w:tc>
        <w:tc>
          <w:tcPr>
            <w:tcW w:type="dxa" w:w="941"/>
            <w:shd w:val="clear" w:color="auto" w:fill="DDEBF7"/>
          </w:tcPr>
          <w:p>
            <w:r>
              <w:rPr>
                <w:rFonts w:ascii="Meiryo UI" w:hAnsi="Meiryo UI"/>
                <w:sz w:val="18"/>
              </w:rPr>
              <w:t>+20%</w:t>
            </w:r>
          </w:p>
        </w:tc>
        <w:tc>
          <w:tcPr>
            <w:tcW w:type="dxa" w:w="941"/>
            <w:shd w:val="clear" w:color="auto" w:fill="DDEBF7"/>
          </w:tcPr>
          <w:p>
            <w:r>
              <w:rPr>
                <w:rFonts w:ascii="Meiryo UI" w:hAnsi="Meiryo UI"/>
                <w:sz w:val="18"/>
              </w:rPr>
              <w:t>16%</w:t>
            </w:r>
          </w:p>
        </w:tc>
        <w:tc>
          <w:tcPr>
            <w:tcW w:type="dxa" w:w="941"/>
            <w:shd w:val="clear" w:color="auto" w:fill="DDEBF7"/>
          </w:tcPr>
          <w:p>
            <w:r>
              <w:rPr>
                <w:rFonts w:ascii="Meiryo UI" w:hAnsi="Meiryo UI"/>
                <w:sz w:val="18"/>
              </w:rPr>
              <w:t>134</w:t>
            </w:r>
          </w:p>
        </w:tc>
        <w:tc>
          <w:tcPr>
            <w:tcW w:type="dxa" w:w="941"/>
            <w:shd w:val="clear" w:color="auto" w:fill="DDEBF7"/>
          </w:tcPr>
          <w:p>
            <w:r>
              <w:rPr>
                <w:rFonts w:ascii="Meiryo UI" w:hAnsi="Meiryo UI"/>
                <w:sz w:val="18"/>
              </w:rPr>
              <w:t>94</w:t>
            </w:r>
          </w:p>
        </w:tc>
        <w:tc>
          <w:tcPr>
            <w:tcW w:type="dxa" w:w="941"/>
            <w:shd w:val="clear" w:color="auto" w:fill="DDEBF7"/>
          </w:tcPr>
          <w:p>
            <w:r>
              <w:rPr>
                <w:rFonts w:ascii="Meiryo UI" w:hAnsi="Meiryo UI"/>
                <w:sz w:val="18"/>
              </w:rPr>
              <w:t>-18%</w:t>
            </w:r>
          </w:p>
        </w:tc>
        <w:tc>
          <w:tcPr>
            <w:tcW w:type="dxa" w:w="941"/>
            <w:shd w:val="clear" w:color="auto" w:fill="DDEBF7"/>
          </w:tcPr>
          <w:p>
            <w:r>
              <w:rPr>
                <w:rFonts w:ascii="Meiryo UI" w:hAnsi="Meiryo UI"/>
                <w:sz w:val="18"/>
              </w:rPr>
              <w:t>+62</w:t>
            </w:r>
          </w:p>
        </w:tc>
        <w:tc>
          <w:tcPr>
            <w:tcW w:type="dxa" w:w="941"/>
            <w:shd w:val="clear" w:color="auto" w:fill="DDEBF7"/>
          </w:tcPr>
          <w:p>
            <w:r>
              <w:rPr>
                <w:rFonts w:ascii="Meiryo UI" w:hAnsi="Meiryo UI"/>
                <w:sz w:val="18"/>
              </w:rPr>
              <w:t>0.678</w:t>
            </w:r>
          </w:p>
        </w:tc>
        <w:tc>
          <w:tcPr>
            <w:tcW w:type="dxa" w:w="941"/>
            <w:shd w:val="clear" w:color="auto" w:fill="DDEBF7"/>
          </w:tcPr>
          <w:p>
            <w:r>
              <w:rPr>
                <w:rFonts w:ascii="Meiryo UI" w:hAnsi="Meiryo UI"/>
                <w:sz w:val="18"/>
              </w:rPr>
              <w:t>+42</w:t>
            </w:r>
          </w:p>
        </w:tc>
      </w:tr>
      <w:tr>
        <w:tc>
          <w:tcPr>
            <w:tcW w:type="dxa" w:w="941"/>
          </w:tcPr>
          <w:p>
            <w:r>
              <w:rPr>
                <w:rFonts w:ascii="Meiryo UI" w:hAnsi="Meiryo UI"/>
                <w:sz w:val="18"/>
              </w:rPr>
              <w:t>FY2030</w:t>
            </w:r>
          </w:p>
        </w:tc>
        <w:tc>
          <w:tcPr>
            <w:tcW w:type="dxa" w:w="941"/>
          </w:tcPr>
          <w:p>
            <w:r>
              <w:rPr>
                <w:rFonts w:ascii="Meiryo UI" w:hAnsi="Meiryo UI"/>
                <w:sz w:val="18"/>
              </w:rPr>
              <w:t>990</w:t>
            </w:r>
          </w:p>
        </w:tc>
        <w:tc>
          <w:tcPr>
            <w:tcW w:type="dxa" w:w="941"/>
          </w:tcPr>
          <w:p>
            <w:r>
              <w:rPr>
                <w:rFonts w:ascii="Meiryo UI" w:hAnsi="Meiryo UI"/>
                <w:sz w:val="18"/>
              </w:rPr>
              <w:t>+18%</w:t>
            </w:r>
          </w:p>
        </w:tc>
        <w:tc>
          <w:tcPr>
            <w:tcW w:type="dxa" w:w="941"/>
          </w:tcPr>
          <w:p>
            <w:r>
              <w:rPr>
                <w:rFonts w:ascii="Meiryo UI" w:hAnsi="Meiryo UI"/>
                <w:sz w:val="18"/>
              </w:rPr>
              <w:t>17%</w:t>
            </w:r>
          </w:p>
        </w:tc>
        <w:tc>
          <w:tcPr>
            <w:tcW w:type="dxa" w:w="941"/>
          </w:tcPr>
          <w:p>
            <w:r>
              <w:rPr>
                <w:rFonts w:ascii="Meiryo UI" w:hAnsi="Meiryo UI"/>
                <w:sz w:val="18"/>
              </w:rPr>
              <w:t>168</w:t>
            </w:r>
          </w:p>
        </w:tc>
        <w:tc>
          <w:tcPr>
            <w:tcW w:type="dxa" w:w="941"/>
          </w:tcPr>
          <w:p>
            <w:r>
              <w:rPr>
                <w:rFonts w:ascii="Meiryo UI" w:hAnsi="Meiryo UI"/>
                <w:sz w:val="18"/>
              </w:rPr>
              <w:t>118</w:t>
            </w:r>
          </w:p>
        </w:tc>
        <w:tc>
          <w:tcPr>
            <w:tcW w:type="dxa" w:w="941"/>
          </w:tcPr>
          <w:p>
            <w:r>
              <w:rPr>
                <w:rFonts w:ascii="Meiryo UI" w:hAnsi="Meiryo UI"/>
                <w:sz w:val="18"/>
              </w:rPr>
              <w:t>-15%</w:t>
            </w:r>
          </w:p>
        </w:tc>
        <w:tc>
          <w:tcPr>
            <w:tcW w:type="dxa" w:w="941"/>
          </w:tcPr>
          <w:p>
            <w:r>
              <w:rPr>
                <w:rFonts w:ascii="Meiryo UI" w:hAnsi="Meiryo UI"/>
                <w:sz w:val="18"/>
              </w:rPr>
              <w:t>+98</w:t>
            </w:r>
          </w:p>
        </w:tc>
        <w:tc>
          <w:tcPr>
            <w:tcW w:type="dxa" w:w="941"/>
          </w:tcPr>
          <w:p>
            <w:r>
              <w:rPr>
                <w:rFonts w:ascii="Meiryo UI" w:hAnsi="Meiryo UI"/>
                <w:sz w:val="18"/>
              </w:rPr>
              <w:t>0.615</w:t>
            </w:r>
          </w:p>
        </w:tc>
        <w:tc>
          <w:tcPr>
            <w:tcW w:type="dxa" w:w="941"/>
          </w:tcPr>
          <w:p>
            <w:r>
              <w:rPr>
                <w:rFonts w:ascii="Meiryo UI" w:hAnsi="Meiryo UI"/>
                <w:sz w:val="18"/>
              </w:rPr>
              <w:t>+60</w:t>
            </w:r>
          </w:p>
        </w:tc>
      </w:tr>
      <w:tr>
        <w:tc>
          <w:tcPr>
            <w:tcW w:type="dxa" w:w="941"/>
            <w:shd w:val="clear" w:color="auto" w:fill="DDEBF7"/>
          </w:tcPr>
          <w:p>
            <w:r>
              <w:rPr>
                <w:rFonts w:ascii="Meiryo UI" w:hAnsi="Meiryo UI"/>
                <w:sz w:val="18"/>
              </w:rPr>
              <w:t>FY2031</w:t>
            </w:r>
          </w:p>
        </w:tc>
        <w:tc>
          <w:tcPr>
            <w:tcW w:type="dxa" w:w="941"/>
            <w:shd w:val="clear" w:color="auto" w:fill="DDEBF7"/>
          </w:tcPr>
          <w:p>
            <w:r>
              <w:rPr>
                <w:rFonts w:ascii="Meiryo UI" w:hAnsi="Meiryo UI"/>
                <w:sz w:val="18"/>
              </w:rPr>
              <w:t>1,130</w:t>
            </w:r>
          </w:p>
        </w:tc>
        <w:tc>
          <w:tcPr>
            <w:tcW w:type="dxa" w:w="941"/>
            <w:shd w:val="clear" w:color="auto" w:fill="DDEBF7"/>
          </w:tcPr>
          <w:p>
            <w:r>
              <w:rPr>
                <w:rFonts w:ascii="Meiryo UI" w:hAnsi="Meiryo UI"/>
                <w:sz w:val="18"/>
              </w:rPr>
              <w:t>+14%</w:t>
            </w:r>
          </w:p>
        </w:tc>
        <w:tc>
          <w:tcPr>
            <w:tcW w:type="dxa" w:w="941"/>
            <w:shd w:val="clear" w:color="auto" w:fill="DDEBF7"/>
          </w:tcPr>
          <w:p>
            <w:r>
              <w:rPr>
                <w:rFonts w:ascii="Meiryo UI" w:hAnsi="Meiryo UI"/>
                <w:sz w:val="18"/>
              </w:rPr>
              <w:t>18%</w:t>
            </w:r>
          </w:p>
        </w:tc>
        <w:tc>
          <w:tcPr>
            <w:tcW w:type="dxa" w:w="941"/>
            <w:shd w:val="clear" w:color="auto" w:fill="DDEBF7"/>
          </w:tcPr>
          <w:p>
            <w:r>
              <w:rPr>
                <w:rFonts w:ascii="Meiryo UI" w:hAnsi="Meiryo UI"/>
                <w:sz w:val="18"/>
              </w:rPr>
              <w:t>203</w:t>
            </w:r>
          </w:p>
        </w:tc>
        <w:tc>
          <w:tcPr>
            <w:tcW w:type="dxa" w:w="941"/>
            <w:shd w:val="clear" w:color="auto" w:fill="DDEBF7"/>
          </w:tcPr>
          <w:p>
            <w:r>
              <w:rPr>
                <w:rFonts w:ascii="Meiryo UI" w:hAnsi="Meiryo UI"/>
                <w:sz w:val="18"/>
              </w:rPr>
              <w:t>142</w:t>
            </w:r>
          </w:p>
        </w:tc>
        <w:tc>
          <w:tcPr>
            <w:tcW w:type="dxa" w:w="941"/>
            <w:shd w:val="clear" w:color="auto" w:fill="DDEBF7"/>
          </w:tcPr>
          <w:p>
            <w:r>
              <w:rPr>
                <w:rFonts w:ascii="Meiryo UI" w:hAnsi="Meiryo UI"/>
                <w:sz w:val="18"/>
              </w:rPr>
              <w:t>-13%</w:t>
            </w:r>
          </w:p>
        </w:tc>
        <w:tc>
          <w:tcPr>
            <w:tcW w:type="dxa" w:w="941"/>
            <w:shd w:val="clear" w:color="auto" w:fill="DDEBF7"/>
          </w:tcPr>
          <w:p>
            <w:r>
              <w:rPr>
                <w:rFonts w:ascii="Meiryo UI" w:hAnsi="Meiryo UI"/>
                <w:sz w:val="18"/>
              </w:rPr>
              <w:t>+136</w:t>
            </w:r>
          </w:p>
        </w:tc>
        <w:tc>
          <w:tcPr>
            <w:tcW w:type="dxa" w:w="941"/>
            <w:shd w:val="clear" w:color="auto" w:fill="DDEBF7"/>
          </w:tcPr>
          <w:p>
            <w:r>
              <w:rPr>
                <w:rFonts w:ascii="Meiryo UI" w:hAnsi="Meiryo UI"/>
                <w:sz w:val="18"/>
              </w:rPr>
              <w:t>0.558</w:t>
            </w:r>
          </w:p>
        </w:tc>
        <w:tc>
          <w:tcPr>
            <w:tcW w:type="dxa" w:w="941"/>
            <w:shd w:val="clear" w:color="auto" w:fill="DDEBF7"/>
          </w:tcPr>
          <w:p>
            <w:r>
              <w:rPr>
                <w:rFonts w:ascii="Meiryo UI" w:hAnsi="Meiryo UI"/>
                <w:sz w:val="18"/>
              </w:rPr>
              <w:t>+76</w:t>
            </w:r>
          </w:p>
        </w:tc>
      </w:tr>
      <w:tr>
        <w:tc>
          <w:tcPr>
            <w:tcW w:type="dxa" w:w="941"/>
          </w:tcPr>
          <w:p>
            <w:r>
              <w:rPr>
                <w:rFonts w:ascii="Meiryo UI" w:hAnsi="Meiryo UI"/>
                <w:sz w:val="18"/>
              </w:rPr>
              <w:t>FY2032</w:t>
            </w:r>
          </w:p>
        </w:tc>
        <w:tc>
          <w:tcPr>
            <w:tcW w:type="dxa" w:w="941"/>
          </w:tcPr>
          <w:p>
            <w:r>
              <w:rPr>
                <w:rFonts w:ascii="Meiryo UI" w:hAnsi="Meiryo UI"/>
                <w:sz w:val="18"/>
              </w:rPr>
              <w:t>1,260</w:t>
            </w:r>
          </w:p>
        </w:tc>
        <w:tc>
          <w:tcPr>
            <w:tcW w:type="dxa" w:w="941"/>
          </w:tcPr>
          <w:p>
            <w:r>
              <w:rPr>
                <w:rFonts w:ascii="Meiryo UI" w:hAnsi="Meiryo UI"/>
                <w:sz w:val="18"/>
              </w:rPr>
              <w:t>+12%</w:t>
            </w:r>
          </w:p>
        </w:tc>
        <w:tc>
          <w:tcPr>
            <w:tcW w:type="dxa" w:w="941"/>
          </w:tcPr>
          <w:p>
            <w:r>
              <w:rPr>
                <w:rFonts w:ascii="Meiryo UI" w:hAnsi="Meiryo UI"/>
                <w:sz w:val="18"/>
              </w:rPr>
              <w:t>18%</w:t>
            </w:r>
          </w:p>
        </w:tc>
        <w:tc>
          <w:tcPr>
            <w:tcW w:type="dxa" w:w="941"/>
          </w:tcPr>
          <w:p>
            <w:r>
              <w:rPr>
                <w:rFonts w:ascii="Meiryo UI" w:hAnsi="Meiryo UI"/>
                <w:sz w:val="18"/>
              </w:rPr>
              <w:t>227</w:t>
            </w:r>
          </w:p>
        </w:tc>
        <w:tc>
          <w:tcPr>
            <w:tcW w:type="dxa" w:w="941"/>
          </w:tcPr>
          <w:p>
            <w:r>
              <w:rPr>
                <w:rFonts w:ascii="Meiryo UI" w:hAnsi="Meiryo UI"/>
                <w:sz w:val="18"/>
              </w:rPr>
              <w:t>159</w:t>
            </w:r>
          </w:p>
        </w:tc>
        <w:tc>
          <w:tcPr>
            <w:tcW w:type="dxa" w:w="941"/>
          </w:tcPr>
          <w:p>
            <w:r>
              <w:rPr>
                <w:rFonts w:ascii="Meiryo UI" w:hAnsi="Meiryo UI"/>
                <w:sz w:val="18"/>
              </w:rPr>
              <w:t>-12%</w:t>
            </w:r>
          </w:p>
        </w:tc>
        <w:tc>
          <w:tcPr>
            <w:tcW w:type="dxa" w:w="941"/>
          </w:tcPr>
          <w:p>
            <w:r>
              <w:rPr>
                <w:rFonts w:ascii="Meiryo UI" w:hAnsi="Meiryo UI"/>
                <w:sz w:val="18"/>
              </w:rPr>
              <w:t>+157</w:t>
            </w:r>
          </w:p>
        </w:tc>
        <w:tc>
          <w:tcPr>
            <w:tcW w:type="dxa" w:w="941"/>
          </w:tcPr>
          <w:p>
            <w:r>
              <w:rPr>
                <w:rFonts w:ascii="Meiryo UI" w:hAnsi="Meiryo UI"/>
                <w:sz w:val="18"/>
              </w:rPr>
              <w:t>0.506</w:t>
            </w:r>
          </w:p>
        </w:tc>
        <w:tc>
          <w:tcPr>
            <w:tcW w:type="dxa" w:w="941"/>
          </w:tcPr>
          <w:p>
            <w:r>
              <w:rPr>
                <w:rFonts w:ascii="Meiryo UI" w:hAnsi="Meiryo UI"/>
                <w:sz w:val="18"/>
              </w:rPr>
              <w:t>+79</w:t>
            </w:r>
          </w:p>
        </w:tc>
      </w:tr>
      <w:tr>
        <w:tc>
          <w:tcPr>
            <w:tcW w:type="dxa" w:w="941"/>
            <w:shd w:val="clear" w:color="auto" w:fill="DDEBF7"/>
          </w:tcPr>
          <w:p>
            <w:r>
              <w:rPr>
                <w:rFonts w:ascii="Meiryo UI" w:hAnsi="Meiryo UI"/>
                <w:sz w:val="18"/>
              </w:rPr>
              <w:t>FY2033</w:t>
            </w:r>
          </w:p>
        </w:tc>
        <w:tc>
          <w:tcPr>
            <w:tcW w:type="dxa" w:w="941"/>
            <w:shd w:val="clear" w:color="auto" w:fill="DDEBF7"/>
          </w:tcPr>
          <w:p>
            <w:r>
              <w:rPr>
                <w:rFonts w:ascii="Meiryo UI" w:hAnsi="Meiryo UI"/>
                <w:sz w:val="18"/>
              </w:rPr>
              <w:t>1,380</w:t>
            </w:r>
          </w:p>
        </w:tc>
        <w:tc>
          <w:tcPr>
            <w:tcW w:type="dxa" w:w="941"/>
            <w:shd w:val="clear" w:color="auto" w:fill="DDEBF7"/>
          </w:tcPr>
          <w:p>
            <w:r>
              <w:rPr>
                <w:rFonts w:ascii="Meiryo UI" w:hAnsi="Meiryo UI"/>
                <w:sz w:val="18"/>
              </w:rPr>
              <w:t>+10%</w:t>
            </w:r>
          </w:p>
        </w:tc>
        <w:tc>
          <w:tcPr>
            <w:tcW w:type="dxa" w:w="941"/>
            <w:shd w:val="clear" w:color="auto" w:fill="DDEBF7"/>
          </w:tcPr>
          <w:p>
            <w:r>
              <w:rPr>
                <w:rFonts w:ascii="Meiryo UI" w:hAnsi="Meiryo UI"/>
                <w:sz w:val="18"/>
              </w:rPr>
              <w:t>19%</w:t>
            </w:r>
          </w:p>
        </w:tc>
        <w:tc>
          <w:tcPr>
            <w:tcW w:type="dxa" w:w="941"/>
            <w:shd w:val="clear" w:color="auto" w:fill="DDEBF7"/>
          </w:tcPr>
          <w:p>
            <w:r>
              <w:rPr>
                <w:rFonts w:ascii="Meiryo UI" w:hAnsi="Meiryo UI"/>
                <w:sz w:val="18"/>
              </w:rPr>
              <w:t>262</w:t>
            </w:r>
          </w:p>
        </w:tc>
        <w:tc>
          <w:tcPr>
            <w:tcW w:type="dxa" w:w="941"/>
            <w:shd w:val="clear" w:color="auto" w:fill="DDEBF7"/>
          </w:tcPr>
          <w:p>
            <w:r>
              <w:rPr>
                <w:rFonts w:ascii="Meiryo UI" w:hAnsi="Meiryo UI"/>
                <w:sz w:val="18"/>
              </w:rPr>
              <w:t>183</w:t>
            </w:r>
          </w:p>
        </w:tc>
        <w:tc>
          <w:tcPr>
            <w:tcW w:type="dxa" w:w="941"/>
            <w:shd w:val="clear" w:color="auto" w:fill="DDEBF7"/>
          </w:tcPr>
          <w:p>
            <w:r>
              <w:rPr>
                <w:rFonts w:ascii="Meiryo UI" w:hAnsi="Meiryo UI"/>
                <w:sz w:val="18"/>
              </w:rPr>
              <w:t>-11%</w:t>
            </w:r>
          </w:p>
        </w:tc>
        <w:tc>
          <w:tcPr>
            <w:tcW w:type="dxa" w:w="941"/>
            <w:shd w:val="clear" w:color="auto" w:fill="DDEBF7"/>
          </w:tcPr>
          <w:p>
            <w:r>
              <w:rPr>
                <w:rFonts w:ascii="Meiryo UI" w:hAnsi="Meiryo UI"/>
                <w:sz w:val="18"/>
              </w:rPr>
              <w:t>+181</w:t>
            </w:r>
          </w:p>
        </w:tc>
        <w:tc>
          <w:tcPr>
            <w:tcW w:type="dxa" w:w="941"/>
            <w:shd w:val="clear" w:color="auto" w:fill="DDEBF7"/>
          </w:tcPr>
          <w:p>
            <w:r>
              <w:rPr>
                <w:rFonts w:ascii="Meiryo UI" w:hAnsi="Meiryo UI"/>
                <w:sz w:val="18"/>
              </w:rPr>
              <w:t>0.459</w:t>
            </w:r>
          </w:p>
        </w:tc>
        <w:tc>
          <w:tcPr>
            <w:tcW w:type="dxa" w:w="941"/>
            <w:shd w:val="clear" w:color="auto" w:fill="DDEBF7"/>
          </w:tcPr>
          <w:p>
            <w:r>
              <w:rPr>
                <w:rFonts w:ascii="Meiryo UI" w:hAnsi="Meiryo UI"/>
                <w:sz w:val="18"/>
              </w:rPr>
              <w:t>+83</w:t>
            </w:r>
          </w:p>
        </w:tc>
      </w:tr>
      <w:tr>
        <w:tc>
          <w:tcPr>
            <w:tcW w:type="dxa" w:w="941"/>
          </w:tcPr>
          <w:p>
            <w:r>
              <w:rPr>
                <w:rFonts w:ascii="Meiryo UI" w:hAnsi="Meiryo UI"/>
                <w:sz w:val="18"/>
              </w:rPr>
              <w:t>FY2034</w:t>
            </w:r>
          </w:p>
        </w:tc>
        <w:tc>
          <w:tcPr>
            <w:tcW w:type="dxa" w:w="941"/>
          </w:tcPr>
          <w:p>
            <w:r>
              <w:rPr>
                <w:rFonts w:ascii="Meiryo UI" w:hAnsi="Meiryo UI"/>
                <w:sz w:val="18"/>
              </w:rPr>
              <w:t>1,490</w:t>
            </w:r>
          </w:p>
        </w:tc>
        <w:tc>
          <w:tcPr>
            <w:tcW w:type="dxa" w:w="941"/>
          </w:tcPr>
          <w:p>
            <w:r>
              <w:rPr>
                <w:rFonts w:ascii="Meiryo UI" w:hAnsi="Meiryo UI"/>
                <w:sz w:val="18"/>
              </w:rPr>
              <w:t>+8%</w:t>
            </w:r>
          </w:p>
        </w:tc>
        <w:tc>
          <w:tcPr>
            <w:tcW w:type="dxa" w:w="941"/>
          </w:tcPr>
          <w:p>
            <w:r>
              <w:rPr>
                <w:rFonts w:ascii="Meiryo UI" w:hAnsi="Meiryo UI"/>
                <w:sz w:val="18"/>
              </w:rPr>
              <w:t>19%</w:t>
            </w:r>
          </w:p>
        </w:tc>
        <w:tc>
          <w:tcPr>
            <w:tcW w:type="dxa" w:w="941"/>
          </w:tcPr>
          <w:p>
            <w:r>
              <w:rPr>
                <w:rFonts w:ascii="Meiryo UI" w:hAnsi="Meiryo UI"/>
                <w:sz w:val="18"/>
              </w:rPr>
              <w:t>283</w:t>
            </w:r>
          </w:p>
        </w:tc>
        <w:tc>
          <w:tcPr>
            <w:tcW w:type="dxa" w:w="941"/>
          </w:tcPr>
          <w:p>
            <w:r>
              <w:rPr>
                <w:rFonts w:ascii="Meiryo UI" w:hAnsi="Meiryo UI"/>
                <w:sz w:val="18"/>
              </w:rPr>
              <w:t>198</w:t>
            </w:r>
          </w:p>
        </w:tc>
        <w:tc>
          <w:tcPr>
            <w:tcW w:type="dxa" w:w="941"/>
          </w:tcPr>
          <w:p>
            <w:r>
              <w:rPr>
                <w:rFonts w:ascii="Meiryo UI" w:hAnsi="Meiryo UI"/>
                <w:sz w:val="18"/>
              </w:rPr>
              <w:t>-10%</w:t>
            </w:r>
          </w:p>
        </w:tc>
        <w:tc>
          <w:tcPr>
            <w:tcW w:type="dxa" w:w="941"/>
          </w:tcPr>
          <w:p>
            <w:r>
              <w:rPr>
                <w:rFonts w:ascii="Meiryo UI" w:hAnsi="Meiryo UI"/>
                <w:sz w:val="18"/>
              </w:rPr>
              <w:t>+200</w:t>
            </w:r>
          </w:p>
        </w:tc>
        <w:tc>
          <w:tcPr>
            <w:tcW w:type="dxa" w:w="941"/>
          </w:tcPr>
          <w:p>
            <w:r>
              <w:rPr>
                <w:rFonts w:ascii="Meiryo UI" w:hAnsi="Meiryo UI"/>
                <w:sz w:val="18"/>
              </w:rPr>
              <w:t>0.417</w:t>
            </w:r>
          </w:p>
        </w:tc>
        <w:tc>
          <w:tcPr>
            <w:tcW w:type="dxa" w:w="941"/>
          </w:tcPr>
          <w:p>
            <w:r>
              <w:rPr>
                <w:rFonts w:ascii="Meiryo UI" w:hAnsi="Meiryo UI"/>
                <w:sz w:val="18"/>
              </w:rPr>
              <w:t>+83</w:t>
            </w:r>
          </w:p>
        </w:tc>
      </w:tr>
      <w:tr>
        <w:tc>
          <w:tcPr>
            <w:tcW w:type="dxa" w:w="941"/>
            <w:shd w:val="clear" w:color="auto" w:fill="DDEBF7"/>
          </w:tcPr>
          <w:p>
            <w:r>
              <w:rPr>
                <w:rFonts w:ascii="Meiryo UI" w:hAnsi="Meiryo UI"/>
                <w:sz w:val="18"/>
              </w:rPr>
              <w:t>FY2035</w:t>
            </w:r>
          </w:p>
        </w:tc>
        <w:tc>
          <w:tcPr>
            <w:tcW w:type="dxa" w:w="941"/>
            <w:shd w:val="clear" w:color="auto" w:fill="DDEBF7"/>
          </w:tcPr>
          <w:p>
            <w:r>
              <w:rPr>
                <w:rFonts w:ascii="Meiryo UI" w:hAnsi="Meiryo UI"/>
                <w:sz w:val="18"/>
              </w:rPr>
              <w:t>1,580</w:t>
            </w:r>
          </w:p>
        </w:tc>
        <w:tc>
          <w:tcPr>
            <w:tcW w:type="dxa" w:w="941"/>
            <w:shd w:val="clear" w:color="auto" w:fill="DDEBF7"/>
          </w:tcPr>
          <w:p>
            <w:r>
              <w:rPr>
                <w:rFonts w:ascii="Meiryo UI" w:hAnsi="Meiryo UI"/>
                <w:sz w:val="18"/>
              </w:rPr>
              <w:t>+6%</w:t>
            </w:r>
          </w:p>
        </w:tc>
        <w:tc>
          <w:tcPr>
            <w:tcW w:type="dxa" w:w="941"/>
            <w:shd w:val="clear" w:color="auto" w:fill="DDEBF7"/>
          </w:tcPr>
          <w:p>
            <w:r>
              <w:rPr>
                <w:rFonts w:ascii="Meiryo UI" w:hAnsi="Meiryo UI"/>
                <w:sz w:val="18"/>
              </w:rPr>
              <w:t>19%</w:t>
            </w:r>
          </w:p>
        </w:tc>
        <w:tc>
          <w:tcPr>
            <w:tcW w:type="dxa" w:w="941"/>
            <w:shd w:val="clear" w:color="auto" w:fill="DDEBF7"/>
          </w:tcPr>
          <w:p>
            <w:r>
              <w:rPr>
                <w:rFonts w:ascii="Meiryo UI" w:hAnsi="Meiryo UI"/>
                <w:sz w:val="18"/>
              </w:rPr>
              <w:t>300</w:t>
            </w:r>
          </w:p>
        </w:tc>
        <w:tc>
          <w:tcPr>
            <w:tcW w:type="dxa" w:w="941"/>
            <w:shd w:val="clear" w:color="auto" w:fill="DDEBF7"/>
          </w:tcPr>
          <w:p>
            <w:r>
              <w:rPr>
                <w:rFonts w:ascii="Meiryo UI" w:hAnsi="Meiryo UI"/>
                <w:sz w:val="18"/>
              </w:rPr>
              <w:t>210</w:t>
            </w:r>
          </w:p>
        </w:tc>
        <w:tc>
          <w:tcPr>
            <w:tcW w:type="dxa" w:w="941"/>
            <w:shd w:val="clear" w:color="auto" w:fill="DDEBF7"/>
          </w:tcPr>
          <w:p>
            <w:r>
              <w:rPr>
                <w:rFonts w:ascii="Meiryo UI" w:hAnsi="Meiryo UI"/>
                <w:sz w:val="18"/>
              </w:rPr>
              <w:t>-10%</w:t>
            </w:r>
          </w:p>
        </w:tc>
        <w:tc>
          <w:tcPr>
            <w:tcW w:type="dxa" w:w="941"/>
            <w:shd w:val="clear" w:color="auto" w:fill="DDEBF7"/>
          </w:tcPr>
          <w:p>
            <w:r>
              <w:rPr>
                <w:rFonts w:ascii="Meiryo UI" w:hAnsi="Meiryo UI"/>
                <w:sz w:val="18"/>
              </w:rPr>
              <w:t>+209</w:t>
            </w:r>
          </w:p>
        </w:tc>
        <w:tc>
          <w:tcPr>
            <w:tcW w:type="dxa" w:w="941"/>
            <w:shd w:val="clear" w:color="auto" w:fill="DDEBF7"/>
          </w:tcPr>
          <w:p>
            <w:r>
              <w:rPr>
                <w:rFonts w:ascii="Meiryo UI" w:hAnsi="Meiryo UI"/>
                <w:sz w:val="18"/>
              </w:rPr>
              <w:t>0.378</w:t>
            </w:r>
          </w:p>
        </w:tc>
        <w:tc>
          <w:tcPr>
            <w:tcW w:type="dxa" w:w="941"/>
            <w:shd w:val="clear" w:color="auto" w:fill="DDEBF7"/>
          </w:tcPr>
          <w:p>
            <w:r>
              <w:rPr>
                <w:rFonts w:ascii="Meiryo UI" w:hAnsi="Meiryo UI"/>
                <w:sz w:val="18"/>
              </w:rPr>
              <w:t>+79</w:t>
            </w:r>
          </w:p>
        </w:tc>
      </w:tr>
      <w:tr>
        <w:tc>
          <w:tcPr>
            <w:tcW w:type="dxa" w:w="941"/>
          </w:tcPr>
          <w:p>
            <w:r>
              <w:rPr>
                <w:rFonts w:ascii="Meiryo UI" w:hAnsi="Meiryo UI"/>
                <w:sz w:val="18"/>
              </w:rPr>
              <w:t>PV合計（予測期間）</w:t>
            </w:r>
          </w:p>
        </w:tc>
        <w:tc>
          <w:tcPr>
            <w:tcW w:type="dxa" w:w="941"/>
          </w:tcPr>
          <w:p>
            <w:r>
              <w:rPr>
                <w:rFonts w:ascii="Meiryo UI" w:hAnsi="Meiryo UI"/>
                <w:sz w:val="18"/>
              </w:rPr>
            </w:r>
          </w:p>
        </w:tc>
        <w:tc>
          <w:tcPr>
            <w:tcW w:type="dxa" w:w="941"/>
          </w:tcPr>
          <w:p>
            <w:r>
              <w:rPr>
                <w:rFonts w:ascii="Meiryo UI" w:hAnsi="Meiryo UI"/>
                <w:sz w:val="18"/>
              </w:rPr>
            </w:r>
          </w:p>
        </w:tc>
        <w:tc>
          <w:tcPr>
            <w:tcW w:type="dxa" w:w="941"/>
          </w:tcPr>
          <w:p>
            <w:r>
              <w:rPr>
                <w:rFonts w:ascii="Meiryo UI" w:hAnsi="Meiryo UI"/>
                <w:sz w:val="18"/>
              </w:rPr>
            </w:r>
          </w:p>
        </w:tc>
        <w:tc>
          <w:tcPr>
            <w:tcW w:type="dxa" w:w="941"/>
          </w:tcPr>
          <w:p>
            <w:r>
              <w:rPr>
                <w:rFonts w:ascii="Meiryo UI" w:hAnsi="Meiryo UI"/>
                <w:sz w:val="18"/>
              </w:rPr>
            </w:r>
          </w:p>
        </w:tc>
        <w:tc>
          <w:tcPr>
            <w:tcW w:type="dxa" w:w="941"/>
          </w:tcPr>
          <w:p>
            <w:r>
              <w:rPr>
                <w:rFonts w:ascii="Meiryo UI" w:hAnsi="Meiryo UI"/>
                <w:sz w:val="18"/>
              </w:rPr>
            </w:r>
          </w:p>
        </w:tc>
        <w:tc>
          <w:tcPr>
            <w:tcW w:type="dxa" w:w="941"/>
          </w:tcPr>
          <w:p>
            <w:r>
              <w:rPr>
                <w:rFonts w:ascii="Meiryo UI" w:hAnsi="Meiryo UI"/>
                <w:sz w:val="18"/>
              </w:rPr>
            </w:r>
          </w:p>
        </w:tc>
        <w:tc>
          <w:tcPr>
            <w:tcW w:type="dxa" w:w="941"/>
          </w:tcPr>
          <w:p>
            <w:r>
              <w:rPr>
                <w:rFonts w:ascii="Meiryo UI" w:hAnsi="Meiryo UI"/>
                <w:sz w:val="18"/>
              </w:rPr>
            </w:r>
          </w:p>
        </w:tc>
        <w:tc>
          <w:tcPr>
            <w:tcW w:type="dxa" w:w="941"/>
          </w:tcPr>
          <w:p>
            <w:r>
              <w:rPr>
                <w:rFonts w:ascii="Meiryo UI" w:hAnsi="Meiryo UI"/>
                <w:sz w:val="18"/>
              </w:rPr>
            </w:r>
          </w:p>
        </w:tc>
        <w:tc>
          <w:tcPr>
            <w:tcW w:type="dxa" w:w="941"/>
          </w:tcPr>
          <w:p>
            <w:r>
              <w:rPr>
                <w:rFonts w:ascii="Meiryo UI" w:hAnsi="Meiryo UI"/>
                <w:sz w:val="18"/>
              </w:rPr>
              <w:t>+497</w:t>
            </w:r>
          </w:p>
        </w:tc>
      </w:tr>
    </w:tbl>
    <w:p/>
    <w:p>
      <w:pPr>
        <w:shd w:val="clear" w:color="auto" w:fill="F2F2F2"/>
      </w:pPr>
      <w:r>
        <w:rPr>
          <w:rFonts w:ascii="Courier New" w:hAnsi="Courier New"/>
          <w:sz w:val="16"/>
        </w:rPr>
        <w:t>ターミナルバリュー（TV）計算:</w:t>
        <w:br/>
        <w:t>FY2035 FCF = 209億円</w:t>
        <w:br/>
        <w:t>TV = FCF × (1+g) / (WACC - g)</w:t>
        <w:br/>
        <w:t xml:space="preserve">   = 209 × 1.02 / (10.2% - 2.0%)</w:t>
        <w:br/>
        <w:t xml:space="preserve">   = 213.2 / 8.2%</w:t>
        <w:br/>
        <w:t xml:space="preserve">   = 2,600億円</w:t>
        <w:br/>
        <w:br/>
        <w:t>PV of TV = 2,600 × 0.378 = 982億円</w:t>
      </w:r>
    </w:p>
    <w:p/>
    <w:p>
      <w:pPr>
        <w:pStyle w:val="Heading3"/>
      </w:pPr>
      <w:r>
        <w:rPr>
          <w:rFonts w:ascii="Meiryo UI" w:hAnsi="Meiryo UI"/>
          <w:color w:val="2E74B5"/>
        </w:rPr>
        <w:t>4-4. 企業価値（EV）・株式価値算出</w:t>
      </w:r>
    </w:p>
    <w:p/>
    <w:p>
      <w:pPr>
        <w:shd w:val="clear" w:color="auto" w:fill="F2F2F2"/>
      </w:pPr>
      <w:r>
        <w:rPr>
          <w:rFonts w:ascii="Courier New" w:hAnsi="Courier New"/>
          <w:sz w:val="16"/>
        </w:rPr>
        <w:t>企業価値（EV）計算:</w:t>
        <w:br/>
        <w:t>EV = PV（FCF予測期間） + PV（ターミナルバリュー）</w:t>
        <w:br/>
        <w:t xml:space="preserve">   = 497億円 + 982億円</w:t>
        <w:br/>
        <w:t xml:space="preserve">   = 1,479億円</w:t>
        <w:br/>
        <w:br/>
        <w:t>株式価値算出:</w:t>
        <w:br/>
        <w:t>株式価値 = EV - ネットデット</w:t>
        <w:br/>
        <w:t xml:space="preserve">         = 1,479億円 - 160億円</w:t>
        <w:br/>
        <w:t xml:space="preserve">         = 1,319億円</w:t>
        <w:br/>
        <w:br/>
        <w:t>理論株価（ベースケース）:</w:t>
        <w:br/>
        <w:t>= 株式価値 / 発行済株式数</w:t>
        <w:br/>
        <w:t>= 1,319億円 / 1.1億株</w:t>
        <w:br/>
        <w:t>= 1,199円/株 ≈ 1,200円</w:t>
        <w:br/>
        <w:br/>
        <w:t>【重要注記】:</w:t>
        <w:br/>
        <w:t>DCFは感応度が高く、上記は公開情報ベースの推計。</w:t>
        <w:br/>
        <w:t>実際の財務数値・成長率の確認により大幅に変動する可能性あり。</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理論株価サマリー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ケース</w:t>
            </w:r>
          </w:p>
        </w:tc>
        <w:tc>
          <w:tcPr>
            <w:tcW w:type="dxa" w:w="3135"/>
            <w:shd w:val="clear" w:color="auto" w:fill="2E74B5"/>
          </w:tcPr>
          <w:p>
            <w:r>
              <w:rPr>
                <w:rFonts w:ascii="Meiryo UI" w:hAnsi="Meiryo UI"/>
                <w:b/>
                <w:color w:val="FFFFFF"/>
                <w:sz w:val="18"/>
              </w:rPr>
              <w:t>理論株価（JPY）</w:t>
            </w:r>
          </w:p>
        </w:tc>
        <w:tc>
          <w:tcPr>
            <w:tcW w:type="dxa" w:w="3135"/>
            <w:shd w:val="clear" w:color="auto" w:fill="2E74B5"/>
          </w:tcPr>
          <w:p>
            <w:r>
              <w:rPr>
                <w:rFonts w:ascii="Meiryo UI" w:hAnsi="Meiryo UI"/>
                <w:b/>
                <w:color w:val="FFFFFF"/>
                <w:sz w:val="18"/>
              </w:rPr>
              <w:t>前提</w:t>
            </w:r>
          </w:p>
        </w:tc>
      </w:tr>
      <w:tr>
        <w:tc>
          <w:tcPr>
            <w:tcW w:type="dxa" w:w="3135"/>
          </w:tcPr>
          <w:p>
            <w:r>
              <w:rPr>
                <w:rFonts w:ascii="Meiryo UI" w:hAnsi="Meiryo UI"/>
                <w:sz w:val="18"/>
              </w:rPr>
              <w:t>強気ケース</w:t>
            </w:r>
          </w:p>
        </w:tc>
        <w:tc>
          <w:tcPr>
            <w:tcW w:type="dxa" w:w="3135"/>
          </w:tcPr>
          <w:p>
            <w:r>
              <w:rPr>
                <w:rFonts w:ascii="Meiryo UI" w:hAnsi="Meiryo UI"/>
                <w:sz w:val="18"/>
              </w:rPr>
              <w:t>2,200〜2,600円</w:t>
            </w:r>
          </w:p>
        </w:tc>
        <w:tc>
          <w:tcPr>
            <w:tcW w:type="dxa" w:w="3135"/>
          </w:tcPr>
          <w:p>
            <w:r>
              <w:rPr>
                <w:rFonts w:ascii="Meiryo UI" w:hAnsi="Meiryo UI"/>
                <w:sz w:val="18"/>
              </w:rPr>
              <w:t>高成長持続・政府クラウド拡大</w:t>
            </w:r>
          </w:p>
        </w:tc>
      </w:tr>
      <w:tr>
        <w:tc>
          <w:tcPr>
            <w:tcW w:type="dxa" w:w="3135"/>
            <w:shd w:val="clear" w:color="auto" w:fill="DDEBF7"/>
          </w:tcPr>
          <w:p>
            <w:r>
              <w:rPr>
                <w:rFonts w:ascii="Meiryo UI" w:hAnsi="Meiryo UI"/>
                <w:sz w:val="18"/>
              </w:rPr>
              <w:t>ベースケース</w:t>
            </w:r>
          </w:p>
        </w:tc>
        <w:tc>
          <w:tcPr>
            <w:tcW w:type="dxa" w:w="3135"/>
            <w:shd w:val="clear" w:color="auto" w:fill="DDEBF7"/>
          </w:tcPr>
          <w:p>
            <w:r>
              <w:rPr>
                <w:rFonts w:ascii="Meiryo UI" w:hAnsi="Meiryo UI"/>
                <w:sz w:val="18"/>
              </w:rPr>
              <w:t>1,100〜1,400円</w:t>
            </w:r>
          </w:p>
        </w:tc>
        <w:tc>
          <w:tcPr>
            <w:tcW w:type="dxa" w:w="3135"/>
            <w:shd w:val="clear" w:color="auto" w:fill="DDEBF7"/>
          </w:tcPr>
          <w:p>
            <w:r>
              <w:rPr>
                <w:rFonts w:ascii="Meiryo UI" w:hAnsi="Meiryo UI"/>
                <w:sz w:val="18"/>
              </w:rPr>
              <w:t>標準的成長・WACC=10.2%</w:t>
            </w:r>
          </w:p>
        </w:tc>
      </w:tr>
      <w:tr>
        <w:tc>
          <w:tcPr>
            <w:tcW w:type="dxa" w:w="3135"/>
          </w:tcPr>
          <w:p>
            <w:r>
              <w:rPr>
                <w:rFonts w:ascii="Meiryo UI" w:hAnsi="Meiryo UI"/>
                <w:sz w:val="18"/>
              </w:rPr>
              <w:t>弱気ケース</w:t>
            </w:r>
          </w:p>
        </w:tc>
        <w:tc>
          <w:tcPr>
            <w:tcW w:type="dxa" w:w="3135"/>
          </w:tcPr>
          <w:p>
            <w:r>
              <w:rPr>
                <w:rFonts w:ascii="Meiryo UI" w:hAnsi="Meiryo UI"/>
                <w:sz w:val="18"/>
              </w:rPr>
              <w:t>500〜800円</w:t>
            </w:r>
          </w:p>
        </w:tc>
        <w:tc>
          <w:tcPr>
            <w:tcW w:type="dxa" w:w="3135"/>
          </w:tcPr>
          <w:p>
            <w:r>
              <w:rPr>
                <w:rFonts w:ascii="Meiryo UI" w:hAnsi="Meiryo UI"/>
                <w:sz w:val="18"/>
              </w:rPr>
              <w:t>成長鈍化・政府クラウドリスク顕在化</w:t>
            </w:r>
          </w:p>
        </w:tc>
      </w:tr>
    </w:tbl>
    <w:p/>
    <w:p>
      <w:pPr>
        <w:pStyle w:val="Heading3"/>
      </w:pPr>
      <w:r>
        <w:rPr>
          <w:rFonts w:ascii="Meiryo UI" w:hAnsi="Meiryo UI"/>
          <w:color w:val="2E74B5"/>
        </w:rPr>
        <w:t>5-2. 安全域（Margin of Safety）分析</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