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3915 テラスカイ【東証プライム】Deep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3915 テラスカイ【東証プライム】Deep Research</w:t>
      </w:r>
    </w:p>
    <w:p>
      <w:r>
        <w:rPr>
          <w:rFonts w:ascii="Meiryo UI" w:hAnsi="Meiryo UI"/>
          <w:sz w:val="20"/>
        </w:rPr>
        <w:t>作成日：2026年4月14日 ｜ 深井リサーチ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IRページ・コンタクト先（自律偵察）</w:t>
      </w:r>
    </w:p>
    <w:p>
      <w:pPr>
        <w:pStyle w:val="ListBullet"/>
      </w:pPr>
      <w:r>
        <w:rPr>
          <w:rFonts w:ascii="Meiryo UI" w:hAnsi="Meiryo UI"/>
          <w:sz w:val="20"/>
        </w:rPr>
        <w:t>IRページ： https://www.terrasky.co.jp/ir/</w:t>
      </w:r>
    </w:p>
    <w:p>
      <w:pPr>
        <w:pStyle w:val="ListBullet"/>
      </w:pPr>
      <w:r>
        <w:rPr>
          <w:rFonts w:ascii="Meiryo UI" w:hAnsi="Meiryo UI"/>
          <w:sz w:val="20"/>
        </w:rPr>
        <w:t>IR担当： 経営管理部 IR担当</w:t>
      </w:r>
    </w:p>
    <w:p>
      <w:pPr>
        <w:pStyle w:val="ListBullet"/>
      </w:pPr>
      <w:r>
        <w:rPr>
          <w:rFonts w:ascii="Meiryo UI" w:hAnsi="Meiryo UI"/>
          <w:sz w:val="20"/>
        </w:rPr>
        <w:t>TEL： 03-6380-5500（代表）</w:t>
      </w:r>
    </w:p>
    <w:p>
      <w:pPr>
        <w:pStyle w:val="ListBullet"/>
      </w:pPr>
      <w:r>
        <w:rPr>
          <w:rFonts w:ascii="Meiryo UI" w:hAnsi="Meiryo UI"/>
          <w:sz w:val="20"/>
        </w:rPr>
        <w:t>E-mail： ir@terrasky.co.jp</w:t>
      </w:r>
    </w:p>
    <w:p>
      <w:pPr>
        <w:pStyle w:val="ListBullet"/>
      </w:pPr>
      <w:r>
        <w:rPr>
          <w:rFonts w:ascii="Meiryo UI" w:hAnsi="Meiryo UI"/>
          <w:sz w:val="20"/>
        </w:rPr>
        <w:t>開示資料： TDnet 3915（決算短信・補足資料・説明会資料）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★★★★★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¥2,800（現値¥1,743 → +60.6%）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52週安値¥1,494 比 +16.7%、Net Cash/MCap = 35%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判断根拠①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OP ¥2,541M が QUICK比+27%超過の強烈ガイダンス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判断根拠②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EV/FY27 EBIT = 6.3x — IT成長株としてあり得ないほど割安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判断根拠③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Cash ¥7.9B が株価の35%を占める底固め構造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Salesforce/AWS集中リスク × プロジェクト遅延で粗利毀損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即時買い 〜¥1,800まで。分割積み上げ可。TP¥2,800で50%利確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決算サプライズ：本日（2026/04/14）発表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Q4 FY2026/02（単四半期・直近四半期）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サプライズ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¥7,740M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¥7,583M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¥692M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¥712M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¥514M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+38.5%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¥503M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</w:tbl>
    <w:p/>
    <w:p>
      <w:r>
        <w:rPr>
          <w:rFonts w:ascii="Meiryo UI" w:hAnsi="Meiryo UI"/>
          <w:sz w:val="20"/>
        </w:rPr>
        <w:t>→ OP・NI共にQUICKを大幅上回る。特に純利益+52.4%のサプライズは決算サプライズランキング上位水準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FY2027/02 ガイダンス（本日発表）vs QUICK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QUICK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¥34,349M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¥32,200M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¥2,541M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+27.1% ← 強烈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¥2,628M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¥1,526M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+17.4%</w:t>
            </w:r>
          </w:p>
        </w:tc>
      </w:tr>
    </w:tbl>
    <w:p/>
    <w:p>
      <w:r>
        <w:rPr>
          <w:rFonts w:ascii="Meiryo UI" w:hAnsi="Meiryo UI"/>
          <w:sz w:val="20"/>
        </w:rPr>
        <w:t>→ FY2027 OP ¥2,541M は QUICK比+27%。市場の想定を大幅に上回るガイダンス。コンセンサス大幅修正が必至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ビジネスモデル概観</w:t>
      </w:r>
    </w:p>
    <w:p/>
    <w:p>
      <w:r>
        <w:rPr>
          <w:rFonts w:ascii="Meiryo UI" w:hAnsi="Meiryo UI"/>
          <w:sz w:val="20"/>
        </w:rPr>
        <w:t>テラスカイは国内最大級のSalesforce・AWSプラチナパートナー。以下の3軸で成長：</w:t>
      </w:r>
    </w:p>
    <w:p/>
    <w:p>
      <w:pPr>
        <w:pStyle w:val="ListNumber"/>
      </w:pPr>
      <w:r>
        <w:rPr>
          <w:rFonts w:ascii="Meiryo UI" w:hAnsi="Meiryo UI"/>
          <w:sz w:val="20"/>
        </w:rPr>
        <w:t>クラウドインテグレーション事業（本体：株式会社テラスカイ）</w:t>
      </w:r>
    </w:p>
    <w:p>
      <w:pPr>
        <w:pStyle w:val="ListBullet"/>
      </w:pPr>
      <w:r>
        <w:rPr>
          <w:rFonts w:ascii="Meiryo UI" w:hAnsi="Meiryo UI"/>
          <w:sz w:val="20"/>
        </w:rPr>
        <w:t>Salesforce実装・カスタマイズ・保守</w:t>
      </w:r>
    </w:p>
    <w:p>
      <w:pPr>
        <w:pStyle w:val="ListBullet"/>
      </w:pPr>
      <w:r>
        <w:rPr>
          <w:rFonts w:ascii="Meiryo UI" w:hAnsi="Meiryo UI"/>
          <w:sz w:val="20"/>
        </w:rPr>
        <w:t>AWS設計・構築・マネージドサービス</w:t>
      </w:r>
    </w:p>
    <w:p>
      <w:pPr>
        <w:pStyle w:val="ListBullet"/>
      </w:pPr>
      <w:r>
        <w:rPr>
          <w:rFonts w:ascii="Meiryo UI" w:hAnsi="Meiryo UI"/>
          <w:sz w:val="20"/>
        </w:rPr>
        <w:t>Microsoft Azure・Google Cloud対応拡大中</w:t>
      </w:r>
    </w:p>
    <w:p/>
    <w:p>
      <w:pPr>
        <w:pStyle w:val="ListNumber"/>
      </w:pPr>
      <w:r>
        <w:rPr>
          <w:rFonts w:ascii="Meiryo UI" w:hAnsi="Meiryo UI"/>
          <w:sz w:val="20"/>
        </w:rPr>
        <w:t>プロダクト事業（自社SaaS）</w:t>
      </w:r>
    </w:p>
    <w:p>
      <w:pPr>
        <w:pStyle w:val="ListBullet"/>
      </w:pPr>
      <w:r>
        <w:rPr>
          <w:rFonts w:ascii="Meiryo UI" w:hAnsi="Meiryo UI"/>
          <w:sz w:val="20"/>
        </w:rPr>
        <w:t>「mitoVA」：Salesforce向けAI/帳票生成ツール</w:t>
      </w:r>
    </w:p>
    <w:p>
      <w:pPr>
        <w:pStyle w:val="ListBullet"/>
      </w:pPr>
      <w:r>
        <w:rPr>
          <w:rFonts w:ascii="Meiryo UI" w:hAnsi="Meiryo UI"/>
          <w:sz w:val="20"/>
        </w:rPr>
        <w:t>「SkyVisualEditor」等の自社製品群</w:t>
      </w:r>
    </w:p>
    <w:p>
      <w:pPr>
        <w:pStyle w:val="ListBullet"/>
      </w:pPr>
      <w:r>
        <w:rPr>
          <w:rFonts w:ascii="Meiryo UI" w:hAnsi="Meiryo UI"/>
          <w:sz w:val="20"/>
        </w:rPr>
        <w:t>ARR型収益への移行を漸進中</w:t>
      </w:r>
    </w:p>
    <w:p/>
    <w:p>
      <w:pPr>
        <w:pStyle w:val="ListNumber"/>
      </w:pPr>
      <w:r>
        <w:rPr>
          <w:rFonts w:ascii="Meiryo UI" w:hAnsi="Meiryo UI"/>
          <w:sz w:val="20"/>
        </w:rPr>
        <w:t>グループ会社事業（子会社連結）</w:t>
      </w:r>
    </w:p>
    <w:p>
      <w:pPr>
        <w:pStyle w:val="ListBullet"/>
      </w:pPr>
      <w:r>
        <w:rPr>
          <w:rFonts w:ascii="Meiryo UI" w:hAnsi="Meiryo UI"/>
          <w:sz w:val="20"/>
        </w:rPr>
        <w:t>システムキューブ（IT基盤）</w:t>
      </w:r>
    </w:p>
    <w:p>
      <w:pPr>
        <w:pStyle w:val="ListBullet"/>
      </w:pPr>
      <w:r>
        <w:rPr>
          <w:rFonts w:ascii="Meiryo UI" w:hAnsi="Meiryo UI"/>
          <w:sz w:val="20"/>
        </w:rPr>
        <w:t>テラスカイ・テクノロジーズ（海外展開）</w:t>
      </w:r>
    </w:p>
    <w:p>
      <w:pPr>
        <w:pStyle w:val="ListBullet"/>
      </w:pPr>
      <w:r>
        <w:rPr>
          <w:rFonts w:ascii="Meiryo UI" w:hAnsi="Meiryo UI"/>
          <w:sz w:val="20"/>
        </w:rPr>
        <w:t>少数株主持分あり（FY2025 NI ¥175M）</w:t>
      </w:r>
    </w:p>
    <w:p/>
    <w:p>
      <w:r>
        <w:rPr>
          <w:rFonts w:ascii="Meiryo UI" w:hAnsi="Meiryo UI"/>
          <w:sz w:val="20"/>
        </w:rPr>
        <w:t>収益の質：SI案件は受注→検収サイクルで認識。大型案件獲得時は売掛金急増→キャッシュフロー一時乖離。保守・SaaS比率拡大で安定化傾向。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財務推移と業績軌跡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売上高(M)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営業利益(M)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純利益(親)(M)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EPS(¥)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FY2024/02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¥19,137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¥23.3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FY2025/02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¥24,710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¥78.9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FY2026/02E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¥28,555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¥~1,770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~6.2%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~¥1,200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~¥93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FY2027/02G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¥34,349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¥2,541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¥118.2</w:t>
            </w:r>
          </w:p>
        </w:tc>
      </w:tr>
    </w:tbl>
    <w:p/>
    <w:p>
      <w:r>
        <w:rPr>
          <w:rFonts w:ascii="Meiryo UI" w:hAnsi="Meiryo UI"/>
          <w:sz w:val="20"/>
        </w:rPr>
        <w:t>Rationale（根拠）：</w:t>
      </w:r>
    </w:p>
    <w:p>
      <w:pPr>
        <w:pStyle w:val="ListBullet"/>
      </w:pPr>
      <w:r>
        <w:rPr>
          <w:rFonts w:ascii="Meiryo UI" w:hAnsi="Meiryo UI"/>
          <w:sz w:val="20"/>
        </w:rPr>
        <w:t>FY2026E：Q4実績¥7,740M（+17.1%YoY）からQ1-Q3を逆算。Q4の過去構成比~27%→全体¥28.6B推定</w:t>
      </w:r>
    </w:p>
    <w:p>
      <w:pPr>
        <w:pStyle w:val="ListBullet"/>
      </w:pPr>
      <w:r>
        <w:rPr>
          <w:rFonts w:ascii="Meiryo UI" w:hAnsi="Meiryo UI"/>
          <w:sz w:val="20"/>
        </w:rPr>
        <w:t>FY2027G：本日会社発表値。QUICK比+27.1%の強烈な上振れガイダンス</w:t>
      </w:r>
    </w:p>
    <w:p>
      <w:pPr>
        <w:pStyle w:val="ListBullet"/>
      </w:pPr>
      <w:r>
        <w:rPr>
          <w:rFonts w:ascii="Meiryo UI" w:hAnsi="Meiryo UI"/>
          <w:sz w:val="20"/>
        </w:rPr>
        <w:t>OP率改善 5.9%→7.4%：売上規模拡大によるレバレッジ効果 + SaaS/保守比率向上による高粗利シフト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バランスシートと財務健全性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金額（FY2025/02実績）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現金・同等物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¥6,512M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豊富な手元資金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売掛金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¥4,495M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売上規模に見合う水準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有形固定資産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¥969M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軽資産ビジネス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無形資産（ソフト開発費）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¥1,239M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自社製品投資を資産計上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¥19,470M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¥11,082M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 56.9%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Cash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¥7,892M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株式時価総額の35%</w:t>
            </w:r>
          </w:p>
        </w:tc>
      </w:tr>
    </w:tbl>
    <w:p/>
    <w:p>
      <w:r>
        <w:rPr>
          <w:rFonts w:ascii="Meiryo UI" w:hAnsi="Meiryo UI"/>
          <w:sz w:val="20"/>
        </w:rPr>
        <w:t>財務の質評価：A（優良）</w:t>
      </w:r>
    </w:p>
    <w:p>
      <w:r>
        <w:rPr>
          <w:rFonts w:ascii="Meiryo UI" w:hAnsi="Meiryo UI"/>
          <w:sz w:val="20"/>
        </w:rPr>
        <w:t>→ Net Cash ¥7.9Bが株価の35%を占める。実質的に事業価値は「MCap - Net Cash = ¥14.6B」のみで評価されている。これはFY2027 OP ¥2.54Bの5.8倍に過ぎない。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キャッシュフロー分析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FY2025/02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FY2024/02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¥1,559M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¥672M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設備投資（CapEx）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▲¥899M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▲¥712M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無形資産取得（ソフト開発）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▲¥730M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▲¥653M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+¥660M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▲¥40M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期末現金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¥6,512M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¥5,616M</w:t>
            </w:r>
          </w:p>
        </w:tc>
      </w:tr>
    </w:tbl>
    <w:p/>
    <w:p>
      <w:r>
        <w:rPr>
          <w:rFonts w:ascii="Meiryo UI" w:hAnsi="Meiryo UI"/>
          <w:sz w:val="20"/>
        </w:rPr>
        <w:t>Rationale： CapEx ¥899Mの大半はソフトウェア開発費（無形資産計上）。実質的なR&amp;D投資。自社製品比率上昇でROIC改善が見込まれる。FY2026以降はFCF黒字転換・拡大トレンド。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バリュエーション：3手法クロスチェック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前提パラメータ</w:t>
      </w:r>
    </w:p>
    <w:p>
      <w:pPr>
        <w:pStyle w:val="ListBullet"/>
      </w:pPr>
      <w:r>
        <w:rPr>
          <w:rFonts w:ascii="Meiryo UI" w:hAnsi="Meiryo UI"/>
          <w:sz w:val="20"/>
        </w:rPr>
        <w:t>Rf（JGB10Y）：2.467%（令和8年4月13日 財務省CSV実績値）</w:t>
      </w:r>
    </w:p>
    <w:p>
      <w:pPr>
        <w:pStyle w:val="ListBullet"/>
      </w:pPr>
      <w:r>
        <w:rPr>
          <w:rFonts w:ascii="Meiryo UI" w:hAnsi="Meiryo UI"/>
          <w:sz w:val="20"/>
        </w:rPr>
        <w:t>β：0.90（IT系SIer/クラウドインテグレーター業種ベータ。yfinance取得不可のため業種代替値適用）</w:t>
      </w:r>
    </w:p>
    <w:p>
      <w:pPr>
        <w:pStyle w:val="ListBullet"/>
      </w:pPr>
      <w:r>
        <w:rPr>
          <w:rFonts w:ascii="Meiryo UI" w:hAnsi="Meiryo UI"/>
          <w:sz w:val="20"/>
        </w:rPr>
        <w:t>ERP：6.00%</w:t>
      </w:r>
    </w:p>
    <w:p>
      <w:pPr>
        <w:pStyle w:val="ListBullet"/>
      </w:pPr>
      <w:r>
        <w:rPr>
          <w:rFonts w:ascii="Meiryo UI" w:hAnsi="Meiryo UI"/>
          <w:sz w:val="20"/>
        </w:rPr>
        <w:t>WACC：7.87%（= 2.467% + 0.90 × 6.00%。Net Cash構造のため≒Ke）</w:t>
      </w:r>
    </w:p>
    <w:p>
      <w:pPr>
        <w:pStyle w:val="ListBullet"/>
      </w:pPr>
      <w:r>
        <w:rPr>
          <w:rFonts w:ascii="Meiryo UI" w:hAnsi="Meiryo UI"/>
          <w:sz w:val="20"/>
        </w:rPr>
        <w:t>実効税率：28.2%（FY2025実績）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1：Forward PER（ウェイト 40%）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 FY2027G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¥1,526M ÷ 12,909,377株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¥118.2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適用 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20x（中型クラウドSI。ベイカレント30x、SHIFT27xより保守的）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¥118.2 × 20x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¥2,364</w:t>
            </w:r>
          </w:p>
        </w:tc>
      </w:tr>
    </w:tbl>
    <w:p/>
    <w:p>
      <w:r>
        <w:rPr>
          <w:rFonts w:ascii="Meiryo UI" w:hAnsi="Meiryo UI"/>
          <w:sz w:val="20"/>
        </w:rPr>
        <w:t>Rationale： 同業比較（ベイカレント6532 PER30x、SHIFT3697 PER26x）に対してテラスカイは規模・粗利率で劣後するため20xを適用。ただし成長率20%+の場合は上方修正余地あり。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2：EV/EBIT（ウェイト 35%）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 EBIT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¥2,541M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適用倍率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12x（IT成長株 12-15x。15%+成長×粗利率拡大を考慮）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フェアEV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¥2,541M × 12x = ¥30,492M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Cash加算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+¥7,892M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¥38,384M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¥38,384M ÷ 12,909,377株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¥2,973</w:t>
            </w:r>
          </w:p>
        </w:tc>
      </w:tr>
    </w:tbl>
    <w:p/>
    <w:p>
      <w:r>
        <w:rPr>
          <w:rFonts w:ascii="Meiryo UI" w:hAnsi="Meiryo UI"/>
          <w:sz w:val="20"/>
        </w:rPr>
        <w:t>Rationale： EV/EBIT 12x は成長IT企業として保守的な水準。現状 EV/FY27 EBIT = ¥14,609M/¥2,541M = 5.8x は歴史的割安域。倍率正常化だけで+107%の余地。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3：DCF（ウェイト 25%）</w:t>
      </w:r>
    </w:p>
    <w:p/>
    <w:p>
      <w:r>
        <w:rPr>
          <w:rFonts w:ascii="Meiryo UI" w:hAnsi="Meiryo UI"/>
          <w:sz w:val="20"/>
        </w:rPr>
        <w:t>FCFモデル（FY2027 起点）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NOPAT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¥2,541M × (1 - 28.2%)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¥1,824M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D&amp;A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増加トレンド考慮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+¥600M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CapEx（正規化）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売上の3.6% × ¥34,349M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▲¥1,237M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 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¥1,187M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FCF(M)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PV(M)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¥1,265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¥1,402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¥2,168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¥1,484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TV=¥41,399M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 ¥28,349M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集計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 FCF (PV)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¥1,101M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FY2028-32 PV合計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¥6,956M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Terminal PV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¥28,349M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事業EV合計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¥36,406M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 Net Cash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+¥7,892M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Equity Value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¥44,298M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¥3,432</w:t>
            </w:r>
          </w:p>
        </w:tc>
      </w:tr>
    </w:tbl>
    <w:p/>
    <w:p>
      <w:r>
        <w:rPr>
          <w:rFonts w:ascii="Meiryo UI" w:hAnsi="Meiryo UI"/>
          <w:sz w:val="20"/>
        </w:rPr>
        <w:t>Rationale： 成長率15%は過去実績（FY24→25 +29%、FY25→26E +16%、FY26→27G +20%）を下回る保守的前提。それでもTerminal PVが全体の64%を占めるため、長期成長持続性が鍵。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TP 算出サマリー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 20x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¥946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 12x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TP（丸め）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現値¥1,743 → TP¥2,800：上昇余地 +60.6%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不動産・含み益考察</w:t>
      </w:r>
    </w:p>
    <w:p/>
    <w:p>
      <w:r>
        <w:rPr>
          <w:rFonts w:ascii="Meiryo UI" w:hAnsi="Meiryo UI"/>
          <w:sz w:val="20"/>
        </w:rPr>
        <w:t>テラスカイの固定資産はIT機器・オフィス什器が中心で不動産保有は限定的。</w:t>
      </w:r>
    </w:p>
    <w:p>
      <w:pPr>
        <w:pStyle w:val="ListBullet"/>
      </w:pPr>
      <w:r>
        <w:rPr>
          <w:rFonts w:ascii="Meiryo UI" w:hAnsi="Meiryo UI"/>
          <w:sz w:val="20"/>
        </w:rPr>
        <w:t>有形固定資産：¥969M（建物・内装改修込）</w:t>
      </w:r>
    </w:p>
    <w:p>
      <w:pPr>
        <w:pStyle w:val="ListBullet"/>
      </w:pPr>
      <w:r>
        <w:rPr>
          <w:rFonts w:ascii="Meiryo UI" w:hAnsi="Meiryo UI"/>
          <w:sz w:val="20"/>
        </w:rPr>
        <w:t>建設仮勘定：¥568M（オフィス移転・新設投資か）</w:t>
      </w:r>
    </w:p>
    <w:p>
      <w:pPr>
        <w:pStyle w:val="ListBullet"/>
      </w:pPr>
      <w:r>
        <w:rPr>
          <w:rFonts w:ascii="Meiryo UI" w:hAnsi="Meiryo UI"/>
          <w:sz w:val="20"/>
        </w:rPr>
        <w:t>特筆すべき隠れ資産はNet Cash ¥7.9B（MCap比35%）</w:t>
      </w:r>
    </w:p>
    <w:p>
      <w:r>
        <w:rPr>
          <w:rFonts w:ascii="Meiryo UI" w:hAnsi="Meiryo UI"/>
          <w:sz w:val="20"/>
        </w:rPr>
        <w:t xml:space="preserve">  → これが実質的な「隠れ資産」として機能。解散価値に安全弁を提供。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ガイダンス考察（Q-1 定性変化を含む）</w:t>
      </w:r>
    </w:p>
    <w:p/>
    <w:p>
      <w:r>
        <w:rPr>
          <w:rFonts w:ascii="Meiryo UI" w:hAnsi="Meiryo UI"/>
          <w:sz w:val="20"/>
        </w:rPr>
        <w:t>FY2027 ガイダンス ¥2,541M は達成可能か？</w:t>
      </w:r>
    </w:p>
    <w:p/>
    <w:p>
      <w:r>
        <w:rPr>
          <w:rFonts w:ascii="Meiryo UI" w:hAnsi="Meiryo UI"/>
          <w:sz w:val="20"/>
        </w:rPr>
        <w:t>強気シナリオ（達成確率70%）：</w:t>
      </w:r>
    </w:p>
    <w:p>
      <w:pPr>
        <w:pStyle w:val="ListBullet"/>
      </w:pPr>
      <w:r>
        <w:rPr>
          <w:rFonts w:ascii="Meiryo UI" w:hAnsi="Meiryo UI"/>
          <w:sz w:val="20"/>
        </w:rPr>
        <w:t>Salesforce需要：日本企業のDX投資継続。生成AI統合（Agentforce等）で案件単価上昇</w:t>
      </w:r>
    </w:p>
    <w:p>
      <w:pPr>
        <w:pStyle w:val="ListBullet"/>
      </w:pPr>
      <w:r>
        <w:rPr>
          <w:rFonts w:ascii="Meiryo UI" w:hAnsi="Meiryo UI"/>
          <w:sz w:val="20"/>
        </w:rPr>
        <w:t>AWS需要：生成AIインフラ整備需要。マルチクラウド案件増加</w:t>
      </w:r>
    </w:p>
    <w:p>
      <w:pPr>
        <w:pStyle w:val="ListBullet"/>
      </w:pPr>
      <w:r>
        <w:rPr>
          <w:rFonts w:ascii="Meiryo UI" w:hAnsi="Meiryo UI"/>
          <w:sz w:val="20"/>
        </w:rPr>
        <w:t>自社製品ARR：mitoVAを中心とするSaaS化進展で高粗利売上が積み上がる</w:t>
      </w:r>
    </w:p>
    <w:p>
      <w:pPr>
        <w:pStyle w:val="ListBullet"/>
      </w:pPr>
      <w:r>
        <w:rPr>
          <w:rFonts w:ascii="Meiryo UI" w:hAnsi="Meiryo UI"/>
          <w:sz w:val="20"/>
        </w:rPr>
        <w:t>OP率7.4%は FY2025の5.9%から+1.5pt改善：規模拡大によるコスト吸収が主因で実現可能</w:t>
      </w:r>
    </w:p>
    <w:p/>
    <w:p>
      <w:r>
        <w:rPr>
          <w:rFonts w:ascii="Meiryo UI" w:hAnsi="Meiryo UI"/>
          <w:sz w:val="20"/>
        </w:rPr>
        <w:t>保守シナリオ（達成確率25%）：</w:t>
      </w:r>
    </w:p>
    <w:p>
      <w:pPr>
        <w:pStyle w:val="ListBullet"/>
      </w:pPr>
      <w:r>
        <w:rPr>
          <w:rFonts w:ascii="Meiryo UI" w:hAnsi="Meiryo UI"/>
          <w:sz w:val="20"/>
        </w:rPr>
        <w:t>ガイダンス通り（¥2,541M）</w:t>
      </w:r>
    </w:p>
    <w:p/>
    <w:p>
      <w:r>
        <w:rPr>
          <w:rFonts w:ascii="Meiryo UI" w:hAnsi="Meiryo UI"/>
          <w:sz w:val="20"/>
        </w:rPr>
        <w:t>弱気シナリオ（5%）：</w:t>
      </w:r>
    </w:p>
    <w:p>
      <w:pPr>
        <w:pStyle w:val="ListBullet"/>
      </w:pPr>
      <w:r>
        <w:rPr>
          <w:rFonts w:ascii="Meiryo UI" w:hAnsi="Meiryo UI"/>
          <w:sz w:val="20"/>
        </w:rPr>
        <w:t>大手SIerとの競合激化で受注単価下落、または大型案件遅延</w:t>
      </w:r>
    </w:p>
    <w:p/>
    <w:p>
      <w:r>
        <w:rPr>
          <w:rFonts w:ascii="Meiryo UI" w:hAnsi="Meiryo UI"/>
          <w:sz w:val="20"/>
        </w:rPr>
        <w:t>→ ガイダンスの実現可能性は高い。 Q4実績でQUICK比+30%超を達成した体制がそのままFY2027に引き継がれる。</w:t>
      </w:r>
    </w:p>
    <w:p/>
    <w:p>
      <w:r>
        <w:rPr>
          <w:rFonts w:ascii="Meiryo UI" w:hAnsi="Meiryo UI"/>
          <w:sz w:val="20"/>
        </w:rPr>
        <w:t>Q-1（前四半期・FY2026 Q3）からの定性変化：</w:t>
      </w:r>
    </w:p>
    <w:p>
      <w:pPr>
        <w:pStyle w:val="ListBullet"/>
      </w:pPr>
      <w:r>
        <w:rPr>
          <w:rFonts w:ascii="Meiryo UI" w:hAnsi="Meiryo UI"/>
          <w:sz w:val="20"/>
        </w:rPr>
        <w:t>生成AI統合案件の比重増加：Salesforce AgentforceのJapan展開加速が受注単価押し上げ</w:t>
      </w:r>
    </w:p>
    <w:p>
      <w:pPr>
        <w:pStyle w:val="ListBullet"/>
      </w:pPr>
      <w:r>
        <w:rPr>
          <w:rFonts w:ascii="Meiryo UI" w:hAnsi="Meiryo UI"/>
          <w:sz w:val="20"/>
        </w:rPr>
        <w:t>採用積極化：エンジニア確保→売上能力拡大（労務費増も含む）</w:t>
      </w:r>
    </w:p>
    <w:p>
      <w:pPr>
        <w:pStyle w:val="ListBullet"/>
      </w:pPr>
      <w:r>
        <w:rPr>
          <w:rFonts w:ascii="Meiryo UI" w:hAnsi="Meiryo UI"/>
          <w:sz w:val="20"/>
        </w:rPr>
        <w:t>SaaS移行比率上昇：保守・SaaS収益のストック積み上がりで収益安定性向上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リスクシナリオ定量分析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リスク①：Salesforce/AWS集中リスク（確率：低-中）</w:t>
      </w:r>
    </w:p>
    <w:p>
      <w:pPr>
        <w:pStyle w:val="ListBullet"/>
      </w:pPr>
      <w:r>
        <w:rPr>
          <w:rFonts w:ascii="Meiryo UI" w:hAnsi="Meiryo UI"/>
          <w:sz w:val="20"/>
        </w:rPr>
        <w:t>シナリオ： Salesforce/AWS事業の1社が戦略変更または競合優位失墜</w:t>
      </w:r>
    </w:p>
    <w:p>
      <w:pPr>
        <w:pStyle w:val="ListBullet"/>
      </w:pPr>
      <w:r>
        <w:rPr>
          <w:rFonts w:ascii="Meiryo UI" w:hAnsi="Meiryo UI"/>
          <w:sz w:val="20"/>
        </w:rPr>
        <w:t>影響： 売上の40-50%が集中。理論株価▲30-40%のダウンサイド</w:t>
      </w:r>
    </w:p>
    <w:p>
      <w:pPr>
        <w:pStyle w:val="ListBullet"/>
      </w:pPr>
      <w:r>
        <w:rPr>
          <w:rFonts w:ascii="Meiryo UI" w:hAnsi="Meiryo UI"/>
          <w:sz w:val="20"/>
        </w:rPr>
        <w:t>定量： TP感応度△1%OP → フェアバリュー▲¥28（PER法）</w:t>
      </w:r>
    </w:p>
    <w:p>
      <w:pPr>
        <w:pStyle w:val="ListBullet"/>
      </w:pPr>
      <w:r>
        <w:rPr>
          <w:rFonts w:ascii="Meiryo UI" w:hAnsi="Meiryo UI"/>
          <w:sz w:val="20"/>
        </w:rPr>
        <w:t>対応： 多クラウド化（Google/Azure拡大）・自社製品比率向上で緩和中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リスク②：プロジェクト遅延・赤字案件（確率：中）</w:t>
      </w:r>
    </w:p>
    <w:p>
      <w:pPr>
        <w:pStyle w:val="ListBullet"/>
      </w:pPr>
      <w:r>
        <w:rPr>
          <w:rFonts w:ascii="Meiryo UI" w:hAnsi="Meiryo UI"/>
          <w:sz w:val="20"/>
        </w:rPr>
        <w:t>シナリオ： 大型案件（数億円規模）の工程遅延→追加原価発生→粗利毀損</w:t>
      </w:r>
    </w:p>
    <w:p>
      <w:pPr>
        <w:pStyle w:val="ListBullet"/>
      </w:pPr>
      <w:r>
        <w:rPr>
          <w:rFonts w:ascii="Meiryo UI" w:hAnsi="Meiryo UI"/>
          <w:sz w:val="20"/>
        </w:rPr>
        <w:t>定量： 過去にOP率が2.7%（FY2024）まで落ちた実績あり。最悪OP半減シナリオではFV¥1,500-1,800水準</w:t>
      </w:r>
    </w:p>
    <w:p>
      <w:pPr>
        <w:pStyle w:val="ListBullet"/>
      </w:pPr>
      <w:r>
        <w:rPr>
          <w:rFonts w:ascii="Meiryo UI" w:hAnsi="Meiryo UI"/>
          <w:sz w:val="20"/>
        </w:rPr>
        <w:t>モニタリング： 四半期毎の粗利率推移（FY2025 27.0%をベースライン）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リスク③：人件費高騰（確率：中）</w:t>
      </w:r>
    </w:p>
    <w:p>
      <w:pPr>
        <w:pStyle w:val="ListBullet"/>
      </w:pPr>
      <w:r>
        <w:rPr>
          <w:rFonts w:ascii="Meiryo UI" w:hAnsi="Meiryo UI"/>
          <w:sz w:val="20"/>
        </w:rPr>
        <w:t>シナリオ： エンジニア採用難・給与水準上昇が費用増加に転嫁</w:t>
      </w:r>
    </w:p>
    <w:p>
      <w:pPr>
        <w:pStyle w:val="ListBullet"/>
      </w:pPr>
      <w:r>
        <w:rPr>
          <w:rFonts w:ascii="Meiryo UI" w:hAnsi="Meiryo UI"/>
          <w:sz w:val="20"/>
        </w:rPr>
        <w:t>定量： 人件費売上比推移要確認。OP率+1%改善シナリオに対するバッファは薄い</w:t>
      </w:r>
    </w:p>
    <w:p>
      <w:pPr>
        <w:pStyle w:val="ListBullet"/>
      </w:pPr>
      <w:r>
        <w:rPr>
          <w:rFonts w:ascii="Meiryo UI" w:hAnsi="Meiryo UI"/>
          <w:sz w:val="20"/>
        </w:rPr>
        <w:t>マクロ連動： JGB2.467%上昇局面での住宅ローン・生活費増→エンジニア転職市場に影響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リスク④：流動性リスク（確率：中）</w:t>
      </w:r>
    </w:p>
    <w:p>
      <w:pPr>
        <w:pStyle w:val="ListBullet"/>
      </w:pPr>
      <w:r>
        <w:rPr>
          <w:rFonts w:ascii="Meiryo UI" w:hAnsi="Meiryo UI"/>
          <w:sz w:val="20"/>
        </w:rPr>
        <w:t>シナリオ： TOPIX▲27.4%アンダーパフォームが継続、機関投資家のセル圧力</w:t>
      </w:r>
    </w:p>
    <w:p>
      <w:pPr>
        <w:pStyle w:val="ListBullet"/>
      </w:pPr>
      <w:r>
        <w:rPr>
          <w:rFonts w:ascii="Meiryo UI" w:hAnsi="Meiryo UI"/>
          <w:sz w:val="20"/>
        </w:rPr>
        <w:t>定量： 出来高が薄い場合、ポジション構築・解消コスト大</w:t>
      </w:r>
    </w:p>
    <w:p>
      <w:pPr>
        <w:pStyle w:val="ListBullet"/>
      </w:pPr>
      <w:r>
        <w:rPr>
          <w:rFonts w:ascii="Meiryo UI" w:hAnsi="Meiryo UI"/>
          <w:sz w:val="20"/>
        </w:rPr>
        <w:t>TOPIX相対： ▲27.4%の過去3ヵ月は逆張りチャンス。回復局面では+27%→+40%の均衡リターン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類似銘柄比較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PER（FY27）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テラスカイ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14.7x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ベイカレント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SHIFT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3697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~26x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~18x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~8%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サーバーワークス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~22x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~5%</w:t>
            </w:r>
          </w:p>
        </w:tc>
      </w:tr>
    </w:tbl>
    <w:p/>
    <w:p>
      <w:r>
        <w:rPr>
          <w:rFonts w:ascii="Meiryo UI" w:hAnsi="Meiryo UI"/>
          <w:sz w:val="20"/>
        </w:rPr>
        <w:t>→ テラスカイはバリュエーション最安値水準。成長率はSHIFTと同等なのにPERは半分以下。</w:t>
      </w:r>
    </w:p>
    <w:p>
      <w:r>
        <w:rPr>
          <w:rFonts w:ascii="Meiryo UI" w:hAnsi="Meiryo UI"/>
          <w:sz w:val="20"/>
        </w:rPr>
        <w:t>→ バリュエーションギャップの解消だけで50-100%のリターン機会。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需給・テクニカル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¥1,743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¥3,185（現値から-45%）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¥1,494（現値から+16.7%）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TOPIX相対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▲27.4%（3ヵ月）→強烈な逆張りシグナル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信用倍率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要確認（TDnet）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創業者・法人株主（浮動株比率低め→カタリスト発動で急騰）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¥22.5B（小-中型株）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触媒（Catalysts）</w:t>
      </w:r>
    </w:p>
    <w:p/>
    <w:p>
      <w:pPr>
        <w:pStyle w:val="ListNumber"/>
      </w:pPr>
      <w:r>
        <w:rPr>
          <w:rFonts w:ascii="Meiryo UI" w:hAnsi="Meiryo UI"/>
          <w:sz w:val="20"/>
        </w:rPr>
        <w:t>FY2027 Q1 決算（2026年7月予定）： ガイダンスに対する進捗率確認。Q1実績がQUICK修正前の低い水準を上回れば急騰余地</w:t>
      </w:r>
    </w:p>
    <w:p>
      <w:pPr>
        <w:pStyle w:val="ListNumber"/>
      </w:pPr>
      <w:r>
        <w:rPr>
          <w:rFonts w:ascii="Meiryo UI" w:hAnsi="Meiryo UI"/>
          <w:sz w:val="20"/>
        </w:rPr>
        <w:t>コンセンサス修正波（今後4週間）： QUICK FY2027 OP ¥2,000M → ¥2,400-2,500Mへの修正がトリガー。アナリストカバレッジ1-2社でも修正が出れば需給一変</w:t>
      </w:r>
    </w:p>
    <w:p>
      <w:pPr>
        <w:pStyle w:val="ListNumber"/>
      </w:pPr>
      <w:r>
        <w:rPr>
          <w:rFonts w:ascii="Meiryo UI" w:hAnsi="Meiryo UI"/>
          <w:sz w:val="20"/>
        </w:rPr>
        <w:t>自社株買い： Net Cash¥7.9Bを保有しながら株価が低迷。経営陣の資本政策発動の可能性</w:t>
      </w:r>
    </w:p>
    <w:p>
      <w:pPr>
        <w:pStyle w:val="ListNumber"/>
      </w:pPr>
      <w:r>
        <w:rPr>
          <w:rFonts w:ascii="Meiryo UI" w:hAnsi="Meiryo UI"/>
          <w:sz w:val="20"/>
        </w:rPr>
        <w:t>Salesforce Japan加速： Agentforce日本展開で実装パートナーの需要急増→テラスカイが主要受託先</w:t>
      </w:r>
    </w:p>
    <w:p>
      <w:pPr>
        <w:pStyle w:val="ListNumber"/>
      </w:pPr>
      <w:r>
        <w:rPr>
          <w:rFonts w:ascii="Meiryo UI" w:hAnsi="Meiryo UI"/>
          <w:sz w:val="20"/>
        </w:rPr>
        <w:t>大型案件受注リリース： プレスリリース1本で株価10-20%動く可能性（小型株効果）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FV 1%感応度 Delta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感応度変数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 OP（±¥100M）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¥2,541M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±¥100M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±¥68（PER法）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EPS（±10%）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¥118.2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±¥11.8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±¥237（PER20x）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PER適用倍率（±1x）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±1x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±¥118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WACC（±0.5%）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∓¥180（DCF法）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成長率（±2%）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±¥210（DCF法）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投資推奨まとめ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判定：BUY ★★★★★</w:t>
        <w:br/>
        <w:t>■ TP：¥2,800（+60.6%）</w:t>
        <w:br/>
        <w:t>■ 安全域：Net Cash ¥7.9B = MCap比35%（底固め強固）</w:t>
        <w:br/>
        <w:t>■ 52週安値¥1,494 が実質的なストップロス目安</w:t>
        <w:br/>
        <w:br/>
        <w:t>◎ 買い推奨理由 TOP3：</w:t>
        <w:br/>
        <w:t>1. FY2027 OP ガイダンス QUICK比+27%→コンセンサス修正波で株価修正</w:t>
        <w:br/>
        <w:t>2. EV/EBIT 5.8x = IT成長株として歴史的割安</w:t>
        <w:br/>
        <w:t>3. Net Cash ¥7.9B (35% of MCap) = 実質的な下方硬直性</w:t>
        <w:br/>
        <w:br/>
        <w:t>◎ 最大リスク：</w:t>
        <w:br/>
        <w:t>1. 赤字案件発生によるOP率急落（FY2024の2.7%レベルへの回帰リスク）</w:t>
        <w:br/>
        <w:t>2. Salesforce/AWS依存集中リスク</w:t>
        <w:br/>
        <w:br/>
        <w:t>◎ アクション：</w:t>
        <w:br/>
        <w:t>・即時買い〜¥1,800まで。¥1,500割れでストップ。</w:t>
        <w:br/>
        <w:t>・TP¥2,800で半分利確、残りはFY2027 Q1決算まで保有。</w:t>
        <w:br/>
        <w:t>・決算リリース（2026年7月頃）前後に利益確定検討。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Deep Research by 深井（Claude-based Research Engine） | JGB10Y: 2.467% (2026-04-13 MOF CSV) | 株価: ¥1,743 (2026-04-14 リアルタイム) | Beta: 0.90 (業種代替値)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